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29230" w14:textId="77777777" w:rsidR="00FA7B92" w:rsidRDefault="00FA7B92" w:rsidP="008220CB">
      <w:pPr>
        <w:tabs>
          <w:tab w:val="left" w:pos="0"/>
        </w:tabs>
        <w:jc w:val="center"/>
        <w:rPr>
          <w:rFonts w:cs="Times New Roman"/>
          <w:b/>
        </w:rPr>
      </w:pPr>
    </w:p>
    <w:p w14:paraId="5D862F50" w14:textId="57117C18" w:rsidR="00930E17" w:rsidRPr="00710F09" w:rsidRDefault="00930E17" w:rsidP="008220CB">
      <w:pPr>
        <w:tabs>
          <w:tab w:val="left" w:pos="0"/>
        </w:tabs>
        <w:jc w:val="center"/>
        <w:rPr>
          <w:rFonts w:cs="Times New Roman"/>
          <w:b/>
        </w:rPr>
      </w:pPr>
      <w:r w:rsidRPr="00710F09">
        <w:rPr>
          <w:rFonts w:cs="Times New Roman"/>
          <w:b/>
        </w:rPr>
        <w:t>AIŠKINAMASIS RAŠTAS</w:t>
      </w:r>
    </w:p>
    <w:p w14:paraId="1A5F8001" w14:textId="11FA48FB" w:rsidR="00346846" w:rsidRDefault="00DC565D" w:rsidP="008220CB">
      <w:pPr>
        <w:jc w:val="center"/>
      </w:pPr>
      <w:r w:rsidRPr="00DC565D">
        <w:rPr>
          <w:b/>
          <w:bCs/>
          <w:color w:val="000000"/>
        </w:rPr>
        <w:t>DĖL PANEVĖŽIO MIESTO FUTBOLO SPORTO ŠAKOS 2025–2027 METŲ PLĖTROS PROGRAMOS IR JOS FINANSAVIMO IŠ SAVIVALDYBĖS BIUDŽETO LĖŠŲ KONKURSO NUOSTATŲ PATVIRTINIMO</w:t>
      </w:r>
    </w:p>
    <w:p w14:paraId="2194BC3A" w14:textId="77777777" w:rsidR="00346846" w:rsidRPr="00710F09" w:rsidRDefault="00346846" w:rsidP="008220CB">
      <w:pPr>
        <w:tabs>
          <w:tab w:val="left" w:pos="0"/>
        </w:tabs>
        <w:jc w:val="center"/>
        <w:rPr>
          <w:rFonts w:cs="Times New Roman"/>
        </w:rPr>
      </w:pPr>
    </w:p>
    <w:p w14:paraId="4A779A75" w14:textId="769358CA" w:rsidR="00930E17" w:rsidRPr="00710F09" w:rsidRDefault="00930E17" w:rsidP="008220CB">
      <w:pPr>
        <w:tabs>
          <w:tab w:val="left" w:pos="0"/>
        </w:tabs>
        <w:jc w:val="center"/>
        <w:rPr>
          <w:rFonts w:cs="Times New Roman"/>
        </w:rPr>
      </w:pPr>
      <w:r w:rsidRPr="00710F09">
        <w:rPr>
          <w:rFonts w:cs="Times New Roman"/>
        </w:rPr>
        <w:t>202</w:t>
      </w:r>
      <w:r w:rsidR="00475D02">
        <w:rPr>
          <w:rFonts w:cs="Times New Roman"/>
        </w:rPr>
        <w:t>6</w:t>
      </w:r>
      <w:r w:rsidRPr="00710F09">
        <w:rPr>
          <w:rFonts w:cs="Times New Roman"/>
        </w:rPr>
        <w:t xml:space="preserve"> m. </w:t>
      </w:r>
      <w:r w:rsidR="00475D02">
        <w:rPr>
          <w:rFonts w:cs="Times New Roman"/>
        </w:rPr>
        <w:t>rugsėjo 02</w:t>
      </w:r>
      <w:r w:rsidRPr="00710F09">
        <w:rPr>
          <w:rFonts w:cs="Times New Roman"/>
        </w:rPr>
        <w:t xml:space="preserve"> d.</w:t>
      </w:r>
    </w:p>
    <w:p w14:paraId="696D5624" w14:textId="77777777" w:rsidR="00930E17" w:rsidRPr="00710F09" w:rsidRDefault="00930E17" w:rsidP="008220CB">
      <w:pPr>
        <w:tabs>
          <w:tab w:val="left" w:pos="0"/>
        </w:tabs>
        <w:jc w:val="center"/>
        <w:rPr>
          <w:rFonts w:cs="Times New Roman"/>
        </w:rPr>
      </w:pPr>
      <w:r w:rsidRPr="00710F09">
        <w:rPr>
          <w:rFonts w:cs="Times New Roman"/>
        </w:rPr>
        <w:t>Panevėžys</w:t>
      </w:r>
    </w:p>
    <w:p w14:paraId="3CA37A63" w14:textId="77777777" w:rsidR="00F52FAF" w:rsidRPr="00710F09" w:rsidRDefault="00F52FAF" w:rsidP="00E13BAE">
      <w:pPr>
        <w:tabs>
          <w:tab w:val="left" w:pos="0"/>
        </w:tabs>
        <w:rPr>
          <w:rFonts w:cs="Times New Roman"/>
        </w:rPr>
      </w:pPr>
    </w:p>
    <w:p w14:paraId="669B0C84" w14:textId="77777777" w:rsidR="00F52FAF" w:rsidRPr="00710F09" w:rsidRDefault="00F52FAF" w:rsidP="00E13BAE">
      <w:pPr>
        <w:jc w:val="both"/>
        <w:rPr>
          <w:rFonts w:cs="Times New Roman"/>
        </w:rPr>
      </w:pPr>
      <w:r w:rsidRPr="00710F09">
        <w:rPr>
          <w:rFonts w:cs="Times New Roman"/>
          <w:b/>
        </w:rPr>
        <w:t>1. Sprendimo projekto tikslai ir uždaviniai:</w:t>
      </w:r>
      <w:r w:rsidRPr="00710F09">
        <w:rPr>
          <w:rFonts w:cs="Times New Roman"/>
        </w:rPr>
        <w:t xml:space="preserve"> </w:t>
      </w:r>
    </w:p>
    <w:p w14:paraId="0189A15C" w14:textId="2A36D5D0" w:rsidR="00475D02" w:rsidRPr="00475D02" w:rsidRDefault="00475D02" w:rsidP="00475D02">
      <w:pPr>
        <w:ind w:firstLine="709"/>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 xml:space="preserve">Sprendimo projekto tikslas – patvirtinti </w:t>
      </w:r>
      <w:r w:rsidRPr="00475D02">
        <w:rPr>
          <w:rFonts w:eastAsia="Times New Roman" w:cs="Times New Roman"/>
          <w:b/>
          <w:bCs/>
          <w:color w:val="303030"/>
          <w:kern w:val="0"/>
          <w:szCs w:val="24"/>
          <w:lang w:eastAsia="lt-LT"/>
          <w14:ligatures w14:val="none"/>
        </w:rPr>
        <w:t>Panevėžio miesto futbolo sporto šakos plėtros programos finansavimo iš savivaldybės biudžeto lėšų tvarkos aprašą</w:t>
      </w:r>
      <w:r w:rsidRPr="00475D02">
        <w:rPr>
          <w:rFonts w:eastAsia="Times New Roman" w:cs="Times New Roman"/>
          <w:color w:val="303030"/>
          <w:kern w:val="0"/>
          <w:szCs w:val="24"/>
          <w:lang w:eastAsia="lt-LT"/>
          <w14:ligatures w14:val="none"/>
        </w:rPr>
        <w:t xml:space="preserve"> (toliau – Aprašas).</w:t>
      </w:r>
      <w:r>
        <w:rPr>
          <w:rFonts w:eastAsia="Times New Roman" w:cs="Times New Roman"/>
          <w:color w:val="303030"/>
          <w:kern w:val="0"/>
          <w:szCs w:val="24"/>
          <w:lang w:eastAsia="lt-LT"/>
          <w14:ligatures w14:val="none"/>
        </w:rPr>
        <w:t xml:space="preserve"> </w:t>
      </w:r>
      <w:r w:rsidRPr="00475D02">
        <w:rPr>
          <w:rFonts w:eastAsia="Times New Roman" w:cs="Times New Roman"/>
          <w:color w:val="303030"/>
          <w:kern w:val="0"/>
          <w:szCs w:val="24"/>
          <w:lang w:eastAsia="lt-LT"/>
          <w14:ligatures w14:val="none"/>
        </w:rPr>
        <w:t>Priėmus šį sprendimą, bus įgyvendinti šie uždaviniai:</w:t>
      </w:r>
    </w:p>
    <w:p w14:paraId="18000178" w14:textId="77777777" w:rsidR="00475D02" w:rsidRPr="00475D02" w:rsidRDefault="00475D02" w:rsidP="00475D02">
      <w:pPr>
        <w:numPr>
          <w:ilvl w:val="0"/>
          <w:numId w:val="7"/>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Nustatyti aiškią, skaidrią ir objektyviais kriterijais pagrįstą teikiamų jaunojo futbolininko ugdymo programų vertinimo ir atrankos tvarką;</w:t>
      </w:r>
    </w:p>
    <w:p w14:paraId="5345112A" w14:textId="77777777" w:rsidR="00475D02" w:rsidRPr="00475D02" w:rsidRDefault="00475D02" w:rsidP="00475D02">
      <w:pPr>
        <w:numPr>
          <w:ilvl w:val="0"/>
          <w:numId w:val="7"/>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 xml:space="preserve">Apibrėžti programoms bei pareiškėjų veiklos rezultatams keliamus reikalavimus ir savivaldybės biudžeto lėšų skyrimo principus, pereinant prie </w:t>
      </w:r>
      <w:r w:rsidRPr="00475D02">
        <w:rPr>
          <w:rFonts w:eastAsia="Times New Roman" w:cs="Times New Roman"/>
          <w:b/>
          <w:bCs/>
          <w:color w:val="303030"/>
          <w:kern w:val="0"/>
          <w:szCs w:val="24"/>
          <w:lang w:eastAsia="lt-LT"/>
          <w14:ligatures w14:val="none"/>
        </w:rPr>
        <w:t>jaunojo futbolininko krepšelio</w:t>
      </w:r>
      <w:r w:rsidRPr="00475D02">
        <w:rPr>
          <w:rFonts w:eastAsia="Times New Roman" w:cs="Times New Roman"/>
          <w:color w:val="303030"/>
          <w:kern w:val="0"/>
          <w:szCs w:val="24"/>
          <w:lang w:eastAsia="lt-LT"/>
          <w14:ligatures w14:val="none"/>
        </w:rPr>
        <w:t xml:space="preserve"> modelio;</w:t>
      </w:r>
    </w:p>
    <w:p w14:paraId="1BB062EC" w14:textId="77777777" w:rsidR="00475D02" w:rsidRPr="00475D02" w:rsidRDefault="00475D02" w:rsidP="00475D02">
      <w:pPr>
        <w:numPr>
          <w:ilvl w:val="0"/>
          <w:numId w:val="7"/>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Reglamentuoti nepriklausomą ekspertinį paraiškų vertinimą, finansavimo sutarčių sudarymą, lėšų naudojimo kontrolę, ugdymo kokybės stebėseną bei atsiskaitymo procedūras;</w:t>
      </w:r>
    </w:p>
    <w:p w14:paraId="58CFADAE" w14:textId="77777777" w:rsidR="00475D02" w:rsidRPr="00475D02" w:rsidRDefault="00475D02" w:rsidP="00475D02">
      <w:pPr>
        <w:numPr>
          <w:ilvl w:val="0"/>
          <w:numId w:val="7"/>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Pripažinti netekusiu galios Panevėžio miesto savivaldybės tarybos 2024 m. gruodžio 27 d. sprendimą Nr. 1-563 „Dėl Panevėžio miesto futbolo sporto šakos 2025–2027 metų plėtros programos ir jos finansavimo iš savivaldybės biudžeto lėšų konkurso nuostatų patvirtinimo“</w:t>
      </w:r>
    </w:p>
    <w:p w14:paraId="75A09CA4" w14:textId="11E204BD" w:rsidR="008220CB" w:rsidRPr="008220CB" w:rsidRDefault="008220CB" w:rsidP="00E13BAE">
      <w:pPr>
        <w:jc w:val="both"/>
        <w:rPr>
          <w:rFonts w:cs="Times New Roman"/>
          <w:strike/>
        </w:rPr>
      </w:pPr>
    </w:p>
    <w:p w14:paraId="6732F7A4" w14:textId="0DF03FCA" w:rsidR="00F52FAF" w:rsidRDefault="00F52FAF" w:rsidP="00475D02">
      <w:pPr>
        <w:jc w:val="both"/>
        <w:rPr>
          <w:rFonts w:cs="Times New Roman"/>
        </w:rPr>
      </w:pPr>
      <w:r w:rsidRPr="00710F09">
        <w:rPr>
          <w:rFonts w:cs="Times New Roman"/>
          <w:b/>
        </w:rPr>
        <w:t xml:space="preserve">2. </w:t>
      </w:r>
      <w:r w:rsidRPr="00710F09">
        <w:rPr>
          <w:rFonts w:cs="Times New Roman"/>
          <w:b/>
          <w:bCs/>
        </w:rPr>
        <w:t>Siūlomos teisinio reguliavimo nuostatos, laukiami rezultatai:</w:t>
      </w:r>
      <w:r w:rsidRPr="00710F09">
        <w:rPr>
          <w:rFonts w:cs="Times New Roman"/>
        </w:rPr>
        <w:t xml:space="preserve"> </w:t>
      </w:r>
    </w:p>
    <w:p w14:paraId="46C00A82" w14:textId="77777777" w:rsidR="00475D02" w:rsidRPr="00475D02" w:rsidRDefault="00475D02" w:rsidP="00475D02">
      <w:pPr>
        <w:ind w:firstLine="709"/>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 xml:space="preserve">Sprendimo projektas parengtas vadovaujantis </w:t>
      </w:r>
      <w:r w:rsidRPr="00475D02">
        <w:rPr>
          <w:rFonts w:eastAsia="Times New Roman" w:cs="Times New Roman"/>
          <w:b/>
          <w:bCs/>
          <w:color w:val="303030"/>
          <w:kern w:val="0"/>
          <w:szCs w:val="24"/>
          <w:lang w:eastAsia="lt-LT"/>
          <w14:ligatures w14:val="none"/>
        </w:rPr>
        <w:t>Lietuvos Respublikos vietos savivaldos įstatymo</w:t>
      </w:r>
      <w:r w:rsidRPr="00475D02">
        <w:rPr>
          <w:rFonts w:eastAsia="Times New Roman" w:cs="Times New Roman"/>
          <w:color w:val="303030"/>
          <w:kern w:val="0"/>
          <w:szCs w:val="24"/>
          <w:lang w:eastAsia="lt-LT"/>
          <w14:ligatures w14:val="none"/>
        </w:rPr>
        <w:t xml:space="preserve"> 6 straipsnio 29 punktu, 15 straipsnio 2 dalies 13 ir 32 punktais, </w:t>
      </w:r>
      <w:r w:rsidRPr="00475D02">
        <w:rPr>
          <w:rFonts w:eastAsia="Times New Roman" w:cs="Times New Roman"/>
          <w:b/>
          <w:bCs/>
          <w:color w:val="303030"/>
          <w:kern w:val="0"/>
          <w:szCs w:val="24"/>
          <w:lang w:eastAsia="lt-LT"/>
          <w14:ligatures w14:val="none"/>
        </w:rPr>
        <w:t>Lietuvos Respublikos sporto įstatymo</w:t>
      </w:r>
      <w:r w:rsidRPr="00475D02">
        <w:rPr>
          <w:rFonts w:eastAsia="Times New Roman" w:cs="Times New Roman"/>
          <w:color w:val="303030"/>
          <w:kern w:val="0"/>
          <w:szCs w:val="24"/>
          <w:lang w:eastAsia="lt-LT"/>
          <w14:ligatures w14:val="none"/>
        </w:rPr>
        <w:t xml:space="preserve"> 10 straipsnio 1 dalimi bei įgyvendinant </w:t>
      </w:r>
      <w:r w:rsidRPr="00475D02">
        <w:rPr>
          <w:rFonts w:eastAsia="Times New Roman" w:cs="Times New Roman"/>
          <w:b/>
          <w:bCs/>
          <w:color w:val="303030"/>
          <w:kern w:val="0"/>
          <w:szCs w:val="24"/>
          <w:lang w:eastAsia="lt-LT"/>
          <w14:ligatures w14:val="none"/>
        </w:rPr>
        <w:t>Panevėžio miesto plėtros 2021–2027 metų strateginį planą</w:t>
      </w:r>
      <w:r w:rsidRPr="00475D02">
        <w:rPr>
          <w:rFonts w:eastAsia="Times New Roman" w:cs="Times New Roman"/>
          <w:color w:val="303030"/>
          <w:kern w:val="0"/>
          <w:szCs w:val="24"/>
          <w:lang w:eastAsia="lt-LT"/>
          <w14:ligatures w14:val="none"/>
        </w:rPr>
        <w:t>, patvirtintą Panevėžio miesto savivaldybės tarybos 2021 m. gruodžio 23 d. sprendimu Nr. 1-362.</w:t>
      </w:r>
    </w:p>
    <w:p w14:paraId="5060018E" w14:textId="77777777" w:rsidR="00475D02" w:rsidRPr="00475D02" w:rsidRDefault="00475D02" w:rsidP="00475D02">
      <w:pPr>
        <w:ind w:firstLine="709"/>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Esminės siūlomo teisinio reguliavimo nuostatos:</w:t>
      </w:r>
    </w:p>
    <w:p w14:paraId="0E2886BF" w14:textId="77777777" w:rsidR="00475D02" w:rsidRPr="00475D02" w:rsidRDefault="00475D02" w:rsidP="00475D02">
      <w:pPr>
        <w:numPr>
          <w:ilvl w:val="0"/>
          <w:numId w:val="8"/>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Finansavimo modelio pakeitimas į krepšelio principą</w:t>
      </w:r>
      <w:r w:rsidRPr="00475D02">
        <w:rPr>
          <w:rFonts w:eastAsia="Times New Roman" w:cs="Times New Roman"/>
          <w:color w:val="303030"/>
          <w:kern w:val="0"/>
          <w:szCs w:val="24"/>
          <w:lang w:eastAsia="lt-LT"/>
          <w14:ligatures w14:val="none"/>
        </w:rPr>
        <w:t>: atsisakoma vienam subjektui skirto fiksuoto finansavimo konkurso modelio ir įtvirtinamas jaunojo futbolininko krepšelis, kurio vieno mėnesio dydis apskaičiuojamas kaip Savivaldybės mero ar jo įgalioto Savivaldybės administracijos direktoriaus tvirtinamo bazinio dydžio ir ugdymo programos sportininkų skaičiaus sandauga. Finansavimas skiriamas vieneriems kalendoriniams metams pagal Mokinių registre registruotų nepasikartojančių sportininkų sąrašą.</w:t>
      </w:r>
    </w:p>
    <w:p w14:paraId="43C5FEEA" w14:textId="77777777" w:rsidR="00475D02" w:rsidRPr="00475D02" w:rsidRDefault="00475D02" w:rsidP="00475D02">
      <w:pPr>
        <w:numPr>
          <w:ilvl w:val="0"/>
          <w:numId w:val="8"/>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Aiškūs ir patikrinami reikalavimai pareiškėjams ir programoms</w:t>
      </w:r>
      <w:r w:rsidRPr="00475D02">
        <w:rPr>
          <w:rFonts w:eastAsia="Times New Roman" w:cs="Times New Roman"/>
          <w:color w:val="303030"/>
          <w:kern w:val="0"/>
          <w:szCs w:val="24"/>
          <w:lang w:eastAsia="lt-LT"/>
          <w14:ligatures w14:val="none"/>
        </w:rPr>
        <w:t>: pareiškėjas turi būti ne trumpiau kaip vienerius metus Savivaldybės teritorijoje registruotas juridinis asmuo (išskyrus biudžetines įstaigas), turintis bent 2 kvalifikuotus trenerius su UEFA licencijomis, materialiąją sporto bazę bei registruotą programą Neformaliojo švietimo programų registre (NŠPR). Reikalaujama, kad sportininkai praėjusiais metais būtų dalyvavę oficialiose varžybose su viešai skelbiamais rezultatais.</w:t>
      </w:r>
    </w:p>
    <w:p w14:paraId="1DD13352" w14:textId="77777777" w:rsidR="00475D02" w:rsidRPr="00475D02" w:rsidRDefault="00475D02" w:rsidP="00475D02">
      <w:pPr>
        <w:numPr>
          <w:ilvl w:val="0"/>
          <w:numId w:val="8"/>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Nepriekaištingos reputacijos ir patikimumo filtrai</w:t>
      </w:r>
      <w:r w:rsidRPr="00475D02">
        <w:rPr>
          <w:rFonts w:eastAsia="Times New Roman" w:cs="Times New Roman"/>
          <w:color w:val="303030"/>
          <w:kern w:val="0"/>
          <w:szCs w:val="24"/>
          <w:lang w:eastAsia="lt-LT"/>
          <w14:ligatures w14:val="none"/>
        </w:rPr>
        <w:t xml:space="preserve">: nustatytas baigtinis sąrašas aplinkybių, kurioms esant lėšos neskiriamos (pvz., neišnykęs teistumas už korupcinius ar sunkius finansinius nusikaltimus, mokestinės nepriemokos, turto areštas, melagingų </w:t>
      </w:r>
      <w:r w:rsidRPr="00475D02">
        <w:rPr>
          <w:rFonts w:eastAsia="Times New Roman" w:cs="Times New Roman"/>
          <w:color w:val="303030"/>
          <w:kern w:val="0"/>
          <w:szCs w:val="24"/>
          <w:lang w:eastAsia="lt-LT"/>
          <w14:ligatures w14:val="none"/>
        </w:rPr>
        <w:lastRenderedPageBreak/>
        <w:t>duomenų teikimas, esminiai biudžeto lėšų naudojimo sutarčių pažeidimai per pastaruosius 5 metus).</w:t>
      </w:r>
    </w:p>
    <w:p w14:paraId="7DAAA23C" w14:textId="77777777" w:rsidR="00475D02" w:rsidRPr="00475D02" w:rsidRDefault="00475D02" w:rsidP="00475D02">
      <w:pPr>
        <w:numPr>
          <w:ilvl w:val="0"/>
          <w:numId w:val="8"/>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Trijų pakopų vertinimo sistema</w:t>
      </w:r>
      <w:r w:rsidRPr="00475D02">
        <w:rPr>
          <w:rFonts w:eastAsia="Times New Roman" w:cs="Times New Roman"/>
          <w:color w:val="303030"/>
          <w:kern w:val="0"/>
          <w:szCs w:val="24"/>
          <w:lang w:eastAsia="lt-LT"/>
          <w14:ligatures w14:val="none"/>
        </w:rPr>
        <w:t>: paraiškų vertinimas išskaidytas į administracinės atitikties vertinimą, nepriklausomą ekspertinį vertinimą (perkant paslaugas Viešųjų pirkimų įstatymo nustatyta tvarka, pasitelkiant nepriklausomus ekspertus, atitinkančius nepriekaištingos reputacijos reikalavimus ir pasirašiusius nešališkumo deklaracijas) bei Vertinimo komisijos vertinimą.</w:t>
      </w:r>
    </w:p>
    <w:p w14:paraId="161EC2A6" w14:textId="77777777" w:rsidR="00475D02" w:rsidRPr="00475D02" w:rsidRDefault="00475D02" w:rsidP="00475D02">
      <w:pPr>
        <w:numPr>
          <w:ilvl w:val="0"/>
          <w:numId w:val="8"/>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Veiklos stebėsena ir atsiskaitymas</w:t>
      </w:r>
      <w:r w:rsidRPr="00475D02">
        <w:rPr>
          <w:rFonts w:eastAsia="Times New Roman" w:cs="Times New Roman"/>
          <w:color w:val="303030"/>
          <w:kern w:val="0"/>
          <w:szCs w:val="24"/>
          <w:lang w:eastAsia="lt-LT"/>
          <w14:ligatures w14:val="none"/>
        </w:rPr>
        <w:t>: įtvirtintas nuolatinis stebėsenos institutas, stebėtojų teisės lankytis pratybose, vertinti veiklų kokybę, nustatyti terminus trūkumams pašalinti bei numatyta atsakomybė ir sutarčių nutraukimo mechanizmas už nustatytus pažeidimus.</w:t>
      </w:r>
    </w:p>
    <w:p w14:paraId="351E0EAE" w14:textId="77777777" w:rsidR="00475D02" w:rsidRPr="00475D02" w:rsidRDefault="00475D02" w:rsidP="00475D02">
      <w:pPr>
        <w:ind w:firstLine="720"/>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Laukiami rezultatai</w:t>
      </w:r>
      <w:r w:rsidRPr="00475D02">
        <w:rPr>
          <w:rFonts w:eastAsia="Times New Roman" w:cs="Times New Roman"/>
          <w:color w:val="303030"/>
          <w:kern w:val="0"/>
          <w:szCs w:val="24"/>
          <w:lang w:eastAsia="lt-LT"/>
          <w14:ligatures w14:val="none"/>
        </w:rPr>
        <w:t>: užtikrintas skaidrus, konkurencingas ir antikorupciniu požiūriu atsparus savivaldybės biudžeto lėšų skirstymas, skatinama kokybiška vaikų ir jaunimo futbolo plėtra Panevėžio mieste, sudarytos vienodos sąlygos visoms reikalavimus atitinkančioms futbolo organizacijoms gauti finansavimą pagal faktiškai ugdomų sportininkų skaičių.</w:t>
      </w:r>
    </w:p>
    <w:p w14:paraId="43ADEE69" w14:textId="434B9C82" w:rsidR="00621032" w:rsidRDefault="00621032" w:rsidP="00E13BAE">
      <w:pPr>
        <w:jc w:val="both"/>
        <w:rPr>
          <w:rFonts w:cs="Times New Roman"/>
          <w:b/>
        </w:rPr>
      </w:pPr>
    </w:p>
    <w:p w14:paraId="4312C4D2" w14:textId="77777777" w:rsidR="00DC565D" w:rsidRDefault="00DC565D" w:rsidP="008220CB">
      <w:pPr>
        <w:tabs>
          <w:tab w:val="left" w:pos="0"/>
        </w:tabs>
        <w:ind w:firstLine="720"/>
        <w:jc w:val="both"/>
        <w:rPr>
          <w:rFonts w:cs="Times New Roman"/>
          <w:b/>
        </w:rPr>
      </w:pPr>
    </w:p>
    <w:p w14:paraId="49845117" w14:textId="782BCADF" w:rsidR="00F52FAF" w:rsidRPr="00710F09" w:rsidRDefault="00F52FAF" w:rsidP="00E13BAE">
      <w:pPr>
        <w:jc w:val="both"/>
        <w:rPr>
          <w:rFonts w:cs="Times New Roman"/>
        </w:rPr>
      </w:pPr>
      <w:r w:rsidRPr="00710F09">
        <w:rPr>
          <w:rFonts w:cs="Times New Roman"/>
          <w:b/>
        </w:rPr>
        <w:t xml:space="preserve">3. </w:t>
      </w:r>
      <w:r w:rsidRPr="00710F09">
        <w:rPr>
          <w:rFonts w:cs="Times New Roman"/>
          <w:b/>
          <w:bCs/>
        </w:rPr>
        <w:t>Lėšų poreikis ir šaltiniai:</w:t>
      </w:r>
      <w:r w:rsidRPr="00710F09">
        <w:rPr>
          <w:rFonts w:cs="Times New Roman"/>
        </w:rPr>
        <w:t xml:space="preserve"> </w:t>
      </w:r>
    </w:p>
    <w:p w14:paraId="477B2F6A" w14:textId="37FF5B01" w:rsidR="00F52FAF" w:rsidRDefault="00475D02" w:rsidP="00475D02">
      <w:pPr>
        <w:ind w:firstLine="709"/>
        <w:jc w:val="both"/>
      </w:pPr>
      <w:r>
        <w:t>Lėšos Programai įgyvendinti numatomos kiekvienų metų Panevėžio miesto savivaldybės biudžete. Konkretus finansavimo dydis priklausys nuo nustatyto bazinio dydžio ir atranką perėjusių programų sportininkų, registruotų Mokinių registre, skaičiaus. Pažymėtina, kad 2022–2024 m. laikotarpiu Panevėžio miesto savivaldybės trimetės futbolo vystymo programos vykdytojui kasmet buvo skiriama po 390 tūkst. eurų, o 2025-2027 m. laikotarpiui 440 tūkst. eurų.</w:t>
      </w:r>
    </w:p>
    <w:p w14:paraId="48652903" w14:textId="77777777" w:rsidR="00475D02" w:rsidRPr="00710F09" w:rsidRDefault="00475D02" w:rsidP="00475D02">
      <w:pPr>
        <w:jc w:val="both"/>
        <w:rPr>
          <w:rFonts w:cs="Times New Roman"/>
          <w:b/>
        </w:rPr>
      </w:pPr>
    </w:p>
    <w:p w14:paraId="4DFF39E9" w14:textId="77777777" w:rsidR="00F52FAF" w:rsidRPr="00710F09" w:rsidRDefault="00F52FAF" w:rsidP="00E13BAE">
      <w:pPr>
        <w:jc w:val="both"/>
        <w:rPr>
          <w:rFonts w:cs="Times New Roman"/>
          <w:b/>
        </w:rPr>
      </w:pPr>
      <w:r w:rsidRPr="00710F09">
        <w:rPr>
          <w:rFonts w:cs="Times New Roman"/>
          <w:b/>
        </w:rPr>
        <w:t xml:space="preserve">4. </w:t>
      </w:r>
      <w:r w:rsidRPr="00710F09">
        <w:rPr>
          <w:rFonts w:cs="Times New Roman"/>
          <w:b/>
          <w:bCs/>
        </w:rPr>
        <w:t>Sprendimui priimti reikalingi pagrindimai, skaičiavimai ar paaiškinimai:</w:t>
      </w:r>
      <w:r w:rsidRPr="00710F09">
        <w:rPr>
          <w:rFonts w:cs="Times New Roman"/>
          <w:b/>
        </w:rPr>
        <w:t xml:space="preserve"> </w:t>
      </w:r>
    </w:p>
    <w:p w14:paraId="13423154" w14:textId="5FFD79A2" w:rsidR="00475D02" w:rsidRPr="00475D02" w:rsidRDefault="00475D02" w:rsidP="00475D02">
      <w:pPr>
        <w:ind w:firstLine="709"/>
        <w:rPr>
          <w:rFonts w:eastAsia="Times New Roman" w:cs="Times New Roman"/>
          <w:color w:val="303030"/>
          <w:kern w:val="0"/>
          <w:szCs w:val="24"/>
          <w:lang w:eastAsia="lt-LT"/>
          <w14:ligatures w14:val="none"/>
        </w:rPr>
      </w:pPr>
      <w:r w:rsidRPr="00475D02">
        <w:rPr>
          <w:rFonts w:eastAsia="Times New Roman" w:cs="Times New Roman"/>
          <w:color w:val="303030"/>
          <w:kern w:val="0"/>
          <w:szCs w:val="24"/>
          <w:lang w:eastAsia="lt-LT"/>
          <w14:ligatures w14:val="none"/>
        </w:rPr>
        <w:t xml:space="preserve">Poreikį parengti naują Aprašą lėmė būtinybė pašalinti esmines teisines spragas bei korupcijos rizikos veiksnius, kurie buvo identifikuoti </w:t>
      </w:r>
      <w:r w:rsidRPr="00475D02">
        <w:rPr>
          <w:rFonts w:eastAsia="Times New Roman" w:cs="Times New Roman"/>
          <w:b/>
          <w:bCs/>
          <w:color w:val="303030"/>
          <w:kern w:val="0"/>
          <w:szCs w:val="24"/>
          <w:lang w:eastAsia="lt-LT"/>
          <w14:ligatures w14:val="none"/>
        </w:rPr>
        <w:t>Lietuvos Respublikos specialiųjų tyrimų tarnybos (STT) atliktame antikorupciniame vertinime</w:t>
      </w:r>
      <w:r w:rsidRPr="00475D02">
        <w:rPr>
          <w:rFonts w:eastAsia="Times New Roman" w:cs="Times New Roman"/>
          <w:color w:val="303030"/>
          <w:kern w:val="0"/>
          <w:szCs w:val="24"/>
          <w:lang w:eastAsia="lt-LT"/>
          <w14:ligatures w14:val="none"/>
        </w:rPr>
        <w:t xml:space="preserve"> dėl ankstesnių Panevėžio miesto savivaldybės tarybos 2024 m. gruodžio 27 d. sprendimu Nr. 1-563 patvirtintų Nuostatų.</w:t>
      </w:r>
      <w:r>
        <w:rPr>
          <w:rFonts w:eastAsia="Times New Roman" w:cs="Times New Roman"/>
          <w:color w:val="303030"/>
          <w:kern w:val="0"/>
          <w:szCs w:val="24"/>
          <w:lang w:eastAsia="lt-LT"/>
          <w14:ligatures w14:val="none"/>
        </w:rPr>
        <w:t xml:space="preserve"> </w:t>
      </w:r>
      <w:r w:rsidRPr="00475D02">
        <w:rPr>
          <w:rFonts w:eastAsia="Times New Roman" w:cs="Times New Roman"/>
          <w:b/>
          <w:bCs/>
          <w:color w:val="303030"/>
          <w:kern w:val="0"/>
          <w:szCs w:val="24"/>
          <w:lang w:eastAsia="lt-LT"/>
          <w14:ligatures w14:val="none"/>
        </w:rPr>
        <w:t>STT nustatyti trūkumai ir jų pašalinimas naujajame reguliavime:</w:t>
      </w:r>
    </w:p>
    <w:p w14:paraId="6D6B2A52" w14:textId="77777777" w:rsidR="00475D02"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Subjektyvaus ir vienasmenio vertinimo pašalinimas</w:t>
      </w:r>
      <w:r w:rsidRPr="00475D02">
        <w:rPr>
          <w:rFonts w:eastAsia="Times New Roman" w:cs="Times New Roman"/>
          <w:color w:val="303030"/>
          <w:kern w:val="0"/>
          <w:szCs w:val="24"/>
          <w:lang w:eastAsia="lt-LT"/>
          <w14:ligatures w14:val="none"/>
        </w:rPr>
        <w:t>: STT konstatavo, kad ankstesniuose Nuostatuose nustatyti kriterijai neužtikrino objektyvaus ir skaidraus atrankos proceso, nes Sporto skyriaus darbuotojui (konkurso administratoriui) buvo suteikta neribota diskrecija vienasmeniškai atlikti faktiškai kokybinį paraiškos vertinimą administracinės atitikties etape. Naujajame Apraše atsakomybės aiškiai atskirtos: administracinės atitikties metu vertinami tik formalūs dokumentai, o programų turinį ir kokybę vertina ne mažiau kaip 2 nepriklausomi išorės ekspertai, atrinkti Viešųjų pirkimų įstatymo nustatyta tvarka, atitinkantys valstybės tarnautojams taikomus nepriekaištingos reputacijos standartus.</w:t>
      </w:r>
    </w:p>
    <w:p w14:paraId="43437E94" w14:textId="77777777" w:rsidR="00475D02"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Dirbtinių konkurencijos ribojimų panaikinimas</w:t>
      </w:r>
      <w:r w:rsidRPr="00475D02">
        <w:rPr>
          <w:rFonts w:eastAsia="Times New Roman" w:cs="Times New Roman"/>
          <w:color w:val="303030"/>
          <w:kern w:val="0"/>
          <w:szCs w:val="24"/>
          <w:lang w:eastAsia="lt-LT"/>
          <w14:ligatures w14:val="none"/>
        </w:rPr>
        <w:t>: STT atkreipė dėmesį, kad ankstesnis reikalavimas paraiškos teikėjui jau iki konkurso atitikti visus 18 ilgalaikės programos kriterijų ir jų pasiektinus rezultatus 2025–2027 metams vertino ne praeities faktus, o ateities rezultatus, taip ribojant kitų dalyvių galimybes ir sudarant išskirtines sąlygas vienam konkrečiam subjektui. Naujajame Apraše reikalaujama objektyviai patikrinamų faktinių praėjusių metų duomenų (dalyvavimo oficialiose varžybose įrodymų, registracijos NŠPR ir Mokinių registre, licencijuotų trenerių).</w:t>
      </w:r>
    </w:p>
    <w:p w14:paraId="0F5BD819" w14:textId="77777777" w:rsidR="00475D02"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Komisijos veiklos reglamentavimas ir viešumas</w:t>
      </w:r>
      <w:r w:rsidRPr="00475D02">
        <w:rPr>
          <w:rFonts w:eastAsia="Times New Roman" w:cs="Times New Roman"/>
          <w:color w:val="303030"/>
          <w:kern w:val="0"/>
          <w:szCs w:val="24"/>
          <w:lang w:eastAsia="lt-LT"/>
          <w14:ligatures w14:val="none"/>
        </w:rPr>
        <w:t xml:space="preserve">: STT nurodė, kad vertinimo komisijos veiklos nuostatai nebuvo integruoti į tarybos sprendimą ir nebuvo viešai prieinami, kas pažeidė visuomeninės kontrolės principą. Naujasis Aprašas nustato aiškią ekspertinio vertinimo ir Vertinimo komisijos funkcijų, sudėties ir sprendimų priėmimo tvarką, o visi </w:t>
      </w:r>
      <w:r w:rsidRPr="00475D02">
        <w:rPr>
          <w:rFonts w:eastAsia="Times New Roman" w:cs="Times New Roman"/>
          <w:color w:val="303030"/>
          <w:kern w:val="0"/>
          <w:szCs w:val="24"/>
          <w:lang w:eastAsia="lt-LT"/>
          <w14:ligatures w14:val="none"/>
        </w:rPr>
        <w:lastRenderedPageBreak/>
        <w:t>finansuojamų ir nefinansuojamų programų sąrašai bei kvietimai yra skelbiami viešai Savivaldybės interneto svetainėje.</w:t>
      </w:r>
    </w:p>
    <w:p w14:paraId="517DF2E0" w14:textId="77777777" w:rsidR="00475D02"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Neribotos diskrecijos dėl papildomo finansavimo panaikinimas</w:t>
      </w:r>
      <w:r w:rsidRPr="00475D02">
        <w:rPr>
          <w:rFonts w:eastAsia="Times New Roman" w:cs="Times New Roman"/>
          <w:color w:val="303030"/>
          <w:kern w:val="0"/>
          <w:szCs w:val="24"/>
          <w:lang w:eastAsia="lt-LT"/>
          <w14:ligatures w14:val="none"/>
        </w:rPr>
        <w:t>: STT vertinimu, buvusi tvarka leido konkurso laimėtojui prašyti papildomų lėšų be aiškių kriterijų ir be konkurso, apeinant rezervinius dalyvius ir sudarant prielaidas nesąžiningam dempingo elgesiui paraiškų pateikimo metu. Naujajame reguliavime atsisakyta bet kokio papildomo finansavimo skyrimo komisijos nuožiūra – lėšos skiriamos griežtai pagal patvirtintą formulę (krepšelį) ir nepasikartojančių vaikų skaičių.</w:t>
      </w:r>
    </w:p>
    <w:p w14:paraId="67DB5344" w14:textId="77777777" w:rsidR="00475D02"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Atsiskaitymo ir kontrolės privalomumas</w:t>
      </w:r>
      <w:r w:rsidRPr="00475D02">
        <w:rPr>
          <w:rFonts w:eastAsia="Times New Roman" w:cs="Times New Roman"/>
          <w:color w:val="303030"/>
          <w:kern w:val="0"/>
          <w:szCs w:val="24"/>
          <w:lang w:eastAsia="lt-LT"/>
          <w14:ligatures w14:val="none"/>
        </w:rPr>
        <w:t>: STT pabrėžė, kad pareigos reguliariai atsiskaityti nebuvimas (kai kontrolė inicijuojama tik atskiru administracijos reikalavimu) sudarė sąlygas kontrolei visai nevykti. Naujajame Apraše įtvirtinta imperatyvi pareiga teikti finansines ataskaitas nustatytais terminais, grąžinti nepanaudotas lėšas bei įsteigtas nuolatinis kokybės stebėsenos mechanizmas.</w:t>
      </w:r>
    </w:p>
    <w:p w14:paraId="223CD923" w14:textId="592293EA" w:rsidR="004A7BAE" w:rsidRPr="00475D02" w:rsidRDefault="00475D02" w:rsidP="00475D02">
      <w:pPr>
        <w:numPr>
          <w:ilvl w:val="0"/>
          <w:numId w:val="9"/>
        </w:numPr>
        <w:shd w:val="clear" w:color="auto" w:fill="FFFFFF"/>
        <w:spacing w:before="100" w:beforeAutospacing="1" w:after="100" w:afterAutospacing="1"/>
        <w:rPr>
          <w:rFonts w:eastAsia="Times New Roman" w:cs="Times New Roman"/>
          <w:color w:val="303030"/>
          <w:kern w:val="0"/>
          <w:szCs w:val="24"/>
          <w:lang w:eastAsia="lt-LT"/>
          <w14:ligatures w14:val="none"/>
        </w:rPr>
      </w:pPr>
      <w:r w:rsidRPr="00475D02">
        <w:rPr>
          <w:rFonts w:eastAsia="Times New Roman" w:cs="Times New Roman"/>
          <w:b/>
          <w:bCs/>
          <w:color w:val="303030"/>
          <w:kern w:val="0"/>
          <w:szCs w:val="24"/>
          <w:lang w:eastAsia="lt-LT"/>
          <w14:ligatures w14:val="none"/>
        </w:rPr>
        <w:t>Finansinių sankcijų susiejimas su programos tikslais ir esminių pažeidimų apibrėžimas</w:t>
      </w:r>
      <w:r w:rsidRPr="00475D02">
        <w:rPr>
          <w:rFonts w:eastAsia="Times New Roman" w:cs="Times New Roman"/>
          <w:color w:val="303030"/>
          <w:kern w:val="0"/>
          <w:szCs w:val="24"/>
          <w:lang w:eastAsia="lt-LT"/>
          <w14:ligatures w14:val="none"/>
        </w:rPr>
        <w:t>: STT nustatė, kad lėšų mažinimas ir sutarties nutraukimas nebuvo aiškiai reglamentuotas ir susietas su veiklos kokybe. Naujajame Apraše numatyti aiškūs pagrindai: nesilaikant reikalavimų ar per nustatytą terminą neištaisius stebėtojų fiksuotų trūkumų, sutartis nutraukiama, o lėšų mokėjimas stabdomas ir permokos išieškomos</w:t>
      </w:r>
    </w:p>
    <w:p w14:paraId="3E89EFFF" w14:textId="0A315955" w:rsidR="00F52FAF" w:rsidRPr="00710F09" w:rsidRDefault="00F52FAF" w:rsidP="00E13BAE">
      <w:pPr>
        <w:jc w:val="both"/>
        <w:rPr>
          <w:rFonts w:cs="Times New Roman"/>
        </w:rPr>
      </w:pPr>
      <w:r w:rsidRPr="00710F09">
        <w:rPr>
          <w:rFonts w:cs="Times New Roman"/>
          <w:b/>
        </w:rPr>
        <w:t>5. Kieno iniciatyva parengtas sprendimo projektas:</w:t>
      </w:r>
      <w:r w:rsidRPr="00710F09">
        <w:rPr>
          <w:rFonts w:cs="Times New Roman"/>
        </w:rPr>
        <w:t xml:space="preserve"> </w:t>
      </w:r>
    </w:p>
    <w:p w14:paraId="517DF47C" w14:textId="4D994799" w:rsidR="00F52FAF" w:rsidRPr="008220CB" w:rsidRDefault="00F52FAF" w:rsidP="00E13BAE">
      <w:pPr>
        <w:tabs>
          <w:tab w:val="left" w:pos="0"/>
        </w:tabs>
        <w:jc w:val="both"/>
        <w:rPr>
          <w:rFonts w:cs="Times New Roman"/>
        </w:rPr>
      </w:pPr>
      <w:r w:rsidRPr="008220CB">
        <w:rPr>
          <w:rFonts w:cs="Times New Roman"/>
        </w:rPr>
        <w:t xml:space="preserve">Sprendimo projektas parengtas </w:t>
      </w:r>
      <w:r w:rsidR="00475D02">
        <w:rPr>
          <w:rFonts w:cs="Times New Roman"/>
        </w:rPr>
        <w:t>Tarybos nario</w:t>
      </w:r>
      <w:r w:rsidR="00126163" w:rsidRPr="008220CB">
        <w:rPr>
          <w:rFonts w:cs="Times New Roman"/>
        </w:rPr>
        <w:t xml:space="preserve"> iniciatyva</w:t>
      </w:r>
      <w:r w:rsidR="00AF0586">
        <w:rPr>
          <w:rFonts w:cs="Times New Roman"/>
        </w:rPr>
        <w:t>.</w:t>
      </w:r>
    </w:p>
    <w:p w14:paraId="53101442" w14:textId="2F9EC754" w:rsidR="00930E17" w:rsidRDefault="00930E17" w:rsidP="008220CB">
      <w:pPr>
        <w:jc w:val="both"/>
        <w:rPr>
          <w:rFonts w:cs="Times New Roman"/>
        </w:rPr>
      </w:pPr>
    </w:p>
    <w:p w14:paraId="5EE0E248" w14:textId="77777777" w:rsidR="008220CB" w:rsidRDefault="008220CB" w:rsidP="008220CB">
      <w:pPr>
        <w:ind w:firstLine="709"/>
        <w:jc w:val="both"/>
      </w:pPr>
    </w:p>
    <w:p w14:paraId="79519B95" w14:textId="77777777" w:rsidR="00FE17F9" w:rsidRDefault="00FE17F9" w:rsidP="008220CB">
      <w:pPr>
        <w:jc w:val="both"/>
        <w:rPr>
          <w:rFonts w:cs="Times New Roman"/>
        </w:rPr>
      </w:pPr>
    </w:p>
    <w:p w14:paraId="3412E4EA" w14:textId="3D3CC6D6" w:rsidR="005C0BFA" w:rsidRDefault="00475D02" w:rsidP="008220CB">
      <w:pPr>
        <w:jc w:val="both"/>
        <w:rPr>
          <w:rFonts w:cs="Times New Roman"/>
        </w:rPr>
      </w:pPr>
      <w:r>
        <w:rPr>
          <w:rFonts w:cs="Times New Roman"/>
        </w:rPr>
        <w:t>Tarybos narys</w:t>
      </w:r>
      <w:r>
        <w:rPr>
          <w:rFonts w:cs="Times New Roman"/>
        </w:rPr>
        <w:tab/>
      </w:r>
      <w:r w:rsidR="005B318C">
        <w:rPr>
          <w:rFonts w:cs="Times New Roman"/>
        </w:rPr>
        <w:tab/>
      </w:r>
      <w:r w:rsidR="005B318C">
        <w:rPr>
          <w:rFonts w:cs="Times New Roman"/>
        </w:rPr>
        <w:tab/>
      </w:r>
      <w:r w:rsidR="005B318C">
        <w:rPr>
          <w:rFonts w:cs="Times New Roman"/>
        </w:rPr>
        <w:tab/>
        <w:t xml:space="preserve">               </w:t>
      </w:r>
      <w:r>
        <w:rPr>
          <w:rFonts w:cs="Times New Roman"/>
        </w:rPr>
        <w:t>Ignas Gaižiūnas</w:t>
      </w:r>
    </w:p>
    <w:p w14:paraId="69FE4A7E" w14:textId="77777777" w:rsidR="00AF0586" w:rsidRDefault="00AF0586" w:rsidP="008220CB">
      <w:pPr>
        <w:jc w:val="both"/>
        <w:rPr>
          <w:rFonts w:cs="Times New Roman"/>
        </w:rPr>
      </w:pPr>
    </w:p>
    <w:p w14:paraId="22BAEA68" w14:textId="77777777" w:rsidR="008220CB" w:rsidRDefault="008220CB" w:rsidP="008220CB">
      <w:pPr>
        <w:jc w:val="both"/>
        <w:rPr>
          <w:rFonts w:cs="Times New Roman"/>
        </w:rPr>
      </w:pPr>
    </w:p>
    <w:p w14:paraId="366FBF6A" w14:textId="77777777" w:rsidR="0062473C" w:rsidRPr="00710F09" w:rsidRDefault="0062473C" w:rsidP="008220CB">
      <w:pPr>
        <w:rPr>
          <w:rFonts w:cs="Times New Roman"/>
        </w:rPr>
      </w:pPr>
    </w:p>
    <w:sectPr w:rsidR="0062473C" w:rsidRPr="00710F09" w:rsidSect="00D870BA">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E054D8" w14:textId="77777777" w:rsidR="000A27E4" w:rsidRDefault="000A27E4" w:rsidP="00D870BA">
      <w:r>
        <w:separator/>
      </w:r>
    </w:p>
  </w:endnote>
  <w:endnote w:type="continuationSeparator" w:id="0">
    <w:p w14:paraId="6ACFA5D0" w14:textId="77777777" w:rsidR="000A27E4" w:rsidRDefault="000A27E4" w:rsidP="00D8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B206EF" w14:textId="77777777" w:rsidR="000A27E4" w:rsidRDefault="000A27E4" w:rsidP="00D870BA">
      <w:r>
        <w:separator/>
      </w:r>
    </w:p>
  </w:footnote>
  <w:footnote w:type="continuationSeparator" w:id="0">
    <w:p w14:paraId="65D0C39E" w14:textId="77777777" w:rsidR="000A27E4" w:rsidRDefault="000A27E4" w:rsidP="00D87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3110096"/>
      <w:docPartObj>
        <w:docPartGallery w:val="Page Numbers (Top of Page)"/>
        <w:docPartUnique/>
      </w:docPartObj>
    </w:sdtPr>
    <w:sdtEndPr/>
    <w:sdtContent>
      <w:p w14:paraId="360AD229" w14:textId="543D6835" w:rsidR="00D870BA" w:rsidRDefault="00D870BA">
        <w:pPr>
          <w:pStyle w:val="Antrats"/>
          <w:jc w:val="center"/>
        </w:pPr>
        <w:r>
          <w:fldChar w:fldCharType="begin"/>
        </w:r>
        <w:r>
          <w:instrText>PAGE   \* MERGEFORMAT</w:instrText>
        </w:r>
        <w:r>
          <w:fldChar w:fldCharType="separate"/>
        </w:r>
        <w:r w:rsidR="001A74CC">
          <w:rPr>
            <w:noProof/>
          </w:rPr>
          <w:t>2</w:t>
        </w:r>
        <w:r>
          <w:fldChar w:fldCharType="end"/>
        </w:r>
      </w:p>
    </w:sdtContent>
  </w:sdt>
  <w:p w14:paraId="0E93B943" w14:textId="77777777" w:rsidR="00D870BA" w:rsidRDefault="00D870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D73D1"/>
    <w:multiLevelType w:val="hybridMultilevel"/>
    <w:tmpl w:val="E9D2D6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9807971"/>
    <w:multiLevelType w:val="multilevel"/>
    <w:tmpl w:val="6FC8A4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493621"/>
    <w:multiLevelType w:val="multilevel"/>
    <w:tmpl w:val="B316F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991452"/>
    <w:multiLevelType w:val="multilevel"/>
    <w:tmpl w:val="3F10D086"/>
    <w:lvl w:ilvl="0">
      <w:start w:val="1"/>
      <w:numFmt w:val="decimal"/>
      <w:lvlText w:val="%1."/>
      <w:lvlJc w:val="left"/>
      <w:pPr>
        <w:tabs>
          <w:tab w:val="num" w:pos="-360"/>
        </w:tabs>
        <w:ind w:left="360" w:hanging="360"/>
      </w:pPr>
      <w:rPr>
        <w:b w:val="0"/>
        <w:bCs/>
        <w:strike w:val="0"/>
      </w:rPr>
    </w:lvl>
    <w:lvl w:ilvl="1">
      <w:start w:val="1"/>
      <w:numFmt w:val="lowerLetter"/>
      <w:lvlText w:val="%2."/>
      <w:lvlJc w:val="left"/>
      <w:pPr>
        <w:tabs>
          <w:tab w:val="num" w:pos="-360"/>
        </w:tabs>
        <w:ind w:left="1080" w:hanging="360"/>
      </w:pPr>
      <w:rPr>
        <w:strike w:val="0"/>
      </w:r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4" w15:restartNumberingAfterBreak="0">
    <w:nsid w:val="30462690"/>
    <w:multiLevelType w:val="multilevel"/>
    <w:tmpl w:val="4EB27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511BE1"/>
    <w:multiLevelType w:val="multilevel"/>
    <w:tmpl w:val="88D8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B23FA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3377D2"/>
    <w:multiLevelType w:val="hybridMultilevel"/>
    <w:tmpl w:val="3BF8EEE6"/>
    <w:lvl w:ilvl="0" w:tplc="9B884C52">
      <w:start w:val="1"/>
      <w:numFmt w:val="decimal"/>
      <w:lvlText w:val="%1."/>
      <w:lvlJc w:val="left"/>
      <w:pPr>
        <w:ind w:left="720" w:hanging="360"/>
      </w:pPr>
      <w:rPr>
        <w:rFonts w:ascii="Times New Roman" w:eastAsiaTheme="minorHAnsi" w:hAnsi="Times New Roman" w:cstheme="minorBidi"/>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9D0407E"/>
    <w:multiLevelType w:val="multilevel"/>
    <w:tmpl w:val="AFBC43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506408667">
    <w:abstractNumId w:val="1"/>
  </w:num>
  <w:num w:numId="2" w16cid:durableId="270744677">
    <w:abstractNumId w:val="0"/>
  </w:num>
  <w:num w:numId="3" w16cid:durableId="249044998">
    <w:abstractNumId w:val="7"/>
  </w:num>
  <w:num w:numId="4" w16cid:durableId="15123346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1233343">
    <w:abstractNumId w:val="3"/>
  </w:num>
  <w:num w:numId="6" w16cid:durableId="1628973810">
    <w:abstractNumId w:val="8"/>
  </w:num>
  <w:num w:numId="7" w16cid:durableId="1572543373">
    <w:abstractNumId w:val="5"/>
  </w:num>
  <w:num w:numId="8" w16cid:durableId="728109753">
    <w:abstractNumId w:val="2"/>
  </w:num>
  <w:num w:numId="9" w16cid:durableId="5431018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423"/>
    <w:rsid w:val="00027F00"/>
    <w:rsid w:val="000A27E4"/>
    <w:rsid w:val="000C3164"/>
    <w:rsid w:val="000E7423"/>
    <w:rsid w:val="000F4198"/>
    <w:rsid w:val="00126163"/>
    <w:rsid w:val="001355D0"/>
    <w:rsid w:val="00157602"/>
    <w:rsid w:val="00182D35"/>
    <w:rsid w:val="001A1396"/>
    <w:rsid w:val="001A74CC"/>
    <w:rsid w:val="001B185E"/>
    <w:rsid w:val="001B6C87"/>
    <w:rsid w:val="001C4E47"/>
    <w:rsid w:val="00215589"/>
    <w:rsid w:val="0021595C"/>
    <w:rsid w:val="00307B7C"/>
    <w:rsid w:val="00317A27"/>
    <w:rsid w:val="003431B8"/>
    <w:rsid w:val="00346846"/>
    <w:rsid w:val="00347CAD"/>
    <w:rsid w:val="00373889"/>
    <w:rsid w:val="00384792"/>
    <w:rsid w:val="00391127"/>
    <w:rsid w:val="003C6458"/>
    <w:rsid w:val="003D129A"/>
    <w:rsid w:val="003E7ADF"/>
    <w:rsid w:val="003F5004"/>
    <w:rsid w:val="003F6740"/>
    <w:rsid w:val="00402C78"/>
    <w:rsid w:val="00432CAB"/>
    <w:rsid w:val="0045266F"/>
    <w:rsid w:val="004573C2"/>
    <w:rsid w:val="00465339"/>
    <w:rsid w:val="00475D02"/>
    <w:rsid w:val="004A7BAE"/>
    <w:rsid w:val="004C4A2F"/>
    <w:rsid w:val="0056098D"/>
    <w:rsid w:val="0057590F"/>
    <w:rsid w:val="00596499"/>
    <w:rsid w:val="005B318C"/>
    <w:rsid w:val="005C0BFA"/>
    <w:rsid w:val="005D48E1"/>
    <w:rsid w:val="005E33D4"/>
    <w:rsid w:val="005E69F0"/>
    <w:rsid w:val="005F5210"/>
    <w:rsid w:val="005F7465"/>
    <w:rsid w:val="00601B5C"/>
    <w:rsid w:val="00621032"/>
    <w:rsid w:val="0062473C"/>
    <w:rsid w:val="006275A5"/>
    <w:rsid w:val="00633C52"/>
    <w:rsid w:val="00660EB0"/>
    <w:rsid w:val="006674E5"/>
    <w:rsid w:val="006A3DFD"/>
    <w:rsid w:val="006E07E7"/>
    <w:rsid w:val="00710F09"/>
    <w:rsid w:val="00732FC4"/>
    <w:rsid w:val="00733B85"/>
    <w:rsid w:val="0079510F"/>
    <w:rsid w:val="007A4B10"/>
    <w:rsid w:val="007C36F9"/>
    <w:rsid w:val="007C6BDA"/>
    <w:rsid w:val="00813702"/>
    <w:rsid w:val="008220CB"/>
    <w:rsid w:val="00823A77"/>
    <w:rsid w:val="00875793"/>
    <w:rsid w:val="00891385"/>
    <w:rsid w:val="008B1371"/>
    <w:rsid w:val="008B2455"/>
    <w:rsid w:val="008C5A9E"/>
    <w:rsid w:val="008D7E28"/>
    <w:rsid w:val="008F29E5"/>
    <w:rsid w:val="009200BA"/>
    <w:rsid w:val="00930E17"/>
    <w:rsid w:val="00932BC6"/>
    <w:rsid w:val="00941096"/>
    <w:rsid w:val="00946045"/>
    <w:rsid w:val="00966AC3"/>
    <w:rsid w:val="009C3DE7"/>
    <w:rsid w:val="009E13BB"/>
    <w:rsid w:val="00A1296C"/>
    <w:rsid w:val="00A1604A"/>
    <w:rsid w:val="00A26C35"/>
    <w:rsid w:val="00A45773"/>
    <w:rsid w:val="00A8188A"/>
    <w:rsid w:val="00AB2BFB"/>
    <w:rsid w:val="00AE31FA"/>
    <w:rsid w:val="00AF0586"/>
    <w:rsid w:val="00B005CD"/>
    <w:rsid w:val="00B12152"/>
    <w:rsid w:val="00B17777"/>
    <w:rsid w:val="00B348EE"/>
    <w:rsid w:val="00B40516"/>
    <w:rsid w:val="00B767D0"/>
    <w:rsid w:val="00BB58F9"/>
    <w:rsid w:val="00BC302C"/>
    <w:rsid w:val="00BC4CA3"/>
    <w:rsid w:val="00BF56D5"/>
    <w:rsid w:val="00C05154"/>
    <w:rsid w:val="00C13470"/>
    <w:rsid w:val="00C423C7"/>
    <w:rsid w:val="00C42B5F"/>
    <w:rsid w:val="00CC1F4A"/>
    <w:rsid w:val="00D3032E"/>
    <w:rsid w:val="00D57C83"/>
    <w:rsid w:val="00D71714"/>
    <w:rsid w:val="00D77520"/>
    <w:rsid w:val="00D870BA"/>
    <w:rsid w:val="00D95647"/>
    <w:rsid w:val="00DC565D"/>
    <w:rsid w:val="00DF0A73"/>
    <w:rsid w:val="00E13BAE"/>
    <w:rsid w:val="00E21C38"/>
    <w:rsid w:val="00E45D9E"/>
    <w:rsid w:val="00E60609"/>
    <w:rsid w:val="00F35C39"/>
    <w:rsid w:val="00F414EE"/>
    <w:rsid w:val="00F42844"/>
    <w:rsid w:val="00F52FAF"/>
    <w:rsid w:val="00F535DD"/>
    <w:rsid w:val="00FA7B92"/>
    <w:rsid w:val="00FE17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AB58"/>
  <w15:chartTrackingRefBased/>
  <w15:docId w15:val="{9DA47010-8EB7-4D06-9E0D-02EFDB28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bold"/>
    <w:basedOn w:val="prastasis"/>
    <w:next w:val="prastasis"/>
    <w:link w:val="Antrat1Diagrama"/>
    <w:autoRedefine/>
    <w:uiPriority w:val="99"/>
    <w:qFormat/>
    <w:rsid w:val="00930E17"/>
    <w:pPr>
      <w:keepNext/>
      <w:jc w:val="center"/>
      <w:outlineLvl w:val="0"/>
    </w:pPr>
    <w:rPr>
      <w:rFonts w:eastAsia="Times New Roman" w:cs="Times New Roman"/>
      <w:b/>
      <w:kern w:val="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rsid w:val="00930E17"/>
    <w:rPr>
      <w:rFonts w:eastAsia="Times New Roman" w:cs="Times New Roman"/>
      <w:b/>
      <w:kern w:val="0"/>
      <w:szCs w:val="20"/>
      <w14:ligatures w14:val="none"/>
    </w:rPr>
  </w:style>
  <w:style w:type="paragraph" w:styleId="Sraopastraipa">
    <w:name w:val="List Paragraph"/>
    <w:basedOn w:val="prastasis"/>
    <w:qFormat/>
    <w:rsid w:val="00710F09"/>
    <w:pPr>
      <w:spacing w:after="160" w:line="259" w:lineRule="auto"/>
      <w:ind w:left="720"/>
      <w:contextualSpacing/>
    </w:pPr>
    <w:rPr>
      <w:rFonts w:ascii="Calibri" w:eastAsia="Calibri" w:hAnsi="Calibri" w:cs="Times New Roman"/>
      <w:kern w:val="0"/>
      <w:sz w:val="22"/>
      <w14:ligatures w14:val="none"/>
    </w:rPr>
  </w:style>
  <w:style w:type="paragraph" w:styleId="Antrats">
    <w:name w:val="header"/>
    <w:basedOn w:val="prastasis"/>
    <w:link w:val="AntratsDiagrama"/>
    <w:uiPriority w:val="99"/>
    <w:unhideWhenUsed/>
    <w:rsid w:val="00D870BA"/>
    <w:pPr>
      <w:tabs>
        <w:tab w:val="center" w:pos="4819"/>
        <w:tab w:val="right" w:pos="9638"/>
      </w:tabs>
    </w:pPr>
  </w:style>
  <w:style w:type="character" w:customStyle="1" w:styleId="AntratsDiagrama">
    <w:name w:val="Antraštės Diagrama"/>
    <w:basedOn w:val="Numatytasispastraiposriftas"/>
    <w:link w:val="Antrats"/>
    <w:uiPriority w:val="99"/>
    <w:rsid w:val="00D870BA"/>
  </w:style>
  <w:style w:type="paragraph" w:styleId="Porat">
    <w:name w:val="footer"/>
    <w:basedOn w:val="prastasis"/>
    <w:link w:val="PoratDiagrama"/>
    <w:uiPriority w:val="99"/>
    <w:unhideWhenUsed/>
    <w:rsid w:val="00D870BA"/>
    <w:pPr>
      <w:tabs>
        <w:tab w:val="center" w:pos="4819"/>
        <w:tab w:val="right" w:pos="9638"/>
      </w:tabs>
    </w:pPr>
  </w:style>
  <w:style w:type="character" w:customStyle="1" w:styleId="PoratDiagrama">
    <w:name w:val="Poraštė Diagrama"/>
    <w:basedOn w:val="Numatytasispastraiposriftas"/>
    <w:link w:val="Porat"/>
    <w:uiPriority w:val="99"/>
    <w:rsid w:val="00D870BA"/>
  </w:style>
  <w:style w:type="paragraph" w:customStyle="1" w:styleId="paragraph">
    <w:name w:val="paragraph"/>
    <w:basedOn w:val="prastasis"/>
    <w:rsid w:val="00475D02"/>
    <w:pPr>
      <w:spacing w:before="100" w:beforeAutospacing="1" w:after="100" w:afterAutospacing="1"/>
    </w:pPr>
    <w:rPr>
      <w:rFonts w:eastAsia="Times New Roman" w:cs="Times New Roman"/>
      <w:kern w:val="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6032904">
      <w:bodyDiv w:val="1"/>
      <w:marLeft w:val="0"/>
      <w:marRight w:val="0"/>
      <w:marTop w:val="0"/>
      <w:marBottom w:val="0"/>
      <w:divBdr>
        <w:top w:val="none" w:sz="0" w:space="0" w:color="auto"/>
        <w:left w:val="none" w:sz="0" w:space="0" w:color="auto"/>
        <w:bottom w:val="none" w:sz="0" w:space="0" w:color="auto"/>
        <w:right w:val="none" w:sz="0" w:space="0" w:color="auto"/>
      </w:divBdr>
    </w:div>
    <w:div w:id="692732328">
      <w:bodyDiv w:val="1"/>
      <w:marLeft w:val="0"/>
      <w:marRight w:val="0"/>
      <w:marTop w:val="0"/>
      <w:marBottom w:val="0"/>
      <w:divBdr>
        <w:top w:val="none" w:sz="0" w:space="0" w:color="auto"/>
        <w:left w:val="none" w:sz="0" w:space="0" w:color="auto"/>
        <w:bottom w:val="none" w:sz="0" w:space="0" w:color="auto"/>
        <w:right w:val="none" w:sz="0" w:space="0" w:color="auto"/>
      </w:divBdr>
    </w:div>
    <w:div w:id="925192141">
      <w:bodyDiv w:val="1"/>
      <w:marLeft w:val="0"/>
      <w:marRight w:val="0"/>
      <w:marTop w:val="0"/>
      <w:marBottom w:val="0"/>
      <w:divBdr>
        <w:top w:val="none" w:sz="0" w:space="0" w:color="auto"/>
        <w:left w:val="none" w:sz="0" w:space="0" w:color="auto"/>
        <w:bottom w:val="none" w:sz="0" w:space="0" w:color="auto"/>
        <w:right w:val="none" w:sz="0" w:space="0" w:color="auto"/>
      </w:divBdr>
    </w:div>
    <w:div w:id="1112089715">
      <w:bodyDiv w:val="1"/>
      <w:marLeft w:val="0"/>
      <w:marRight w:val="0"/>
      <w:marTop w:val="0"/>
      <w:marBottom w:val="0"/>
      <w:divBdr>
        <w:top w:val="none" w:sz="0" w:space="0" w:color="auto"/>
        <w:left w:val="none" w:sz="0" w:space="0" w:color="auto"/>
        <w:bottom w:val="none" w:sz="0" w:space="0" w:color="auto"/>
        <w:right w:val="none" w:sz="0" w:space="0" w:color="auto"/>
      </w:divBdr>
      <w:divsChild>
        <w:div w:id="529345971">
          <w:marLeft w:val="0"/>
          <w:marRight w:val="0"/>
          <w:marTop w:val="0"/>
          <w:marBottom w:val="0"/>
          <w:divBdr>
            <w:top w:val="none" w:sz="0" w:space="0" w:color="auto"/>
            <w:left w:val="none" w:sz="0" w:space="0" w:color="auto"/>
            <w:bottom w:val="none" w:sz="0" w:space="0" w:color="auto"/>
            <w:right w:val="none" w:sz="0" w:space="0" w:color="auto"/>
          </w:divBdr>
        </w:div>
        <w:div w:id="1121532530">
          <w:marLeft w:val="0"/>
          <w:marRight w:val="0"/>
          <w:marTop w:val="0"/>
          <w:marBottom w:val="0"/>
          <w:divBdr>
            <w:top w:val="none" w:sz="0" w:space="0" w:color="auto"/>
            <w:left w:val="none" w:sz="0" w:space="0" w:color="auto"/>
            <w:bottom w:val="none" w:sz="0" w:space="0" w:color="auto"/>
            <w:right w:val="none" w:sz="0" w:space="0" w:color="auto"/>
          </w:divBdr>
        </w:div>
      </w:divsChild>
    </w:div>
    <w:div w:id="1220940152">
      <w:bodyDiv w:val="1"/>
      <w:marLeft w:val="0"/>
      <w:marRight w:val="0"/>
      <w:marTop w:val="0"/>
      <w:marBottom w:val="0"/>
      <w:divBdr>
        <w:top w:val="none" w:sz="0" w:space="0" w:color="auto"/>
        <w:left w:val="none" w:sz="0" w:space="0" w:color="auto"/>
        <w:bottom w:val="none" w:sz="0" w:space="0" w:color="auto"/>
        <w:right w:val="none" w:sz="0" w:space="0" w:color="auto"/>
      </w:divBdr>
    </w:div>
    <w:div w:id="1228952820">
      <w:bodyDiv w:val="1"/>
      <w:marLeft w:val="0"/>
      <w:marRight w:val="0"/>
      <w:marTop w:val="0"/>
      <w:marBottom w:val="0"/>
      <w:divBdr>
        <w:top w:val="none" w:sz="0" w:space="0" w:color="auto"/>
        <w:left w:val="none" w:sz="0" w:space="0" w:color="auto"/>
        <w:bottom w:val="none" w:sz="0" w:space="0" w:color="auto"/>
        <w:right w:val="none" w:sz="0" w:space="0" w:color="auto"/>
      </w:divBdr>
      <w:divsChild>
        <w:div w:id="969626998">
          <w:marLeft w:val="0"/>
          <w:marRight w:val="0"/>
          <w:marTop w:val="0"/>
          <w:marBottom w:val="0"/>
          <w:divBdr>
            <w:top w:val="none" w:sz="0" w:space="0" w:color="auto"/>
            <w:left w:val="none" w:sz="0" w:space="0" w:color="auto"/>
            <w:bottom w:val="none" w:sz="0" w:space="0" w:color="auto"/>
            <w:right w:val="none" w:sz="0" w:space="0" w:color="auto"/>
          </w:divBdr>
        </w:div>
        <w:div w:id="723868443">
          <w:marLeft w:val="0"/>
          <w:marRight w:val="0"/>
          <w:marTop w:val="0"/>
          <w:marBottom w:val="0"/>
          <w:divBdr>
            <w:top w:val="none" w:sz="0" w:space="0" w:color="auto"/>
            <w:left w:val="none" w:sz="0" w:space="0" w:color="auto"/>
            <w:bottom w:val="none" w:sz="0" w:space="0" w:color="auto"/>
            <w:right w:val="none" w:sz="0" w:space="0" w:color="auto"/>
          </w:divBdr>
        </w:div>
      </w:divsChild>
    </w:div>
    <w:div w:id="1543708884">
      <w:bodyDiv w:val="1"/>
      <w:marLeft w:val="0"/>
      <w:marRight w:val="0"/>
      <w:marTop w:val="0"/>
      <w:marBottom w:val="0"/>
      <w:divBdr>
        <w:top w:val="none" w:sz="0" w:space="0" w:color="auto"/>
        <w:left w:val="none" w:sz="0" w:space="0" w:color="auto"/>
        <w:bottom w:val="none" w:sz="0" w:space="0" w:color="auto"/>
        <w:right w:val="none" w:sz="0" w:space="0" w:color="auto"/>
      </w:divBdr>
      <w:divsChild>
        <w:div w:id="1649744958">
          <w:marLeft w:val="0"/>
          <w:marRight w:val="0"/>
          <w:marTop w:val="0"/>
          <w:marBottom w:val="0"/>
          <w:divBdr>
            <w:top w:val="none" w:sz="0" w:space="0" w:color="auto"/>
            <w:left w:val="none" w:sz="0" w:space="0" w:color="auto"/>
            <w:bottom w:val="none" w:sz="0" w:space="0" w:color="auto"/>
            <w:right w:val="none" w:sz="0" w:space="0" w:color="auto"/>
          </w:divBdr>
        </w:div>
        <w:div w:id="20671473">
          <w:marLeft w:val="0"/>
          <w:marRight w:val="0"/>
          <w:marTop w:val="0"/>
          <w:marBottom w:val="0"/>
          <w:divBdr>
            <w:top w:val="none" w:sz="0" w:space="0" w:color="auto"/>
            <w:left w:val="none" w:sz="0" w:space="0" w:color="auto"/>
            <w:bottom w:val="none" w:sz="0" w:space="0" w:color="auto"/>
            <w:right w:val="none" w:sz="0" w:space="0" w:color="auto"/>
          </w:divBdr>
        </w:div>
        <w:div w:id="1271863463">
          <w:marLeft w:val="0"/>
          <w:marRight w:val="0"/>
          <w:marTop w:val="0"/>
          <w:marBottom w:val="0"/>
          <w:divBdr>
            <w:top w:val="none" w:sz="0" w:space="0" w:color="auto"/>
            <w:left w:val="none" w:sz="0" w:space="0" w:color="auto"/>
            <w:bottom w:val="none" w:sz="0" w:space="0" w:color="auto"/>
            <w:right w:val="none" w:sz="0" w:space="0" w:color="auto"/>
          </w:divBdr>
        </w:div>
      </w:divsChild>
    </w:div>
    <w:div w:id="1648586120">
      <w:bodyDiv w:val="1"/>
      <w:marLeft w:val="0"/>
      <w:marRight w:val="0"/>
      <w:marTop w:val="0"/>
      <w:marBottom w:val="0"/>
      <w:divBdr>
        <w:top w:val="none" w:sz="0" w:space="0" w:color="auto"/>
        <w:left w:val="none" w:sz="0" w:space="0" w:color="auto"/>
        <w:bottom w:val="none" w:sz="0" w:space="0" w:color="auto"/>
        <w:right w:val="none" w:sz="0" w:space="0" w:color="auto"/>
      </w:divBdr>
      <w:divsChild>
        <w:div w:id="1231306837">
          <w:marLeft w:val="0"/>
          <w:marRight w:val="0"/>
          <w:marTop w:val="0"/>
          <w:marBottom w:val="0"/>
          <w:divBdr>
            <w:top w:val="none" w:sz="0" w:space="0" w:color="auto"/>
            <w:left w:val="none" w:sz="0" w:space="0" w:color="auto"/>
            <w:bottom w:val="none" w:sz="0" w:space="0" w:color="auto"/>
            <w:right w:val="none" w:sz="0" w:space="0" w:color="auto"/>
          </w:divBdr>
        </w:div>
        <w:div w:id="434984003">
          <w:marLeft w:val="0"/>
          <w:marRight w:val="0"/>
          <w:marTop w:val="0"/>
          <w:marBottom w:val="0"/>
          <w:divBdr>
            <w:top w:val="none" w:sz="0" w:space="0" w:color="auto"/>
            <w:left w:val="none" w:sz="0" w:space="0" w:color="auto"/>
            <w:bottom w:val="none" w:sz="0" w:space="0" w:color="auto"/>
            <w:right w:val="none" w:sz="0" w:space="0" w:color="auto"/>
          </w:divBdr>
        </w:div>
        <w:div w:id="217129979">
          <w:marLeft w:val="0"/>
          <w:marRight w:val="0"/>
          <w:marTop w:val="0"/>
          <w:marBottom w:val="0"/>
          <w:divBdr>
            <w:top w:val="none" w:sz="0" w:space="0" w:color="auto"/>
            <w:left w:val="none" w:sz="0" w:space="0" w:color="auto"/>
            <w:bottom w:val="none" w:sz="0" w:space="0" w:color="auto"/>
            <w:right w:val="none" w:sz="0" w:space="0" w:color="auto"/>
          </w:divBdr>
        </w:div>
      </w:divsChild>
    </w:div>
    <w:div w:id="1982226869">
      <w:bodyDiv w:val="1"/>
      <w:marLeft w:val="0"/>
      <w:marRight w:val="0"/>
      <w:marTop w:val="0"/>
      <w:marBottom w:val="0"/>
      <w:divBdr>
        <w:top w:val="none" w:sz="0" w:space="0" w:color="auto"/>
        <w:left w:val="none" w:sz="0" w:space="0" w:color="auto"/>
        <w:bottom w:val="none" w:sz="0" w:space="0" w:color="auto"/>
        <w:right w:val="none" w:sz="0" w:space="0" w:color="auto"/>
      </w:divBdr>
    </w:div>
    <w:div w:id="202717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5237</Words>
  <Characters>2986</Characters>
  <Application>Microsoft Office Word</Application>
  <DocSecurity>4</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Užtupaitė</dc:creator>
  <cp:keywords/>
  <dc:description/>
  <cp:lastModifiedBy>Diana Brazdžiunienė</cp:lastModifiedBy>
  <cp:revision>2</cp:revision>
  <cp:lastPrinted>2024-12-04T10:44:00Z</cp:lastPrinted>
  <dcterms:created xsi:type="dcterms:W3CDTF">2026-09-10T05:56:00Z</dcterms:created>
  <dcterms:modified xsi:type="dcterms:W3CDTF">2026-09-10T05:56:00Z</dcterms:modified>
</cp:coreProperties>
</file>