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92B5" w14:textId="7C992108" w:rsidR="00784BDE" w:rsidRDefault="00784BDE" w:rsidP="00784BDE">
      <w:pPr>
        <w:rPr>
          <w:rFonts w:ascii="Times New Roman" w:hAnsi="Times New Roman" w:cs="Times New Roman"/>
        </w:rPr>
      </w:pPr>
      <w:r w:rsidRPr="00784BDE">
        <w:rPr>
          <w:rFonts w:ascii="Times New Roman" w:hAnsi="Times New Roman" w:cs="Times New Roman"/>
          <w:b/>
          <w:bCs/>
        </w:rPr>
        <w:t>Panevėžio miesto savivaldybės administracijai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784BDE">
        <w:rPr>
          <w:rFonts w:ascii="Times New Roman" w:hAnsi="Times New Roman" w:cs="Times New Roman"/>
        </w:rPr>
        <w:t>202</w:t>
      </w:r>
      <w:r w:rsidR="00E7308D">
        <w:rPr>
          <w:rFonts w:ascii="Times New Roman" w:hAnsi="Times New Roman" w:cs="Times New Roman"/>
        </w:rPr>
        <w:t>6</w:t>
      </w:r>
      <w:r w:rsidRPr="00784BDE">
        <w:rPr>
          <w:rFonts w:ascii="Times New Roman" w:hAnsi="Times New Roman" w:cs="Times New Roman"/>
        </w:rPr>
        <w:t>-0</w:t>
      </w:r>
      <w:r w:rsidR="008676BC">
        <w:rPr>
          <w:rFonts w:ascii="Times New Roman" w:hAnsi="Times New Roman" w:cs="Times New Roman"/>
        </w:rPr>
        <w:t>5</w:t>
      </w:r>
      <w:r w:rsidRPr="00784BDE">
        <w:rPr>
          <w:rFonts w:ascii="Times New Roman" w:hAnsi="Times New Roman" w:cs="Times New Roman"/>
        </w:rPr>
        <w:t>-</w:t>
      </w:r>
      <w:r w:rsidR="008676BC">
        <w:rPr>
          <w:rFonts w:ascii="Times New Roman" w:hAnsi="Times New Roman" w:cs="Times New Roman"/>
        </w:rPr>
        <w:t xml:space="preserve">    </w:t>
      </w:r>
      <w:r w:rsidR="00AD4A88">
        <w:rPr>
          <w:rFonts w:ascii="Times New Roman" w:hAnsi="Times New Roman" w:cs="Times New Roman"/>
        </w:rPr>
        <w:t>Nr.</w:t>
      </w:r>
      <w:r w:rsidRPr="00784BDE">
        <w:rPr>
          <w:rFonts w:ascii="Times New Roman" w:hAnsi="Times New Roman" w:cs="Times New Roman"/>
        </w:rPr>
        <w:br/>
        <w:t>Turto valdymo skyriui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B3DBE06" w14:textId="347644D5" w:rsidR="00784BDE" w:rsidRPr="00784BDE" w:rsidRDefault="00784BDE" w:rsidP="00784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CD62FC9" w14:textId="77777777" w:rsidR="00784BDE" w:rsidRDefault="00784BDE" w:rsidP="00784BDE">
      <w:pPr>
        <w:jc w:val="center"/>
        <w:rPr>
          <w:rFonts w:ascii="Times New Roman" w:hAnsi="Times New Roman" w:cs="Times New Roman"/>
          <w:b/>
          <w:bCs/>
        </w:rPr>
      </w:pPr>
      <w:r w:rsidRPr="00784BDE">
        <w:rPr>
          <w:rFonts w:ascii="Times New Roman" w:hAnsi="Times New Roman" w:cs="Times New Roman"/>
          <w:b/>
          <w:bCs/>
        </w:rPr>
        <w:t>PRAŠYMAS</w:t>
      </w:r>
    </w:p>
    <w:p w14:paraId="3415EF1E" w14:textId="110C3A99" w:rsidR="00784BDE" w:rsidRDefault="00784BDE" w:rsidP="007201E2">
      <w:pPr>
        <w:jc w:val="center"/>
        <w:rPr>
          <w:rFonts w:ascii="Times New Roman" w:hAnsi="Times New Roman" w:cs="Times New Roman"/>
        </w:rPr>
      </w:pPr>
      <w:r w:rsidRPr="00784BDE">
        <w:rPr>
          <w:rFonts w:ascii="Times New Roman" w:hAnsi="Times New Roman" w:cs="Times New Roman"/>
          <w:b/>
          <w:bCs/>
        </w:rPr>
        <w:t>DĖL LENGVŲJŲ TARNYBINIŲ AUTOMOBILIŲ ĮSIGIJIMO</w:t>
      </w:r>
    </w:p>
    <w:p w14:paraId="707D362E" w14:textId="77777777" w:rsidR="007201E2" w:rsidRPr="007201E2" w:rsidRDefault="007201E2" w:rsidP="007201E2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76BEEC9" w14:textId="400453A3" w:rsidR="00784BDE" w:rsidRPr="00322197" w:rsidRDefault="00784BDE" w:rsidP="00902CE1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84BDE">
        <w:rPr>
          <w:rFonts w:ascii="Times New Roman" w:hAnsi="Times New Roman" w:cs="Times New Roman"/>
        </w:rPr>
        <w:t>Vadovaujantis Panevėžio miesto savivaldybės tarybos 2013 m. gegužės 30 d. sprendimu Nr. 1-</w:t>
      </w:r>
      <w:r w:rsidR="00902CE1">
        <w:rPr>
          <w:rFonts w:ascii="Times New Roman" w:hAnsi="Times New Roman" w:cs="Times New Roman"/>
        </w:rPr>
        <w:t>1</w:t>
      </w:r>
      <w:r w:rsidRPr="00784BDE">
        <w:rPr>
          <w:rFonts w:ascii="Times New Roman" w:hAnsi="Times New Roman" w:cs="Times New Roman"/>
        </w:rPr>
        <w:t xml:space="preserve">64 „Dėl Tarnybinių lengvųjų automobilių įsigijimo, nuomos ir naudojimo Panevėžio miesto savivaldybės biudžetinėse įstaigose tvarkos aprašo patvirtinimo“, 5 punktu, </w:t>
      </w:r>
      <w:r w:rsidR="00902CE1">
        <w:rPr>
          <w:rFonts w:ascii="Times New Roman" w:hAnsi="Times New Roman" w:cs="Times New Roman"/>
        </w:rPr>
        <w:t>b</w:t>
      </w:r>
      <w:r w:rsidR="00902CE1" w:rsidRPr="00902CE1">
        <w:rPr>
          <w:rFonts w:ascii="Times New Roman" w:hAnsi="Times New Roman" w:cs="Times New Roman"/>
        </w:rPr>
        <w:t>iudžetinės įstaigos tarnybinius lengvuosius automobilius gali įsigyti</w:t>
      </w:r>
      <w:r w:rsidR="00902CE1">
        <w:rPr>
          <w:rFonts w:ascii="Times New Roman" w:hAnsi="Times New Roman" w:cs="Times New Roman"/>
        </w:rPr>
        <w:t xml:space="preserve"> </w:t>
      </w:r>
      <w:r w:rsidR="00902CE1" w:rsidRPr="00902CE1">
        <w:rPr>
          <w:rFonts w:ascii="Times New Roman" w:hAnsi="Times New Roman" w:cs="Times New Roman"/>
        </w:rPr>
        <w:t xml:space="preserve">tik Panevėžio miesto savivaldybės tarybos leidimu, </w:t>
      </w:r>
      <w:r w:rsidR="00902CE1" w:rsidRPr="00322197">
        <w:rPr>
          <w:rFonts w:ascii="Times New Roman" w:hAnsi="Times New Roman" w:cs="Times New Roman"/>
        </w:rPr>
        <w:t>vadovaudamosi Lietuvos Respublikos viešųjų pirkimų įstatymo nustatyta tvarka</w:t>
      </w:r>
      <w:r w:rsidRPr="00322197">
        <w:rPr>
          <w:rFonts w:ascii="Times New Roman" w:hAnsi="Times New Roman" w:cs="Times New Roman"/>
        </w:rPr>
        <w:t>.</w:t>
      </w:r>
    </w:p>
    <w:p w14:paraId="7F79FBEA" w14:textId="59E3394A" w:rsidR="00183431" w:rsidRPr="00183431" w:rsidRDefault="00183431" w:rsidP="00183431">
      <w:pPr>
        <w:pStyle w:val="prastasiniatinklio"/>
        <w:spacing w:before="0" w:beforeAutospacing="0" w:after="0" w:afterAutospacing="0" w:line="360" w:lineRule="auto"/>
        <w:ind w:firstLine="720"/>
        <w:jc w:val="both"/>
      </w:pPr>
      <w:r w:rsidRPr="00322197">
        <w:t xml:space="preserve">Nuo 2026 m. pradžios, įgyvendinus Panevėžio kultūros ir meno įstaigų priežiūros centralizavimą, Centro administruojamo turto apimtys ženkliai išaugo: lyginant su 2025 m. prižiūrėtais 18-a objektų, 2026 m. portfelis pasipildė 7 naujais vienetais (iš viso 25 objektai). Pažymėtina, kad dalis šių objektų yra kompleksiniai – juos sudaro po kelis skirtingais adresais išsidėsčiusius statinius, todėl faktiškai prižiūrimo nekilnojamojo turto vienetų skaičius yra dar didesnis. Padidėjęs objektų skaičius tiesiogiai lėmė išaugusį reglamentinių </w:t>
      </w:r>
      <w:r w:rsidR="00DD291C" w:rsidRPr="00322197">
        <w:t xml:space="preserve">ir remonto </w:t>
      </w:r>
      <w:r w:rsidRPr="00322197">
        <w:t>darbų kiekį, dažnesnius techninių darbuotojų išvykimus bei operatyvaus reagavimo į gedimus poreikį.</w:t>
      </w:r>
    </w:p>
    <w:p w14:paraId="76CA646A" w14:textId="2CB5E952" w:rsidR="00183431" w:rsidRDefault="00D43386" w:rsidP="00183431">
      <w:pPr>
        <w:pStyle w:val="prastasiniatinklio"/>
        <w:spacing w:before="0" w:beforeAutospacing="0" w:after="0" w:afterAutospacing="0" w:line="360" w:lineRule="auto"/>
        <w:ind w:firstLine="720"/>
        <w:jc w:val="both"/>
      </w:pPr>
      <w:r w:rsidRPr="00D43386">
        <w:t>Siekiant užtikrinti nepertraukiamą ir kokybišką sporto, kultūros bei administracinės paskirties pastatų priežiūrą, Centre suformuotos 9 mobiliosios brigados. Tačiau dabartinis Centro transporto parkas yra nepakankamas: turimų automobilių skaičius neatitinka suformuotų brigadų poreikio, o tai riboja darbuotojų mobilumą ir operatyvų užduočių atlikimą</w:t>
      </w:r>
      <w:r w:rsidR="00183431">
        <w:t>. Atsižvelgiant į naujai priskirtą infrastruktūrą, būtina papildyti tarnybinių automobilių parką.</w:t>
      </w:r>
    </w:p>
    <w:p w14:paraId="3C24FB75" w14:textId="1E9A5374" w:rsidR="00183431" w:rsidRDefault="0088707A" w:rsidP="00183431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Šiuo metu </w:t>
      </w:r>
      <w:r w:rsidRPr="00322197">
        <w:rPr>
          <w:rFonts w:ascii="Times New Roman" w:hAnsi="Times New Roman" w:cs="Times New Roman"/>
        </w:rPr>
        <w:t xml:space="preserve">Centras turi </w:t>
      </w:r>
      <w:r>
        <w:rPr>
          <w:rFonts w:ascii="Times New Roman" w:hAnsi="Times New Roman" w:cs="Times New Roman"/>
        </w:rPr>
        <w:t xml:space="preserve">ir veikloje naudoja </w:t>
      </w:r>
      <w:r w:rsidRPr="00322197">
        <w:rPr>
          <w:rFonts w:ascii="Times New Roman" w:hAnsi="Times New Roman" w:cs="Times New Roman"/>
        </w:rPr>
        <w:t>4 naudotus</w:t>
      </w:r>
      <w:r>
        <w:rPr>
          <w:rFonts w:ascii="Times New Roman" w:hAnsi="Times New Roman" w:cs="Times New Roman"/>
        </w:rPr>
        <w:t xml:space="preserve"> </w:t>
      </w:r>
      <w:r w:rsidRPr="00322197">
        <w:rPr>
          <w:rFonts w:ascii="Times New Roman" w:hAnsi="Times New Roman" w:cs="Times New Roman"/>
        </w:rPr>
        <w:t>automobilius (2022 m. ir 2024 m., rida iki 100.000 km, 2 krovininius mikroautobusus (1998 m ir 1999 m.).</w:t>
      </w:r>
      <w:r>
        <w:rPr>
          <w:rFonts w:ascii="Times New Roman" w:hAnsi="Times New Roman" w:cs="Times New Roman"/>
        </w:rPr>
        <w:t xml:space="preserve"> Dar 1 specializuota transporto priemonė 2026 m. birželio mėn. bus perduota kaip</w:t>
      </w:r>
      <w:r w:rsidR="00183431" w:rsidRPr="006E7A6F">
        <w:rPr>
          <w:rFonts w:ascii="Times New Roman" w:hAnsi="Times New Roman" w:cs="Times New Roman"/>
        </w:rPr>
        <w:t xml:space="preserve"> humanitarin</w:t>
      </w:r>
      <w:r w:rsidR="00183431">
        <w:rPr>
          <w:rFonts w:ascii="Times New Roman" w:hAnsi="Times New Roman" w:cs="Times New Roman"/>
        </w:rPr>
        <w:t>ė</w:t>
      </w:r>
      <w:r w:rsidR="00183431" w:rsidRPr="006E7A6F">
        <w:rPr>
          <w:rFonts w:ascii="Times New Roman" w:hAnsi="Times New Roman" w:cs="Times New Roman"/>
        </w:rPr>
        <w:t xml:space="preserve"> pagalb</w:t>
      </w:r>
      <w:r>
        <w:rPr>
          <w:rFonts w:ascii="Times New Roman" w:hAnsi="Times New Roman" w:cs="Times New Roman"/>
        </w:rPr>
        <w:t xml:space="preserve">a, o </w:t>
      </w:r>
      <w:r w:rsidRPr="00E51939">
        <w:rPr>
          <w:rFonts w:ascii="Times New Roman" w:hAnsi="Times New Roman" w:cs="Times New Roman"/>
        </w:rPr>
        <w:t>vienas tarnybinis automobilis yra nebeeksploatuojamas, neturi galiojančios techninės apžiūros (jo remonto išlaidos yra didesnės nei likutinė vertė).</w:t>
      </w:r>
    </w:p>
    <w:p w14:paraId="04DB3054" w14:textId="1A10989D" w:rsidR="007201E2" w:rsidRDefault="006E7A6F" w:rsidP="007201E2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E7A6F">
        <w:rPr>
          <w:rFonts w:ascii="Times New Roman" w:hAnsi="Times New Roman" w:cs="Times New Roman"/>
        </w:rPr>
        <w:t xml:space="preserve">Už </w:t>
      </w:r>
      <w:r w:rsidR="00D64DBB">
        <w:rPr>
          <w:rFonts w:ascii="Times New Roman" w:hAnsi="Times New Roman" w:cs="Times New Roman"/>
        </w:rPr>
        <w:t xml:space="preserve">Centro </w:t>
      </w:r>
      <w:r w:rsidRPr="006E7A6F">
        <w:rPr>
          <w:rFonts w:ascii="Times New Roman" w:hAnsi="Times New Roman" w:cs="Times New Roman"/>
        </w:rPr>
        <w:t>biudžete numatytas lėšas planuojam</w:t>
      </w:r>
      <w:r>
        <w:rPr>
          <w:rFonts w:ascii="Times New Roman" w:hAnsi="Times New Roman" w:cs="Times New Roman"/>
        </w:rPr>
        <w:t>e</w:t>
      </w:r>
      <w:r w:rsidRPr="006E7A6F">
        <w:rPr>
          <w:rFonts w:ascii="Times New Roman" w:hAnsi="Times New Roman" w:cs="Times New Roman"/>
        </w:rPr>
        <w:t xml:space="preserve"> įsigyti </w:t>
      </w:r>
      <w:r w:rsidR="00322197">
        <w:rPr>
          <w:rFonts w:ascii="Times New Roman" w:hAnsi="Times New Roman" w:cs="Times New Roman"/>
        </w:rPr>
        <w:t>2</w:t>
      </w:r>
      <w:r w:rsidRPr="006E7A6F">
        <w:rPr>
          <w:rFonts w:ascii="Times New Roman" w:hAnsi="Times New Roman" w:cs="Times New Roman"/>
        </w:rPr>
        <w:t xml:space="preserve"> nau</w:t>
      </w:r>
      <w:r w:rsidR="00340904">
        <w:rPr>
          <w:rFonts w:ascii="Times New Roman" w:hAnsi="Times New Roman" w:cs="Times New Roman"/>
        </w:rPr>
        <w:t>dotus</w:t>
      </w:r>
      <w:r w:rsidR="00CE39E5">
        <w:rPr>
          <w:rFonts w:ascii="Times New Roman" w:hAnsi="Times New Roman" w:cs="Times New Roman"/>
        </w:rPr>
        <w:t xml:space="preserve"> -</w:t>
      </w:r>
      <w:r w:rsidRPr="006E7A6F">
        <w:rPr>
          <w:rFonts w:ascii="Times New Roman" w:hAnsi="Times New Roman" w:cs="Times New Roman"/>
        </w:rPr>
        <w:t xml:space="preserve"> iškastiniu kuru varomus </w:t>
      </w:r>
      <w:r w:rsidR="0023436B" w:rsidRPr="006E7A6F">
        <w:rPr>
          <w:rFonts w:ascii="Times New Roman" w:hAnsi="Times New Roman" w:cs="Times New Roman"/>
        </w:rPr>
        <w:t>automobilius</w:t>
      </w:r>
      <w:r w:rsidR="0023436B">
        <w:rPr>
          <w:rFonts w:ascii="Times New Roman" w:hAnsi="Times New Roman" w:cs="Times New Roman"/>
        </w:rPr>
        <w:t xml:space="preserve"> (</w:t>
      </w:r>
      <w:r w:rsidR="00322197">
        <w:rPr>
          <w:rFonts w:ascii="Times New Roman" w:hAnsi="Times New Roman" w:cs="Times New Roman"/>
        </w:rPr>
        <w:t>1</w:t>
      </w:r>
      <w:r w:rsidR="0023436B">
        <w:rPr>
          <w:rFonts w:ascii="Times New Roman" w:hAnsi="Times New Roman" w:cs="Times New Roman"/>
        </w:rPr>
        <w:t xml:space="preserve">  vnt. lengv</w:t>
      </w:r>
      <w:r w:rsidR="00322197">
        <w:rPr>
          <w:rFonts w:ascii="Times New Roman" w:hAnsi="Times New Roman" w:cs="Times New Roman"/>
        </w:rPr>
        <w:t>asis</w:t>
      </w:r>
      <w:r w:rsidR="0023436B">
        <w:rPr>
          <w:rFonts w:ascii="Times New Roman" w:hAnsi="Times New Roman" w:cs="Times New Roman"/>
        </w:rPr>
        <w:t xml:space="preserve"> komercini</w:t>
      </w:r>
      <w:r w:rsidR="00322197">
        <w:rPr>
          <w:rFonts w:ascii="Times New Roman" w:hAnsi="Times New Roman" w:cs="Times New Roman"/>
        </w:rPr>
        <w:t>s</w:t>
      </w:r>
      <w:r w:rsidR="0023436B">
        <w:rPr>
          <w:rFonts w:ascii="Times New Roman" w:hAnsi="Times New Roman" w:cs="Times New Roman"/>
        </w:rPr>
        <w:t xml:space="preserve"> automobili</w:t>
      </w:r>
      <w:r w:rsidR="00322197">
        <w:rPr>
          <w:rFonts w:ascii="Times New Roman" w:hAnsi="Times New Roman" w:cs="Times New Roman"/>
        </w:rPr>
        <w:t>s</w:t>
      </w:r>
      <w:r w:rsidR="0023436B">
        <w:rPr>
          <w:rFonts w:ascii="Times New Roman" w:hAnsi="Times New Roman" w:cs="Times New Roman"/>
        </w:rPr>
        <w:t xml:space="preserve"> ir 1 vnt. krovininis mikroautobusas) ir 1 naują</w:t>
      </w:r>
      <w:r w:rsidRPr="006E7A6F">
        <w:rPr>
          <w:rFonts w:ascii="Times New Roman" w:hAnsi="Times New Roman" w:cs="Times New Roman"/>
        </w:rPr>
        <w:t xml:space="preserve"> elektromobil</w:t>
      </w:r>
      <w:r w:rsidR="0023436B">
        <w:rPr>
          <w:rFonts w:ascii="Times New Roman" w:hAnsi="Times New Roman" w:cs="Times New Roman"/>
        </w:rPr>
        <w:t>į</w:t>
      </w:r>
      <w:r w:rsidR="00D64DBB">
        <w:rPr>
          <w:rFonts w:ascii="Times New Roman" w:hAnsi="Times New Roman" w:cs="Times New Roman"/>
        </w:rPr>
        <w:t>,</w:t>
      </w:r>
      <w:r w:rsidRPr="006E7A6F">
        <w:rPr>
          <w:rFonts w:ascii="Times New Roman" w:hAnsi="Times New Roman" w:cs="Times New Roman"/>
        </w:rPr>
        <w:t xml:space="preserve"> kurie būtų naudojam</w:t>
      </w:r>
      <w:r w:rsidR="00322197">
        <w:rPr>
          <w:rFonts w:ascii="Times New Roman" w:hAnsi="Times New Roman" w:cs="Times New Roman"/>
        </w:rPr>
        <w:t>i</w:t>
      </w:r>
      <w:r w:rsidRPr="006E7A6F">
        <w:rPr>
          <w:rFonts w:ascii="Times New Roman" w:hAnsi="Times New Roman" w:cs="Times New Roman"/>
        </w:rPr>
        <w:t xml:space="preserve"> techninių darbuotojų kasdieniam darbui, reagavimui į inžinerinių sistemų avarijas, įrankių bei įrangos pervežimui.</w:t>
      </w:r>
      <w:r w:rsidR="007201E2">
        <w:rPr>
          <w:rFonts w:ascii="Times New Roman" w:hAnsi="Times New Roman" w:cs="Times New Roman"/>
        </w:rPr>
        <w:t xml:space="preserve"> </w:t>
      </w:r>
      <w:r w:rsidR="007201E2" w:rsidRPr="007201E2">
        <w:rPr>
          <w:rFonts w:ascii="Times New Roman" w:hAnsi="Times New Roman" w:cs="Times New Roman"/>
        </w:rPr>
        <w:t>Įsigijus nauj</w:t>
      </w:r>
      <w:r w:rsidR="0023436B">
        <w:rPr>
          <w:rFonts w:ascii="Times New Roman" w:hAnsi="Times New Roman" w:cs="Times New Roman"/>
        </w:rPr>
        <w:t>ą</w:t>
      </w:r>
      <w:r w:rsidR="007201E2" w:rsidRPr="007201E2">
        <w:rPr>
          <w:rFonts w:ascii="Times New Roman" w:hAnsi="Times New Roman" w:cs="Times New Roman"/>
        </w:rPr>
        <w:t xml:space="preserve"> elektromobil</w:t>
      </w:r>
      <w:r w:rsidR="0023436B">
        <w:rPr>
          <w:rFonts w:ascii="Times New Roman" w:hAnsi="Times New Roman" w:cs="Times New Roman"/>
        </w:rPr>
        <w:t>į</w:t>
      </w:r>
      <w:r w:rsidR="007201E2" w:rsidRPr="007201E2">
        <w:rPr>
          <w:rFonts w:ascii="Times New Roman" w:hAnsi="Times New Roman" w:cs="Times New Roman"/>
        </w:rPr>
        <w:t xml:space="preserve"> </w:t>
      </w:r>
      <w:r w:rsidR="00D43386">
        <w:rPr>
          <w:rFonts w:ascii="Times New Roman" w:hAnsi="Times New Roman" w:cs="Times New Roman"/>
        </w:rPr>
        <w:t xml:space="preserve">Centras įgytų </w:t>
      </w:r>
      <w:r w:rsidR="007201E2" w:rsidRPr="007201E2">
        <w:rPr>
          <w:rFonts w:ascii="Times New Roman" w:hAnsi="Times New Roman" w:cs="Times New Roman"/>
        </w:rPr>
        <w:t>galimyb</w:t>
      </w:r>
      <w:r w:rsidR="008967A9">
        <w:rPr>
          <w:rFonts w:ascii="Times New Roman" w:hAnsi="Times New Roman" w:cs="Times New Roman"/>
        </w:rPr>
        <w:t>ę</w:t>
      </w:r>
      <w:r w:rsidR="007201E2" w:rsidRPr="007201E2">
        <w:rPr>
          <w:rFonts w:ascii="Times New Roman" w:hAnsi="Times New Roman" w:cs="Times New Roman"/>
        </w:rPr>
        <w:t xml:space="preserve"> teikti paraišką </w:t>
      </w:r>
      <w:r w:rsidR="00D43386" w:rsidRPr="007201E2">
        <w:rPr>
          <w:rFonts w:ascii="Times New Roman" w:hAnsi="Times New Roman" w:cs="Times New Roman"/>
        </w:rPr>
        <w:t xml:space="preserve">Aplinkos projektų valdymo agentūrai </w:t>
      </w:r>
      <w:r w:rsidR="007201E2" w:rsidRPr="007201E2">
        <w:rPr>
          <w:rFonts w:ascii="Times New Roman" w:hAnsi="Times New Roman" w:cs="Times New Roman"/>
        </w:rPr>
        <w:t xml:space="preserve">dėl kompensacijos </w:t>
      </w:r>
      <w:r w:rsidR="00D43386">
        <w:rPr>
          <w:rFonts w:ascii="Times New Roman" w:hAnsi="Times New Roman" w:cs="Times New Roman"/>
        </w:rPr>
        <w:t xml:space="preserve">gavimo </w:t>
      </w:r>
      <w:r w:rsidR="007201E2">
        <w:rPr>
          <w:rFonts w:ascii="Times New Roman" w:hAnsi="Times New Roman" w:cs="Times New Roman"/>
        </w:rPr>
        <w:t>(</w:t>
      </w:r>
      <w:r w:rsidR="007201E2" w:rsidRPr="007201E2">
        <w:rPr>
          <w:rFonts w:ascii="Times New Roman" w:hAnsi="Times New Roman" w:cs="Times New Roman"/>
        </w:rPr>
        <w:t xml:space="preserve">įsigijus naujus M1 </w:t>
      </w:r>
      <w:r w:rsidR="007201E2" w:rsidRPr="007201E2">
        <w:rPr>
          <w:rFonts w:ascii="Times New Roman" w:hAnsi="Times New Roman" w:cs="Times New Roman"/>
        </w:rPr>
        <w:lastRenderedPageBreak/>
        <w:t xml:space="preserve">ir N1 klasės grynuosius elektromobilius ar vandeniliu varomus automobilius </w:t>
      </w:r>
      <w:r w:rsidR="00CE39E5">
        <w:rPr>
          <w:rFonts w:ascii="Times New Roman" w:hAnsi="Times New Roman" w:cs="Times New Roman"/>
        </w:rPr>
        <w:t xml:space="preserve">parama siektų </w:t>
      </w:r>
      <w:r w:rsidR="007201E2" w:rsidRPr="007201E2">
        <w:rPr>
          <w:rFonts w:ascii="Times New Roman" w:hAnsi="Times New Roman" w:cs="Times New Roman"/>
        </w:rPr>
        <w:t>iki 15 000 Eur/vnt.)</w:t>
      </w:r>
      <w:r w:rsidR="00D43386">
        <w:rPr>
          <w:rFonts w:ascii="Times New Roman" w:hAnsi="Times New Roman" w:cs="Times New Roman"/>
        </w:rPr>
        <w:t>.</w:t>
      </w:r>
      <w:r w:rsidR="008676BC">
        <w:rPr>
          <w:rFonts w:ascii="Times New Roman" w:hAnsi="Times New Roman" w:cs="Times New Roman"/>
        </w:rPr>
        <w:t xml:space="preserve"> 19800 15410 34196</w:t>
      </w:r>
    </w:p>
    <w:p w14:paraId="541F5E5D" w14:textId="6971FC0F" w:rsidR="006B32DC" w:rsidRDefault="006B32DC" w:rsidP="007201E2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Orientacinės </w:t>
      </w:r>
      <w:r w:rsidR="00D43386">
        <w:rPr>
          <w:rFonts w:ascii="Times New Roman" w:hAnsi="Times New Roman" w:cs="Times New Roman"/>
        </w:rPr>
        <w:t xml:space="preserve">komercinės paskirties automobilių ir krovininių mikroautobusų </w:t>
      </w:r>
      <w:r>
        <w:rPr>
          <w:rFonts w:ascii="Times New Roman" w:hAnsi="Times New Roman" w:cs="Times New Roman"/>
        </w:rPr>
        <w:t>kainos (2026 m. balandis):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84"/>
        <w:gridCol w:w="1488"/>
        <w:gridCol w:w="1985"/>
        <w:gridCol w:w="2836"/>
        <w:gridCol w:w="1835"/>
      </w:tblGrid>
      <w:tr w:rsidR="00546CD7" w:rsidRPr="001425D6" w14:paraId="547C1E2D" w14:textId="77777777" w:rsidTr="001425D6">
        <w:trPr>
          <w:trHeight w:val="413"/>
        </w:trPr>
        <w:tc>
          <w:tcPr>
            <w:tcW w:w="1484" w:type="dxa"/>
          </w:tcPr>
          <w:p w14:paraId="36C9C044" w14:textId="4CE8BE77" w:rsidR="00546CD7" w:rsidRPr="001425D6" w:rsidRDefault="00546CD7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Tarnybinis automobilis</w:t>
            </w:r>
          </w:p>
        </w:tc>
        <w:tc>
          <w:tcPr>
            <w:tcW w:w="1488" w:type="dxa"/>
          </w:tcPr>
          <w:p w14:paraId="74E1C6CB" w14:textId="0DD77017" w:rsidR="00546CD7" w:rsidRPr="001425D6" w:rsidRDefault="00546CD7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Kuro rūšis</w:t>
            </w:r>
          </w:p>
        </w:tc>
        <w:tc>
          <w:tcPr>
            <w:tcW w:w="1985" w:type="dxa"/>
          </w:tcPr>
          <w:p w14:paraId="14944EA3" w14:textId="77777777" w:rsidR="00546CD7" w:rsidRPr="001425D6" w:rsidRDefault="00546CD7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14:paraId="77FBC7D9" w14:textId="5B1D1E5D" w:rsidR="00546CD7" w:rsidRPr="001425D6" w:rsidRDefault="00072739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Automobilio markė</w:t>
            </w:r>
          </w:p>
        </w:tc>
        <w:tc>
          <w:tcPr>
            <w:tcW w:w="1835" w:type="dxa"/>
          </w:tcPr>
          <w:p w14:paraId="1899847B" w14:textId="11EE2485" w:rsidR="00546CD7" w:rsidRPr="001425D6" w:rsidRDefault="00546CD7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Kaina, orientacinė</w:t>
            </w:r>
          </w:p>
        </w:tc>
      </w:tr>
      <w:tr w:rsidR="001425D6" w:rsidRPr="001425D6" w14:paraId="1C608B46" w14:textId="77777777" w:rsidTr="001425D6">
        <w:trPr>
          <w:trHeight w:val="413"/>
        </w:trPr>
        <w:tc>
          <w:tcPr>
            <w:tcW w:w="1484" w:type="dxa"/>
            <w:vMerge w:val="restart"/>
            <w:vAlign w:val="center"/>
          </w:tcPr>
          <w:p w14:paraId="05DD0411" w14:textId="1B4F9023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Komercinės paskirties automobilis</w:t>
            </w:r>
          </w:p>
        </w:tc>
        <w:tc>
          <w:tcPr>
            <w:tcW w:w="1488" w:type="dxa"/>
            <w:vMerge w:val="restart"/>
            <w:vAlign w:val="center"/>
          </w:tcPr>
          <w:p w14:paraId="0AF1A7D1" w14:textId="41B8FBE1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Elektromobilis</w:t>
            </w:r>
          </w:p>
        </w:tc>
        <w:tc>
          <w:tcPr>
            <w:tcW w:w="1985" w:type="dxa"/>
          </w:tcPr>
          <w:p w14:paraId="6B14B984" w14:textId="152CC820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496BD7FC" w14:textId="3AF506C2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Toyota Proace city 50 kWh elektra</w:t>
            </w:r>
          </w:p>
        </w:tc>
        <w:tc>
          <w:tcPr>
            <w:tcW w:w="1835" w:type="dxa"/>
          </w:tcPr>
          <w:p w14:paraId="73BFB3C5" w14:textId="5EC9B0F2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35.000 Eur</w:t>
            </w:r>
          </w:p>
        </w:tc>
      </w:tr>
      <w:tr w:rsidR="001425D6" w:rsidRPr="001425D6" w14:paraId="64B4F0C1" w14:textId="77777777" w:rsidTr="001425D6">
        <w:trPr>
          <w:trHeight w:val="413"/>
        </w:trPr>
        <w:tc>
          <w:tcPr>
            <w:tcW w:w="1484" w:type="dxa"/>
            <w:vMerge/>
            <w:vAlign w:val="center"/>
          </w:tcPr>
          <w:p w14:paraId="6C76C404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234AC0D8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4EDD2" w14:textId="27AE436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54B4527A" w14:textId="2C13FF59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 xml:space="preserve">Citroen berlingo </w:t>
            </w:r>
          </w:p>
        </w:tc>
        <w:tc>
          <w:tcPr>
            <w:tcW w:w="1835" w:type="dxa"/>
          </w:tcPr>
          <w:p w14:paraId="24CCED36" w14:textId="03CFE5F6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34.490 Eur</w:t>
            </w:r>
          </w:p>
        </w:tc>
      </w:tr>
      <w:tr w:rsidR="001425D6" w:rsidRPr="001425D6" w14:paraId="23410171" w14:textId="77777777" w:rsidTr="001425D6">
        <w:trPr>
          <w:trHeight w:val="413"/>
        </w:trPr>
        <w:tc>
          <w:tcPr>
            <w:tcW w:w="1484" w:type="dxa"/>
            <w:vMerge/>
            <w:vAlign w:val="center"/>
          </w:tcPr>
          <w:p w14:paraId="5BFBA8B1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60837361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EE2B5A" w14:textId="635C99E3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2501F0BE" w14:textId="137B9454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Peugeot Partner 100 kW</w:t>
            </w:r>
          </w:p>
        </w:tc>
        <w:tc>
          <w:tcPr>
            <w:tcW w:w="1835" w:type="dxa"/>
          </w:tcPr>
          <w:p w14:paraId="567D62B8" w14:textId="717EEE6A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33.100 Eur</w:t>
            </w:r>
          </w:p>
        </w:tc>
      </w:tr>
      <w:tr w:rsidR="001425D6" w:rsidRPr="001425D6" w14:paraId="65CCFFB8" w14:textId="77777777" w:rsidTr="001425D6">
        <w:trPr>
          <w:trHeight w:val="412"/>
        </w:trPr>
        <w:tc>
          <w:tcPr>
            <w:tcW w:w="1484" w:type="dxa"/>
            <w:vMerge/>
            <w:vAlign w:val="center"/>
          </w:tcPr>
          <w:p w14:paraId="5BCC8662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504C3FE8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3C8D1D" w14:textId="02CA51AD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Iki 3 m. senumo, rida iki 50k km</w:t>
            </w:r>
          </w:p>
        </w:tc>
        <w:tc>
          <w:tcPr>
            <w:tcW w:w="2836" w:type="dxa"/>
          </w:tcPr>
          <w:p w14:paraId="2D899040" w14:textId="58D642D4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Toyota Proace City Electric 100 kW</w:t>
            </w:r>
          </w:p>
        </w:tc>
        <w:tc>
          <w:tcPr>
            <w:tcW w:w="1835" w:type="dxa"/>
          </w:tcPr>
          <w:p w14:paraId="65FE3F3D" w14:textId="2056F844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22.900 Eur</w:t>
            </w:r>
          </w:p>
        </w:tc>
      </w:tr>
      <w:tr w:rsidR="001425D6" w:rsidRPr="001425D6" w14:paraId="15A5FB5B" w14:textId="77777777" w:rsidTr="001425D6">
        <w:tc>
          <w:tcPr>
            <w:tcW w:w="1484" w:type="dxa"/>
            <w:vMerge/>
            <w:vAlign w:val="center"/>
          </w:tcPr>
          <w:p w14:paraId="3ECBB5E6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280E1E9C" w14:textId="278C3DE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Iškastinis kuras</w:t>
            </w:r>
          </w:p>
        </w:tc>
        <w:tc>
          <w:tcPr>
            <w:tcW w:w="1985" w:type="dxa"/>
          </w:tcPr>
          <w:p w14:paraId="36BFE4BB" w14:textId="68F24AB4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02BD75AB" w14:textId="556EC78F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Toyota Proace city 1,5 dyzelinas</w:t>
            </w:r>
          </w:p>
        </w:tc>
        <w:tc>
          <w:tcPr>
            <w:tcW w:w="1835" w:type="dxa"/>
          </w:tcPr>
          <w:p w14:paraId="40B90949" w14:textId="4CDDB65A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22.300 Eur</w:t>
            </w:r>
          </w:p>
        </w:tc>
      </w:tr>
      <w:tr w:rsidR="001425D6" w:rsidRPr="001425D6" w14:paraId="1C8D268E" w14:textId="77777777" w:rsidTr="001425D6">
        <w:tc>
          <w:tcPr>
            <w:tcW w:w="1484" w:type="dxa"/>
            <w:vMerge/>
          </w:tcPr>
          <w:p w14:paraId="7C7DB140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7D05D743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201EA6" w14:textId="4EFAE19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3F44A324" w14:textId="6DE4F685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Toyota Proace city 1,2 benzinas</w:t>
            </w:r>
          </w:p>
        </w:tc>
        <w:tc>
          <w:tcPr>
            <w:tcW w:w="1835" w:type="dxa"/>
          </w:tcPr>
          <w:p w14:paraId="473377F1" w14:textId="3C4E7722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23.150 Eur</w:t>
            </w:r>
          </w:p>
        </w:tc>
      </w:tr>
      <w:tr w:rsidR="001425D6" w:rsidRPr="001425D6" w14:paraId="7D24180D" w14:textId="77777777" w:rsidTr="001425D6">
        <w:tc>
          <w:tcPr>
            <w:tcW w:w="1484" w:type="dxa"/>
            <w:vMerge/>
          </w:tcPr>
          <w:p w14:paraId="7CC8C0AC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3C949393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EE4971" w14:textId="1311A564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 xml:space="preserve">Naujas </w:t>
            </w:r>
          </w:p>
        </w:tc>
        <w:tc>
          <w:tcPr>
            <w:tcW w:w="2836" w:type="dxa"/>
          </w:tcPr>
          <w:p w14:paraId="12844221" w14:textId="79F6668A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Citroen berlingo dyzelinas</w:t>
            </w:r>
          </w:p>
        </w:tc>
        <w:tc>
          <w:tcPr>
            <w:tcW w:w="1835" w:type="dxa"/>
          </w:tcPr>
          <w:p w14:paraId="76E9A9CD" w14:textId="66134370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23.460 Eur</w:t>
            </w:r>
          </w:p>
        </w:tc>
      </w:tr>
      <w:tr w:rsidR="001425D6" w:rsidRPr="001425D6" w14:paraId="3636468D" w14:textId="77777777" w:rsidTr="001425D6">
        <w:tc>
          <w:tcPr>
            <w:tcW w:w="1484" w:type="dxa"/>
            <w:vMerge/>
          </w:tcPr>
          <w:p w14:paraId="58E6D595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2A9CAC7E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21ECF" w14:textId="30260F70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1BB4DE84" w14:textId="697E75AF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Citroen berlingo benzinas</w:t>
            </w:r>
          </w:p>
        </w:tc>
        <w:tc>
          <w:tcPr>
            <w:tcW w:w="1835" w:type="dxa"/>
          </w:tcPr>
          <w:p w14:paraId="04C93656" w14:textId="581D1D1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22.800 Eur</w:t>
            </w:r>
          </w:p>
        </w:tc>
      </w:tr>
      <w:tr w:rsidR="001425D6" w:rsidRPr="001425D6" w14:paraId="3BB4EA23" w14:textId="77777777" w:rsidTr="001425D6">
        <w:tc>
          <w:tcPr>
            <w:tcW w:w="1484" w:type="dxa"/>
            <w:vMerge/>
          </w:tcPr>
          <w:p w14:paraId="074655B4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30529955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D11B88" w14:textId="11E8B649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501A1F73" w14:textId="63B8B52A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Peugeot Partner dyzelinas</w:t>
            </w:r>
          </w:p>
        </w:tc>
        <w:tc>
          <w:tcPr>
            <w:tcW w:w="1835" w:type="dxa"/>
          </w:tcPr>
          <w:p w14:paraId="1535601D" w14:textId="1B28742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23.500 Eur</w:t>
            </w:r>
          </w:p>
        </w:tc>
      </w:tr>
      <w:tr w:rsidR="001425D6" w:rsidRPr="001425D6" w14:paraId="36D635CE" w14:textId="77777777" w:rsidTr="001425D6">
        <w:tc>
          <w:tcPr>
            <w:tcW w:w="1484" w:type="dxa"/>
            <w:vMerge/>
          </w:tcPr>
          <w:p w14:paraId="1242EC8B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2C7955CE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DD9A59" w14:textId="7A827FD1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6177325B" w14:textId="4C6107DB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Peugeot Partner benzinas</w:t>
            </w:r>
          </w:p>
        </w:tc>
        <w:tc>
          <w:tcPr>
            <w:tcW w:w="1835" w:type="dxa"/>
          </w:tcPr>
          <w:p w14:paraId="34D3A7B9" w14:textId="431D4F61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23.200 Eur</w:t>
            </w:r>
          </w:p>
        </w:tc>
      </w:tr>
      <w:tr w:rsidR="001425D6" w:rsidRPr="001425D6" w14:paraId="04CA6BAE" w14:textId="77777777" w:rsidTr="001425D6">
        <w:tc>
          <w:tcPr>
            <w:tcW w:w="1484" w:type="dxa"/>
            <w:vMerge/>
          </w:tcPr>
          <w:p w14:paraId="141F74FF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15D819F4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686BC7" w14:textId="5592957B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="002343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 xml:space="preserve"> m. senumo, rida iki 100k km</w:t>
            </w:r>
          </w:p>
        </w:tc>
        <w:tc>
          <w:tcPr>
            <w:tcW w:w="2836" w:type="dxa"/>
          </w:tcPr>
          <w:p w14:paraId="26FB655F" w14:textId="1D74A2ED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Toyota Proace City Verso 1,5 dyzelinas</w:t>
            </w:r>
            <w:r w:rsidR="0023436B">
              <w:rPr>
                <w:rFonts w:ascii="Times New Roman" w:hAnsi="Times New Roman" w:cs="Times New Roman"/>
                <w:sz w:val="20"/>
                <w:szCs w:val="20"/>
              </w:rPr>
              <w:t xml:space="preserve"> 2022 m.</w:t>
            </w:r>
          </w:p>
        </w:tc>
        <w:tc>
          <w:tcPr>
            <w:tcW w:w="1835" w:type="dxa"/>
          </w:tcPr>
          <w:p w14:paraId="156CAA35" w14:textId="7F20F61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43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.900 Eur</w:t>
            </w:r>
          </w:p>
        </w:tc>
      </w:tr>
      <w:tr w:rsidR="001425D6" w:rsidRPr="001425D6" w14:paraId="4F0DFE47" w14:textId="77777777" w:rsidTr="001425D6">
        <w:tc>
          <w:tcPr>
            <w:tcW w:w="1484" w:type="dxa"/>
            <w:vMerge/>
          </w:tcPr>
          <w:p w14:paraId="40F02227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575B04E3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D766AF" w14:textId="37A0796C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Iki 3 m. senumo, rida iki 100k km</w:t>
            </w:r>
          </w:p>
        </w:tc>
        <w:tc>
          <w:tcPr>
            <w:tcW w:w="2836" w:type="dxa"/>
          </w:tcPr>
          <w:p w14:paraId="378B28D5" w14:textId="415379DB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Citroen Berlingo 1,5 dyzelinas</w:t>
            </w:r>
          </w:p>
        </w:tc>
        <w:tc>
          <w:tcPr>
            <w:tcW w:w="1835" w:type="dxa"/>
          </w:tcPr>
          <w:p w14:paraId="70AA4460" w14:textId="7FD79DD0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13.920 Eur</w:t>
            </w:r>
          </w:p>
        </w:tc>
      </w:tr>
      <w:tr w:rsidR="001425D6" w:rsidRPr="001425D6" w14:paraId="6CD43D48" w14:textId="77777777" w:rsidTr="001425D6">
        <w:trPr>
          <w:trHeight w:val="413"/>
        </w:trPr>
        <w:tc>
          <w:tcPr>
            <w:tcW w:w="1484" w:type="dxa"/>
            <w:vMerge w:val="restart"/>
            <w:vAlign w:val="center"/>
          </w:tcPr>
          <w:p w14:paraId="1BA890A0" w14:textId="3C4A5E13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Krovininis mikroautobusas</w:t>
            </w:r>
          </w:p>
        </w:tc>
        <w:tc>
          <w:tcPr>
            <w:tcW w:w="1488" w:type="dxa"/>
            <w:vMerge w:val="restart"/>
            <w:vAlign w:val="center"/>
          </w:tcPr>
          <w:p w14:paraId="2CC1174D" w14:textId="2233BFD6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Elektromobilis</w:t>
            </w:r>
          </w:p>
        </w:tc>
        <w:tc>
          <w:tcPr>
            <w:tcW w:w="1985" w:type="dxa"/>
          </w:tcPr>
          <w:p w14:paraId="4F9F9324" w14:textId="1B1CF399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77D77686" w14:textId="40B9E789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 xml:space="preserve">Toyota Proace 75 kWh </w:t>
            </w:r>
          </w:p>
        </w:tc>
        <w:tc>
          <w:tcPr>
            <w:tcW w:w="1835" w:type="dxa"/>
          </w:tcPr>
          <w:p w14:paraId="06A7C243" w14:textId="36F43A0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48.700 Eur</w:t>
            </w:r>
          </w:p>
        </w:tc>
      </w:tr>
      <w:tr w:rsidR="001425D6" w:rsidRPr="001425D6" w14:paraId="101D974C" w14:textId="77777777" w:rsidTr="001425D6">
        <w:trPr>
          <w:trHeight w:val="412"/>
        </w:trPr>
        <w:tc>
          <w:tcPr>
            <w:tcW w:w="1484" w:type="dxa"/>
            <w:vMerge/>
          </w:tcPr>
          <w:p w14:paraId="567BCD34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667C2F1C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28429A" w14:textId="38614A79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111EB4C0" w14:textId="5E48FA8B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Citroen JUMPY elektra</w:t>
            </w:r>
          </w:p>
        </w:tc>
        <w:tc>
          <w:tcPr>
            <w:tcW w:w="1835" w:type="dxa"/>
          </w:tcPr>
          <w:p w14:paraId="348FEA55" w14:textId="68DF1D2C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38.990 Eur</w:t>
            </w:r>
          </w:p>
        </w:tc>
      </w:tr>
      <w:tr w:rsidR="001425D6" w:rsidRPr="001425D6" w14:paraId="5D3E699E" w14:textId="77777777" w:rsidTr="001425D6">
        <w:trPr>
          <w:trHeight w:val="412"/>
        </w:trPr>
        <w:tc>
          <w:tcPr>
            <w:tcW w:w="1484" w:type="dxa"/>
            <w:vMerge/>
          </w:tcPr>
          <w:p w14:paraId="2A608C89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54FC1D04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F1F399" w14:textId="0A8FF4AD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6B1B29EB" w14:textId="5270914C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Peugeot Expert elektra 100 kW</w:t>
            </w:r>
          </w:p>
        </w:tc>
        <w:tc>
          <w:tcPr>
            <w:tcW w:w="1835" w:type="dxa"/>
          </w:tcPr>
          <w:p w14:paraId="0C240772" w14:textId="11B96052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37.400 Eur</w:t>
            </w:r>
          </w:p>
        </w:tc>
      </w:tr>
      <w:tr w:rsidR="001425D6" w:rsidRPr="001425D6" w14:paraId="79AADD47" w14:textId="77777777" w:rsidTr="001425D6">
        <w:trPr>
          <w:trHeight w:val="412"/>
        </w:trPr>
        <w:tc>
          <w:tcPr>
            <w:tcW w:w="1484" w:type="dxa"/>
            <w:vMerge/>
          </w:tcPr>
          <w:p w14:paraId="0C189B09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27005082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D5375" w14:textId="25B63A4A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="003221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 xml:space="preserve"> m. senumo iki 30k km</w:t>
            </w:r>
          </w:p>
        </w:tc>
        <w:tc>
          <w:tcPr>
            <w:tcW w:w="2836" w:type="dxa"/>
          </w:tcPr>
          <w:p w14:paraId="4A178D3D" w14:textId="6058B1C4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Citroen Jumpy elektra 75 kW</w:t>
            </w:r>
          </w:p>
        </w:tc>
        <w:tc>
          <w:tcPr>
            <w:tcW w:w="1835" w:type="dxa"/>
          </w:tcPr>
          <w:p w14:paraId="04923FEB" w14:textId="7F286ECA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29.000 Eur</w:t>
            </w:r>
          </w:p>
        </w:tc>
      </w:tr>
      <w:tr w:rsidR="001425D6" w:rsidRPr="001425D6" w14:paraId="19D44D16" w14:textId="77777777" w:rsidTr="001425D6">
        <w:trPr>
          <w:trHeight w:val="210"/>
        </w:trPr>
        <w:tc>
          <w:tcPr>
            <w:tcW w:w="1484" w:type="dxa"/>
            <w:vMerge/>
          </w:tcPr>
          <w:p w14:paraId="74028FD8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2155550C" w14:textId="73D11568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Iškastinis kuras</w:t>
            </w:r>
          </w:p>
        </w:tc>
        <w:tc>
          <w:tcPr>
            <w:tcW w:w="1985" w:type="dxa"/>
          </w:tcPr>
          <w:p w14:paraId="61AC5F56" w14:textId="51B6C588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1F634310" w14:textId="4162C29A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Toyota Proace 2,2 dyzelinas</w:t>
            </w:r>
          </w:p>
        </w:tc>
        <w:tc>
          <w:tcPr>
            <w:tcW w:w="1835" w:type="dxa"/>
          </w:tcPr>
          <w:p w14:paraId="2CD24601" w14:textId="12E754D5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1425D6">
              <w:rPr>
                <w:rFonts w:ascii="Times New Roman" w:hAnsi="Times New Roman" w:cs="Times New Roman"/>
                <w:sz w:val="20"/>
                <w:szCs w:val="20"/>
              </w:rPr>
              <w:t>33.900 Eur</w:t>
            </w:r>
          </w:p>
        </w:tc>
      </w:tr>
      <w:tr w:rsidR="001425D6" w:rsidRPr="001425D6" w14:paraId="26D64F53" w14:textId="77777777" w:rsidTr="001425D6">
        <w:trPr>
          <w:trHeight w:val="210"/>
        </w:trPr>
        <w:tc>
          <w:tcPr>
            <w:tcW w:w="1484" w:type="dxa"/>
            <w:vMerge/>
          </w:tcPr>
          <w:p w14:paraId="7C2EC4BD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293E8D28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BA132B" w14:textId="0E97BF29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007E3815" w14:textId="44081EB4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Citroen JUMPY dyzelinas</w:t>
            </w:r>
          </w:p>
        </w:tc>
        <w:tc>
          <w:tcPr>
            <w:tcW w:w="1835" w:type="dxa"/>
          </w:tcPr>
          <w:p w14:paraId="053A40D8" w14:textId="07DA6D04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29.190 Eur</w:t>
            </w:r>
          </w:p>
        </w:tc>
      </w:tr>
      <w:tr w:rsidR="001425D6" w:rsidRPr="001425D6" w14:paraId="2D87B9BA" w14:textId="77777777" w:rsidTr="001425D6">
        <w:trPr>
          <w:trHeight w:val="210"/>
        </w:trPr>
        <w:tc>
          <w:tcPr>
            <w:tcW w:w="1484" w:type="dxa"/>
            <w:vMerge/>
          </w:tcPr>
          <w:p w14:paraId="584D665D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2C5CD275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28FB9" w14:textId="1F89FF37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naujas</w:t>
            </w:r>
          </w:p>
        </w:tc>
        <w:tc>
          <w:tcPr>
            <w:tcW w:w="2836" w:type="dxa"/>
          </w:tcPr>
          <w:p w14:paraId="7D506F0A" w14:textId="324D17C6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Peugeot Expert dyzelinas</w:t>
            </w:r>
          </w:p>
        </w:tc>
        <w:tc>
          <w:tcPr>
            <w:tcW w:w="1835" w:type="dxa"/>
          </w:tcPr>
          <w:p w14:paraId="11C0D3BD" w14:textId="68319195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31.300 Eur</w:t>
            </w:r>
          </w:p>
        </w:tc>
      </w:tr>
      <w:tr w:rsidR="001425D6" w:rsidRPr="001425D6" w14:paraId="2F6EB3E8" w14:textId="77777777" w:rsidTr="001425D6">
        <w:trPr>
          <w:trHeight w:val="210"/>
        </w:trPr>
        <w:tc>
          <w:tcPr>
            <w:tcW w:w="1484" w:type="dxa"/>
            <w:vMerge/>
          </w:tcPr>
          <w:p w14:paraId="2D86904A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1E5A272C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9D96FC" w14:textId="69637BC4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="003221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 m. senumo iki 100k km</w:t>
            </w:r>
          </w:p>
        </w:tc>
        <w:tc>
          <w:tcPr>
            <w:tcW w:w="2836" w:type="dxa"/>
          </w:tcPr>
          <w:p w14:paraId="4FB5E669" w14:textId="223B408C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Peugeot Expert dyzelinas</w:t>
            </w:r>
          </w:p>
        </w:tc>
        <w:tc>
          <w:tcPr>
            <w:tcW w:w="1835" w:type="dxa"/>
          </w:tcPr>
          <w:p w14:paraId="10553213" w14:textId="5627FF91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16.000 Eur</w:t>
            </w:r>
          </w:p>
        </w:tc>
      </w:tr>
      <w:tr w:rsidR="001425D6" w:rsidRPr="001425D6" w14:paraId="172C3EF7" w14:textId="77777777" w:rsidTr="001425D6">
        <w:trPr>
          <w:trHeight w:val="210"/>
        </w:trPr>
        <w:tc>
          <w:tcPr>
            <w:tcW w:w="1484" w:type="dxa"/>
            <w:vMerge/>
          </w:tcPr>
          <w:p w14:paraId="3B28637C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177D570E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8160BE" w14:textId="39885D53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="003221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 m. senumo iki 100k km</w:t>
            </w:r>
          </w:p>
        </w:tc>
        <w:tc>
          <w:tcPr>
            <w:tcW w:w="2836" w:type="dxa"/>
          </w:tcPr>
          <w:p w14:paraId="04693CC2" w14:textId="06196FF8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Toyota Proace dyzelinas</w:t>
            </w:r>
            <w:r w:rsidR="00340904"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 2023 m.</w:t>
            </w:r>
          </w:p>
        </w:tc>
        <w:tc>
          <w:tcPr>
            <w:tcW w:w="1835" w:type="dxa"/>
          </w:tcPr>
          <w:p w14:paraId="544C88E3" w14:textId="4FFE465B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904" w:rsidRPr="003409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0904" w:rsidRPr="0034090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0 Eur</w:t>
            </w:r>
          </w:p>
        </w:tc>
      </w:tr>
      <w:tr w:rsidR="001425D6" w:rsidRPr="001425D6" w14:paraId="4CCE06E3" w14:textId="77777777" w:rsidTr="001425D6">
        <w:trPr>
          <w:trHeight w:val="210"/>
        </w:trPr>
        <w:tc>
          <w:tcPr>
            <w:tcW w:w="1484" w:type="dxa"/>
            <w:vMerge/>
          </w:tcPr>
          <w:p w14:paraId="6757DF53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311F4E91" w14:textId="77777777" w:rsidR="001425D6" w:rsidRPr="001425D6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15DB3B" w14:textId="6F4313D5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Iki </w:t>
            </w:r>
            <w:r w:rsidR="003221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 m. senumo iki 100k km</w:t>
            </w:r>
          </w:p>
        </w:tc>
        <w:tc>
          <w:tcPr>
            <w:tcW w:w="2836" w:type="dxa"/>
          </w:tcPr>
          <w:p w14:paraId="76883601" w14:textId="68C7B558" w:rsidR="001425D6" w:rsidRPr="00340904" w:rsidRDefault="001425D6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Citroen Jumpy dyzelinas</w:t>
            </w:r>
            <w:r w:rsidR="00340904"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 2022 m.</w:t>
            </w:r>
          </w:p>
        </w:tc>
        <w:tc>
          <w:tcPr>
            <w:tcW w:w="1835" w:type="dxa"/>
          </w:tcPr>
          <w:p w14:paraId="628CC0D1" w14:textId="5C04CA93" w:rsidR="001425D6" w:rsidRPr="00340904" w:rsidRDefault="00340904" w:rsidP="001425D6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425D6" w:rsidRPr="0034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4090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1425D6" w:rsidRPr="00340904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</w:tbl>
    <w:p w14:paraId="2246070E" w14:textId="77777777" w:rsidR="006B32DC" w:rsidRPr="006E7A6F" w:rsidRDefault="006B32DC" w:rsidP="007201E2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4A73260C" w14:textId="3D135FD3" w:rsidR="00340904" w:rsidRPr="00F61609" w:rsidRDefault="00784BDE" w:rsidP="00CE39E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8967A9">
        <w:rPr>
          <w:rFonts w:ascii="Times New Roman" w:hAnsi="Times New Roman" w:cs="Times New Roman"/>
        </w:rPr>
        <w:t xml:space="preserve">Atsižvelgiant į išdėstytas aplinkybes, prašome Turto valdymo skyriaus </w:t>
      </w:r>
      <w:r w:rsidR="00D64DBB" w:rsidRPr="008967A9">
        <w:rPr>
          <w:rFonts w:ascii="Times New Roman" w:hAnsi="Times New Roman" w:cs="Times New Roman"/>
        </w:rPr>
        <w:t>parengti Tarybos sprendimo projektą</w:t>
      </w:r>
      <w:r w:rsidRPr="008967A9">
        <w:rPr>
          <w:rFonts w:ascii="Times New Roman" w:hAnsi="Times New Roman" w:cs="Times New Roman"/>
        </w:rPr>
        <w:t xml:space="preserve"> dėl leidimo </w:t>
      </w:r>
      <w:r w:rsidR="00D64DBB" w:rsidRPr="008967A9">
        <w:rPr>
          <w:rFonts w:ascii="Times New Roman" w:hAnsi="Times New Roman" w:cs="Times New Roman"/>
        </w:rPr>
        <w:t xml:space="preserve">Centrui, vadovaujantis Lietuvos Respublikos viešųjų pirkimų įstatymo nustatyta tvarka, įsigyti </w:t>
      </w:r>
      <w:r w:rsidR="00322197">
        <w:rPr>
          <w:rFonts w:ascii="Times New Roman" w:hAnsi="Times New Roman" w:cs="Times New Roman"/>
        </w:rPr>
        <w:t>2</w:t>
      </w:r>
      <w:r w:rsidR="008967A9" w:rsidRPr="00F61609">
        <w:rPr>
          <w:rFonts w:ascii="Times New Roman" w:hAnsi="Times New Roman" w:cs="Times New Roman"/>
        </w:rPr>
        <w:t xml:space="preserve"> nau</w:t>
      </w:r>
      <w:r w:rsidR="00340904" w:rsidRPr="00F61609">
        <w:rPr>
          <w:rFonts w:ascii="Times New Roman" w:hAnsi="Times New Roman" w:cs="Times New Roman"/>
        </w:rPr>
        <w:t>dotus</w:t>
      </w:r>
      <w:r w:rsidR="008967A9" w:rsidRPr="00F61609">
        <w:rPr>
          <w:rFonts w:ascii="Times New Roman" w:hAnsi="Times New Roman" w:cs="Times New Roman"/>
        </w:rPr>
        <w:t xml:space="preserve"> - iškastiniu kuru varomus automobilius </w:t>
      </w:r>
      <w:r w:rsidR="00340904" w:rsidRPr="00F61609">
        <w:rPr>
          <w:rFonts w:ascii="Times New Roman" w:hAnsi="Times New Roman" w:cs="Times New Roman"/>
        </w:rPr>
        <w:t>ir</w:t>
      </w:r>
      <w:r w:rsidR="008967A9" w:rsidRPr="00F61609">
        <w:rPr>
          <w:rFonts w:ascii="Times New Roman" w:hAnsi="Times New Roman" w:cs="Times New Roman"/>
        </w:rPr>
        <w:t xml:space="preserve"> </w:t>
      </w:r>
      <w:r w:rsidR="00340904" w:rsidRPr="00F61609">
        <w:rPr>
          <w:rFonts w:ascii="Times New Roman" w:hAnsi="Times New Roman" w:cs="Times New Roman"/>
        </w:rPr>
        <w:t xml:space="preserve">vieną </w:t>
      </w:r>
      <w:r w:rsidR="008967A9" w:rsidRPr="00F61609">
        <w:rPr>
          <w:rFonts w:ascii="Times New Roman" w:hAnsi="Times New Roman" w:cs="Times New Roman"/>
        </w:rPr>
        <w:t>elektromobil</w:t>
      </w:r>
      <w:r w:rsidR="00340904" w:rsidRPr="00F61609">
        <w:rPr>
          <w:rFonts w:ascii="Times New Roman" w:hAnsi="Times New Roman" w:cs="Times New Roman"/>
        </w:rPr>
        <w:t>į</w:t>
      </w:r>
      <w:r w:rsidR="008967A9" w:rsidRPr="00F61609">
        <w:rPr>
          <w:rFonts w:ascii="Times New Roman" w:hAnsi="Times New Roman" w:cs="Times New Roman"/>
        </w:rPr>
        <w:t xml:space="preserve"> </w:t>
      </w:r>
      <w:r w:rsidR="00340904" w:rsidRPr="00F61609">
        <w:rPr>
          <w:rFonts w:ascii="Times New Roman" w:hAnsi="Times New Roman" w:cs="Times New Roman"/>
        </w:rPr>
        <w:t>bendroje sumoje iki</w:t>
      </w:r>
      <w:r w:rsidR="008967A9" w:rsidRPr="00F61609">
        <w:rPr>
          <w:rFonts w:ascii="Times New Roman" w:hAnsi="Times New Roman" w:cs="Times New Roman"/>
        </w:rPr>
        <w:t xml:space="preserve"> </w:t>
      </w:r>
      <w:r w:rsidR="00322197">
        <w:rPr>
          <w:rFonts w:ascii="Times New Roman" w:hAnsi="Times New Roman" w:cs="Times New Roman"/>
        </w:rPr>
        <w:t>7</w:t>
      </w:r>
      <w:r w:rsidR="008967A9" w:rsidRPr="00F61609">
        <w:rPr>
          <w:rFonts w:ascii="Times New Roman" w:hAnsi="Times New Roman" w:cs="Times New Roman"/>
        </w:rPr>
        <w:t>0 000 eurų (su PVM),</w:t>
      </w:r>
    </w:p>
    <w:p w14:paraId="6F33A6AB" w14:textId="79F956E8" w:rsidR="00340904" w:rsidRPr="00F61609" w:rsidRDefault="00340904" w:rsidP="00CE39E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F61609">
        <w:rPr>
          <w:rFonts w:ascii="Times New Roman" w:hAnsi="Times New Roman" w:cs="Times New Roman"/>
        </w:rPr>
        <w:t>Planuojam</w:t>
      </w:r>
      <w:r w:rsidR="00E51939">
        <w:rPr>
          <w:rFonts w:ascii="Times New Roman" w:hAnsi="Times New Roman" w:cs="Times New Roman"/>
        </w:rPr>
        <w:t>a</w:t>
      </w:r>
      <w:r w:rsidRPr="00F61609">
        <w:rPr>
          <w:rFonts w:ascii="Times New Roman" w:hAnsi="Times New Roman" w:cs="Times New Roman"/>
        </w:rPr>
        <w:t xml:space="preserve"> pirkti </w:t>
      </w:r>
      <w:r w:rsidR="00322197">
        <w:rPr>
          <w:rFonts w:ascii="Times New Roman" w:hAnsi="Times New Roman" w:cs="Times New Roman"/>
        </w:rPr>
        <w:t>1</w:t>
      </w:r>
      <w:r w:rsidRPr="00F61609">
        <w:rPr>
          <w:rFonts w:ascii="Times New Roman" w:hAnsi="Times New Roman" w:cs="Times New Roman"/>
        </w:rPr>
        <w:t xml:space="preserve"> vnt. naudot</w:t>
      </w:r>
      <w:r w:rsidR="00322197">
        <w:rPr>
          <w:rFonts w:ascii="Times New Roman" w:hAnsi="Times New Roman" w:cs="Times New Roman"/>
        </w:rPr>
        <w:t>as</w:t>
      </w:r>
      <w:r w:rsidRPr="00F61609">
        <w:rPr>
          <w:rFonts w:ascii="Times New Roman" w:hAnsi="Times New Roman" w:cs="Times New Roman"/>
        </w:rPr>
        <w:t xml:space="preserve"> komercini</w:t>
      </w:r>
      <w:r w:rsidR="00322197">
        <w:rPr>
          <w:rFonts w:ascii="Times New Roman" w:hAnsi="Times New Roman" w:cs="Times New Roman"/>
        </w:rPr>
        <w:t>s</w:t>
      </w:r>
      <w:r w:rsidRPr="00F61609">
        <w:rPr>
          <w:rFonts w:ascii="Times New Roman" w:hAnsi="Times New Roman" w:cs="Times New Roman"/>
        </w:rPr>
        <w:t xml:space="preserve"> automobili</w:t>
      </w:r>
      <w:r w:rsidR="00322197">
        <w:rPr>
          <w:rFonts w:ascii="Times New Roman" w:hAnsi="Times New Roman" w:cs="Times New Roman"/>
        </w:rPr>
        <w:t>s</w:t>
      </w:r>
      <w:r w:rsidR="00E51939">
        <w:rPr>
          <w:rFonts w:ascii="Times New Roman" w:hAnsi="Times New Roman" w:cs="Times New Roman"/>
        </w:rPr>
        <w:t>,</w:t>
      </w:r>
      <w:r w:rsidRPr="00F61609">
        <w:rPr>
          <w:rFonts w:ascii="Times New Roman" w:hAnsi="Times New Roman" w:cs="Times New Roman"/>
        </w:rPr>
        <w:t xml:space="preserve"> kuri</w:t>
      </w:r>
      <w:r w:rsidR="00322197">
        <w:rPr>
          <w:rFonts w:ascii="Times New Roman" w:hAnsi="Times New Roman" w:cs="Times New Roman"/>
        </w:rPr>
        <w:t>o</w:t>
      </w:r>
      <w:r w:rsidRPr="00F61609">
        <w:rPr>
          <w:rFonts w:ascii="Times New Roman" w:hAnsi="Times New Roman" w:cs="Times New Roman"/>
        </w:rPr>
        <w:t xml:space="preserve"> bendra vertė būtų iki </w:t>
      </w:r>
      <w:r w:rsidR="00322197">
        <w:rPr>
          <w:rFonts w:ascii="Times New Roman" w:hAnsi="Times New Roman" w:cs="Times New Roman"/>
        </w:rPr>
        <w:t>15</w:t>
      </w:r>
      <w:r w:rsidRPr="00F61609">
        <w:rPr>
          <w:rFonts w:ascii="Times New Roman" w:hAnsi="Times New Roman" w:cs="Times New Roman"/>
        </w:rPr>
        <w:t> 000 Eur su PVM, krovinis mikroautobusas kurio ve</w:t>
      </w:r>
      <w:r w:rsidR="00F61609" w:rsidRPr="00F61609">
        <w:rPr>
          <w:rFonts w:ascii="Times New Roman" w:hAnsi="Times New Roman" w:cs="Times New Roman"/>
        </w:rPr>
        <w:t>rtė iki 20 000 Eur su PVM ir naujas komercinis automobilis varomas elektr</w:t>
      </w:r>
      <w:r w:rsidR="00E51939">
        <w:rPr>
          <w:rFonts w:ascii="Times New Roman" w:hAnsi="Times New Roman" w:cs="Times New Roman"/>
        </w:rPr>
        <w:t>a</w:t>
      </w:r>
      <w:r w:rsidR="00E2214F">
        <w:rPr>
          <w:rFonts w:ascii="Times New Roman" w:hAnsi="Times New Roman" w:cs="Times New Roman"/>
        </w:rPr>
        <w:t>,</w:t>
      </w:r>
      <w:r w:rsidR="00F61609" w:rsidRPr="00F61609">
        <w:rPr>
          <w:rFonts w:ascii="Times New Roman" w:hAnsi="Times New Roman" w:cs="Times New Roman"/>
        </w:rPr>
        <w:t xml:space="preserve"> kurio kaina iki 35 000 Eur su PVM. </w:t>
      </w:r>
    </w:p>
    <w:p w14:paraId="448E60A7" w14:textId="35895B70" w:rsidR="00F61609" w:rsidRPr="00F61609" w:rsidRDefault="00F61609" w:rsidP="00F6160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F61609">
        <w:rPr>
          <w:rFonts w:ascii="Times New Roman" w:hAnsi="Times New Roman" w:cs="Times New Roman"/>
        </w:rPr>
        <w:lastRenderedPageBreak/>
        <w:t>Planuojame įsigyti elektromobilį ir atlikti jo pritaikomumo mūsų veikloje vertinimą. Vertinimo metu bus analizuojami šie aspektai:</w:t>
      </w:r>
    </w:p>
    <w:p w14:paraId="251EC0CF" w14:textId="77777777" w:rsidR="00F61609" w:rsidRPr="00F61609" w:rsidRDefault="00F61609" w:rsidP="00F61609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F61609">
        <w:rPr>
          <w:rFonts w:ascii="Times New Roman" w:hAnsi="Times New Roman" w:cs="Times New Roman"/>
        </w:rPr>
        <w:t xml:space="preserve">faktinis nuvažiuojamas atstumas miesto režimu, </w:t>
      </w:r>
    </w:p>
    <w:p w14:paraId="27D78C62" w14:textId="77777777" w:rsidR="00F61609" w:rsidRPr="00F61609" w:rsidRDefault="00F61609" w:rsidP="00F61609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F61609">
        <w:rPr>
          <w:rFonts w:ascii="Times New Roman" w:hAnsi="Times New Roman" w:cs="Times New Roman"/>
        </w:rPr>
        <w:t xml:space="preserve">baterijos pakankamumas pilnai darbo dienai, </w:t>
      </w:r>
    </w:p>
    <w:p w14:paraId="13315483" w14:textId="77777777" w:rsidR="00F61609" w:rsidRPr="00F61609" w:rsidRDefault="00F61609" w:rsidP="00F61609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F61609">
        <w:rPr>
          <w:rFonts w:ascii="Times New Roman" w:hAnsi="Times New Roman" w:cs="Times New Roman"/>
        </w:rPr>
        <w:t xml:space="preserve">veikimo efektyvumas esant žemai oro temperatūrai (žiemos laikotarpiu), </w:t>
      </w:r>
    </w:p>
    <w:p w14:paraId="6683CEF3" w14:textId="77777777" w:rsidR="00F61609" w:rsidRPr="00F61609" w:rsidRDefault="00F61609" w:rsidP="00F61609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F61609">
        <w:rPr>
          <w:rFonts w:ascii="Times New Roman" w:hAnsi="Times New Roman" w:cs="Times New Roman"/>
        </w:rPr>
        <w:t>eksploatacijos kaštai bei naudojimo patogumas.</w:t>
      </w:r>
    </w:p>
    <w:p w14:paraId="2CC60981" w14:textId="69A7244E" w:rsidR="00F61609" w:rsidRDefault="00F61609" w:rsidP="00CE39E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highlight w:val="cyan"/>
        </w:rPr>
      </w:pPr>
    </w:p>
    <w:p w14:paraId="4D308436" w14:textId="77777777" w:rsidR="004E07C6" w:rsidRPr="008967A9" w:rsidRDefault="004E07C6" w:rsidP="00CE39E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E19F7E3" w14:textId="41C35A6A" w:rsidR="006E7A6F" w:rsidRPr="00784BDE" w:rsidRDefault="00F61609" w:rsidP="00F6160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Direktorius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Tadas Misevičius</w:t>
      </w:r>
    </w:p>
    <w:sectPr w:rsidR="006E7A6F" w:rsidRPr="00784B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3699E"/>
    <w:multiLevelType w:val="multilevel"/>
    <w:tmpl w:val="3C6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E4502"/>
    <w:multiLevelType w:val="multilevel"/>
    <w:tmpl w:val="59D0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33020"/>
    <w:multiLevelType w:val="multilevel"/>
    <w:tmpl w:val="D2A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F263A"/>
    <w:multiLevelType w:val="hybridMultilevel"/>
    <w:tmpl w:val="82B4D3D2"/>
    <w:lvl w:ilvl="0" w:tplc="042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59DF7E86"/>
    <w:multiLevelType w:val="hybridMultilevel"/>
    <w:tmpl w:val="87B6C1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602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108143">
    <w:abstractNumId w:val="0"/>
  </w:num>
  <w:num w:numId="2" w16cid:durableId="1570723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011484">
    <w:abstractNumId w:val="2"/>
  </w:num>
  <w:num w:numId="4" w16cid:durableId="57360440">
    <w:abstractNumId w:val="1"/>
  </w:num>
  <w:num w:numId="5" w16cid:durableId="2001345876">
    <w:abstractNumId w:val="3"/>
  </w:num>
  <w:num w:numId="6" w16cid:durableId="91559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DE"/>
    <w:rsid w:val="00052887"/>
    <w:rsid w:val="00057A73"/>
    <w:rsid w:val="00072739"/>
    <w:rsid w:val="00072B7B"/>
    <w:rsid w:val="00085B8E"/>
    <w:rsid w:val="001425D6"/>
    <w:rsid w:val="00183431"/>
    <w:rsid w:val="001E740E"/>
    <w:rsid w:val="0023436B"/>
    <w:rsid w:val="0025772B"/>
    <w:rsid w:val="00271498"/>
    <w:rsid w:val="00322197"/>
    <w:rsid w:val="00340904"/>
    <w:rsid w:val="003442CA"/>
    <w:rsid w:val="00362DD2"/>
    <w:rsid w:val="00486AF7"/>
    <w:rsid w:val="004E07C6"/>
    <w:rsid w:val="00546CD7"/>
    <w:rsid w:val="005A04BF"/>
    <w:rsid w:val="005C1380"/>
    <w:rsid w:val="005D4887"/>
    <w:rsid w:val="005F5386"/>
    <w:rsid w:val="00662847"/>
    <w:rsid w:val="006A684D"/>
    <w:rsid w:val="006B32DC"/>
    <w:rsid w:val="006E7A6F"/>
    <w:rsid w:val="007201E2"/>
    <w:rsid w:val="007529EF"/>
    <w:rsid w:val="00784BDE"/>
    <w:rsid w:val="007A54CB"/>
    <w:rsid w:val="007A681A"/>
    <w:rsid w:val="00861480"/>
    <w:rsid w:val="008676BC"/>
    <w:rsid w:val="0088707A"/>
    <w:rsid w:val="008967A9"/>
    <w:rsid w:val="00902CE1"/>
    <w:rsid w:val="00962ACE"/>
    <w:rsid w:val="00966023"/>
    <w:rsid w:val="0098088E"/>
    <w:rsid w:val="00A77369"/>
    <w:rsid w:val="00AD4A88"/>
    <w:rsid w:val="00B02559"/>
    <w:rsid w:val="00B14517"/>
    <w:rsid w:val="00BA6C57"/>
    <w:rsid w:val="00BA6DEB"/>
    <w:rsid w:val="00CE39E5"/>
    <w:rsid w:val="00D43386"/>
    <w:rsid w:val="00D46131"/>
    <w:rsid w:val="00D64DBB"/>
    <w:rsid w:val="00DD291C"/>
    <w:rsid w:val="00E01770"/>
    <w:rsid w:val="00E2214F"/>
    <w:rsid w:val="00E51939"/>
    <w:rsid w:val="00E56FEC"/>
    <w:rsid w:val="00E7308D"/>
    <w:rsid w:val="00F1189C"/>
    <w:rsid w:val="00F42400"/>
    <w:rsid w:val="00F6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66AF"/>
  <w15:chartTrackingRefBased/>
  <w15:docId w15:val="{1E372B4D-3788-406D-8432-5C94AEB9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4B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4B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4B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4B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4B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4B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4B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4B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4B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4B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4BDE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90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6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425D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07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07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07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07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07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3338</Words>
  <Characters>1903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Bubinas</dc:creator>
  <cp:lastModifiedBy>Diana Brazdžiunienė</cp:lastModifiedBy>
  <cp:revision>2</cp:revision>
  <cp:lastPrinted>2026-04-24T11:11:00Z</cp:lastPrinted>
  <dcterms:created xsi:type="dcterms:W3CDTF">2026-06-09T10:01:00Z</dcterms:created>
  <dcterms:modified xsi:type="dcterms:W3CDTF">2026-06-09T10:01:00Z</dcterms:modified>
</cp:coreProperties>
</file>