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0"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0"/>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1" w:name="_Hlk526327361"/>
      <w:r w:rsidRPr="00AC09E1">
        <w:rPr>
          <w:rFonts w:ascii="Times New Roman" w:eastAsia="Times New Roman" w:hAnsi="Times New Roman" w:cs="Times New Roman"/>
          <w:sz w:val="24"/>
          <w:szCs w:val="24"/>
        </w:rPr>
        <w:t xml:space="preserve">– </w:t>
      </w:r>
      <w:bookmarkEnd w:id="1"/>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2" w:name="_Hlk526509613"/>
      <w:r w:rsidRPr="00AC09E1">
        <w:rPr>
          <w:rFonts w:ascii="Times New Roman" w:eastAsia="Times New Roman" w:hAnsi="Times New Roman" w:cs="Times New Roman"/>
          <w:sz w:val="24"/>
          <w:szCs w:val="24"/>
        </w:rPr>
        <w:t xml:space="preserve">vienkartinė, tikslinė, periodinė ar sąlyginė </w:t>
      </w:r>
      <w:bookmarkEnd w:id="2"/>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3" w:name="_Hlk526412415"/>
      <w:r w:rsidRPr="00AC09E1">
        <w:rPr>
          <w:rFonts w:ascii="Times New Roman" w:eastAsia="Times New Roman" w:hAnsi="Times New Roman" w:cs="Times New Roman"/>
          <w:sz w:val="24"/>
          <w:szCs w:val="24"/>
        </w:rPr>
        <w:t xml:space="preserve">gyvenamosios vietos neturinčių asmenų apskaitą </w:t>
      </w:r>
      <w:bookmarkEnd w:id="3"/>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6.16. žemės ūkio paskirties žemės nuomos sutartį (sutartis), patvirtintą (patvirtintas) notaro </w:t>
      </w:r>
      <w:r w:rsidRPr="00AC09E1">
        <w:rPr>
          <w:rFonts w:ascii="Times New Roman" w:eastAsia="Times New Roman" w:hAnsi="Times New Roman" w:cs="Times New Roman"/>
          <w:sz w:val="24"/>
          <w:szCs w:val="24"/>
        </w:rPr>
        <w:lastRenderedPageBreak/>
        <w:t>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lastRenderedPageBreak/>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4" w:name="_Hlk531693801"/>
      <w:r w:rsidRPr="00D93D37">
        <w:rPr>
          <w:rFonts w:ascii="Times New Roman" w:eastAsia="Calibri" w:hAnsi="Times New Roman" w:cs="Times New Roman"/>
          <w:sz w:val="24"/>
          <w:szCs w:val="24"/>
          <w:lang w:eastAsia="lt-LT"/>
        </w:rPr>
        <w:lastRenderedPageBreak/>
        <w:t>Socialinių išmokų sistemoje (toliau– SIS) Parama nustatytos formos sprendimu</w:t>
      </w:r>
      <w:bookmarkEnd w:id="4"/>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 xml:space="preserve">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w:t>
      </w:r>
      <w:r w:rsidRPr="00D93D37">
        <w:rPr>
          <w:rFonts w:ascii="Times New Roman" w:eastAsia="Calibri" w:hAnsi="Times New Roman" w:cs="Times New Roman"/>
          <w:color w:val="000000"/>
          <w:sz w:val="24"/>
          <w:szCs w:val="24"/>
          <w:lang w:eastAsia="lt-LT"/>
        </w:rPr>
        <w:lastRenderedPageBreak/>
        <w:t>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5" w:name="_Hlk526327383"/>
      <w:r w:rsidRPr="00D93D37">
        <w:rPr>
          <w:rFonts w:ascii="Times New Roman" w:eastAsia="Times New Roman" w:hAnsi="Times New Roman" w:cs="Times New Roman"/>
          <w:sz w:val="24"/>
          <w:szCs w:val="24"/>
        </w:rPr>
        <w:t xml:space="preserve">Užimtumo tarnyboje </w:t>
      </w:r>
      <w:bookmarkEnd w:id="5"/>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6" w:name="_Hlk526327458"/>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7"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7"/>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lastRenderedPageBreak/>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xml:space="preserve">)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 xml:space="preserve">23. Socialinė pašalpa teikiama pinigais ir (ar) nepinigine forma, pasirenkant vieną arba </w:t>
      </w:r>
      <w:r w:rsidRPr="00AC09E1">
        <w:rPr>
          <w:rFonts w:ascii="Times New Roman" w:eastAsia="Calibri" w:hAnsi="Times New Roman" w:cs="Times New Roman"/>
          <w:sz w:val="24"/>
          <w:szCs w:val="24"/>
          <w:lang w:eastAsia="lt-LT"/>
        </w:rPr>
        <w:lastRenderedPageBreak/>
        <w:t>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w:t>
      </w:r>
      <w:r w:rsidR="003B7141" w:rsidRPr="00AC09E1">
        <w:rPr>
          <w:rFonts w:ascii="Times New Roman" w:eastAsia="Calibri" w:hAnsi="Times New Roman" w:cs="Times New Roman"/>
          <w:sz w:val="24"/>
          <w:szCs w:val="24"/>
          <w:lang w:eastAsia="lt-LT"/>
        </w:rPr>
        <w:lastRenderedPageBreak/>
        <w:t xml:space="preserve">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lastRenderedPageBreak/>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8" w:name="_Hlk531693735"/>
      <w:r w:rsidRPr="00AC09E1">
        <w:rPr>
          <w:rFonts w:ascii="Times New Roman" w:eastAsia="Calibri" w:hAnsi="Times New Roman" w:cs="Times New Roman"/>
          <w:sz w:val="24"/>
          <w:szCs w:val="24"/>
          <w:lang w:eastAsia="lt-LT"/>
        </w:rPr>
        <w:t>–</w:t>
      </w:r>
      <w:bookmarkEnd w:id="8"/>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w:t>
      </w:r>
      <w:r w:rsidRPr="00AC09E1">
        <w:rPr>
          <w:rFonts w:ascii="Times New Roman" w:eastAsia="Times New Roman" w:hAnsi="Times New Roman" w:cs="Times New Roman"/>
          <w:sz w:val="24"/>
          <w:szCs w:val="24"/>
        </w:rPr>
        <w:lastRenderedPageBreak/>
        <w:t xml:space="preserve">(įvaikį)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9" w:name="_Hlk526349067"/>
      <w:r w:rsidRPr="00AC09E1">
        <w:rPr>
          <w:rFonts w:ascii="Times New Roman" w:eastAsia="Calibri" w:hAnsi="Times New Roman" w:cs="Times New Roman"/>
          <w:sz w:val="24"/>
          <w:szCs w:val="24"/>
          <w:lang w:eastAsia="lt-LT"/>
        </w:rPr>
        <w:t>Savivaldybės administracijos parengtoje užimtumo didinimo programoje</w:t>
      </w:r>
      <w:bookmarkEnd w:id="9"/>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w:t>
      </w:r>
      <w:r w:rsidRPr="00F21DD9">
        <w:rPr>
          <w:rFonts w:ascii="Times New Roman" w:eastAsia="Times New Roman" w:hAnsi="Times New Roman" w:cs="Times New Roman"/>
          <w:color w:val="000000"/>
          <w:sz w:val="24"/>
          <w:szCs w:val="24"/>
          <w:lang w:eastAsia="lt-LT"/>
        </w:rPr>
        <w:lastRenderedPageBreak/>
        <w:t xml:space="preserve">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vienas vaiką(-</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xml:space="preserve">)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lastRenderedPageBreak/>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w:t>
      </w:r>
      <w:proofErr w:type="spellStart"/>
      <w:r w:rsidRPr="00AC09E1">
        <w:rPr>
          <w:rFonts w:ascii="Times New Roman" w:eastAsia="Calibri" w:hAnsi="Times New Roman" w:cs="Times New Roman"/>
          <w:sz w:val="24"/>
          <w:szCs w:val="24"/>
          <w:lang w:eastAsia="lt-LT"/>
        </w:rPr>
        <w:t>os</w:t>
      </w:r>
      <w:proofErr w:type="spellEnd"/>
      <w:r w:rsidRPr="00AC09E1">
        <w:rPr>
          <w:rFonts w:ascii="Times New Roman" w:eastAsia="Calibri" w:hAnsi="Times New Roman" w:cs="Times New Roman"/>
          <w:sz w:val="24"/>
          <w:szCs w:val="24"/>
          <w:lang w:eastAsia="lt-LT"/>
        </w:rPr>
        <w:t>),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w:t>
      </w:r>
      <w:proofErr w:type="spellStart"/>
      <w:r w:rsidR="009B77DA">
        <w:rPr>
          <w:rFonts w:ascii="Times New Roman" w:eastAsia="Calibri" w:hAnsi="Times New Roman" w:cs="Times New Roman"/>
          <w:sz w:val="24"/>
          <w:szCs w:val="24"/>
          <w:lang w:eastAsia="lt-LT"/>
        </w:rPr>
        <w:t>os</w:t>
      </w:r>
      <w:proofErr w:type="spellEnd"/>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w:t>
      </w:r>
      <w:proofErr w:type="spellStart"/>
      <w:r w:rsidRPr="00AC09E1">
        <w:rPr>
          <w:rFonts w:ascii="Times New Roman" w:eastAsia="Calibri" w:hAnsi="Times New Roman" w:cs="Times New Roman"/>
          <w:sz w:val="24"/>
          <w:szCs w:val="24"/>
          <w:lang w:eastAsia="lt-LT"/>
        </w:rPr>
        <w:t>os</w:t>
      </w:r>
      <w:proofErr w:type="spellEnd"/>
      <w:r w:rsidRPr="00AC09E1">
        <w:rPr>
          <w:rFonts w:ascii="Times New Roman" w:eastAsia="Calibri" w:hAnsi="Times New Roman" w:cs="Times New Roman"/>
          <w:sz w:val="24"/>
          <w:szCs w:val="24"/>
          <w:lang w:eastAsia="lt-LT"/>
        </w:rPr>
        <w:t>)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lastRenderedPageBreak/>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45. Neteisėtai gautos būsto šildymo išlaidų ir (ar) karšto vandens išlaidų kompensacijos, kai </w:t>
      </w:r>
      <w:r w:rsidRPr="00AC09E1">
        <w:rPr>
          <w:rFonts w:ascii="Times New Roman" w:eastAsia="Times New Roman" w:hAnsi="Times New Roman" w:cs="Times New Roman"/>
          <w:sz w:val="24"/>
          <w:szCs w:val="24"/>
        </w:rPr>
        <w:lastRenderedPageBreak/>
        <w:t>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w:t>
      </w:r>
      <w:proofErr w:type="spellStart"/>
      <w:r w:rsidRPr="00AC09E1">
        <w:rPr>
          <w:rFonts w:ascii="Times New Roman" w:eastAsia="Times New Roman" w:hAnsi="Times New Roman" w:cs="Times New Roman"/>
          <w:sz w:val="24"/>
          <w:szCs w:val="24"/>
        </w:rPr>
        <w:t>os</w:t>
      </w:r>
      <w:proofErr w:type="spellEnd"/>
      <w:r w:rsidRPr="00AC09E1">
        <w:rPr>
          <w:rFonts w:ascii="Times New Roman" w:eastAsia="Times New Roman" w:hAnsi="Times New Roman" w:cs="Times New Roman"/>
          <w:sz w:val="24"/>
          <w:szCs w:val="24"/>
        </w:rPr>
        <w:t>) nurašoma (-</w:t>
      </w:r>
      <w:proofErr w:type="spellStart"/>
      <w:r w:rsidRPr="00AC09E1">
        <w:rPr>
          <w:rFonts w:ascii="Times New Roman" w:eastAsia="Times New Roman" w:hAnsi="Times New Roman" w:cs="Times New Roman"/>
          <w:sz w:val="24"/>
          <w:szCs w:val="24"/>
        </w:rPr>
        <w:t>os</w:t>
      </w:r>
      <w:proofErr w:type="spellEnd"/>
      <w:r w:rsidRPr="00AC09E1">
        <w:rPr>
          <w:rFonts w:ascii="Times New Roman" w:eastAsia="Times New Roman" w:hAnsi="Times New Roman" w:cs="Times New Roman"/>
          <w:sz w:val="24"/>
          <w:szCs w:val="24"/>
        </w:rPr>
        <w:t>)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w:t>
      </w:r>
      <w:r w:rsidRPr="00AC09E1">
        <w:rPr>
          <w:rFonts w:ascii="Times New Roman" w:eastAsia="Times New Roman" w:hAnsi="Times New Roman" w:cs="Times New Roman"/>
          <w:sz w:val="24"/>
          <w:szCs w:val="24"/>
        </w:rPr>
        <w:lastRenderedPageBreak/>
        <w:t xml:space="preserve">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w:t>
      </w:r>
      <w:proofErr w:type="spellStart"/>
      <w:r w:rsidRPr="00AC09E1">
        <w:rPr>
          <w:rFonts w:ascii="Times New Roman" w:eastAsia="Times New Roman" w:hAnsi="Times New Roman" w:cs="Times New Roman"/>
          <w:sz w:val="24"/>
          <w:szCs w:val="24"/>
        </w:rPr>
        <w:t>omis</w:t>
      </w:r>
      <w:proofErr w:type="spellEnd"/>
      <w:r w:rsidRPr="00AC09E1">
        <w:rPr>
          <w:rFonts w:ascii="Times New Roman" w:eastAsia="Times New Roman" w:hAnsi="Times New Roman" w:cs="Times New Roman"/>
          <w:sz w:val="24"/>
          <w:szCs w:val="24"/>
        </w:rPr>
        <w:t>)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0" w:name="_Hlk526349194"/>
      <w:r w:rsidRPr="00AC09E1">
        <w:rPr>
          <w:rFonts w:ascii="Times New Roman" w:eastAsia="Calibri" w:hAnsi="Times New Roman" w:cs="Times New Roman"/>
          <w:sz w:val="24"/>
          <w:szCs w:val="24"/>
        </w:rPr>
        <w:t>užimtumo didinimo priemonės organizatorių</w:t>
      </w:r>
      <w:bookmarkEnd w:id="10"/>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 nuostata taikoma bankuose ir ne bankuose turimoms arba dovanotoms, arba laimėtoms </w:t>
      </w:r>
      <w:r w:rsidRPr="00AC09E1">
        <w:rPr>
          <w:rFonts w:ascii="Times New Roman" w:eastAsia="Times New Roman" w:hAnsi="Times New Roman" w:cs="Times New Roman"/>
          <w:sz w:val="24"/>
          <w:szCs w:val="24"/>
        </w:rPr>
        <w:lastRenderedPageBreak/>
        <w:t>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54. Piniginė socialinė parama 6 mėnesius neteikiama ar 6 mėnesiams nutraukiamas jos teikimas darbingo amžiaus darbingam vienam gyvenančiam asmeniui, vykdančiam individualią ir (ar) nekilnojamųjų daiktų pardavimo, ir (ar) nuomos veiklą, kuriam ilgiau kaip 6 mėnesius buvo </w:t>
      </w:r>
      <w:r w:rsidRPr="00AC09E1">
        <w:rPr>
          <w:rFonts w:ascii="Times New Roman" w:eastAsia="Times New Roman" w:hAnsi="Times New Roman" w:cs="Times New Roman"/>
          <w:sz w:val="24"/>
          <w:szCs w:val="24"/>
        </w:rPr>
        <w:lastRenderedPageBreak/>
        <w:t>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w:t>
      </w:r>
      <w:proofErr w:type="spellStart"/>
      <w:r w:rsidRPr="00AC09E1">
        <w:rPr>
          <w:rFonts w:ascii="Times New Roman" w:eastAsia="Times New Roman" w:hAnsi="Times New Roman" w:cs="Times New Roman"/>
          <w:sz w:val="24"/>
          <w:szCs w:val="24"/>
        </w:rPr>
        <w:t>us</w:t>
      </w:r>
      <w:proofErr w:type="spellEnd"/>
      <w:r w:rsidRPr="00AC09E1">
        <w:rPr>
          <w:rFonts w:ascii="Times New Roman" w:eastAsia="Times New Roman" w:hAnsi="Times New Roman" w:cs="Times New Roman"/>
          <w:sz w:val="24"/>
          <w:szCs w:val="24"/>
        </w:rPr>
        <w:t>),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1" w:name="_Hlk532808238"/>
      <w:r w:rsidRPr="00F21DD9">
        <w:rPr>
          <w:rFonts w:ascii="Times New Roman" w:eastAsia="Calibri" w:hAnsi="Times New Roman" w:cs="Times New Roman"/>
          <w:color w:val="000000"/>
          <w:sz w:val="24"/>
          <w:szCs w:val="24"/>
        </w:rPr>
        <w:lastRenderedPageBreak/>
        <w:t>60.4. kitais atvejais, apsvarsčius Paramos teikimo komisijai</w:t>
      </w:r>
      <w:r>
        <w:rPr>
          <w:rFonts w:ascii="Times New Roman" w:eastAsia="Calibri" w:hAnsi="Times New Roman" w:cs="Times New Roman"/>
          <w:color w:val="000000"/>
          <w:sz w:val="24"/>
          <w:szCs w:val="24"/>
        </w:rPr>
        <w:t>.</w:t>
      </w:r>
    </w:p>
    <w:bookmarkEnd w:id="11"/>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63.3. bendrai gyvenantiems asmenims arba vienam gyvenančiam asmeniui, kai jiems </w:t>
      </w:r>
      <w:r w:rsidRPr="00AC09E1">
        <w:rPr>
          <w:rFonts w:ascii="Times New Roman" w:eastAsia="Times New Roman" w:hAnsi="Times New Roman" w:cs="Times New Roman"/>
          <w:sz w:val="24"/>
          <w:szCs w:val="24"/>
        </w:rPr>
        <w:lastRenderedPageBreak/>
        <w:t>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2"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xml:space="preserve">, jei kiekvienas vyresnis kaip 18 metų asmuo kreipimosi metu atitinka bent vieną iš šiame </w:t>
      </w:r>
      <w:r w:rsidRPr="00AC09E1">
        <w:rPr>
          <w:rFonts w:ascii="Times New Roman" w:eastAsia="Times New Roman" w:hAnsi="Times New Roman" w:cs="Times New Roman"/>
          <w:sz w:val="24"/>
          <w:szCs w:val="24"/>
          <w:lang w:eastAsia="lt-LT"/>
        </w:rPr>
        <w:lastRenderedPageBreak/>
        <w:t>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lastRenderedPageBreak/>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sąskaitą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faktūrą (-</w:t>
      </w:r>
      <w:proofErr w:type="spellStart"/>
      <w:r w:rsidRPr="00AC09E1">
        <w:rPr>
          <w:rFonts w:ascii="Times New Roman" w:eastAsia="Times New Roman" w:hAnsi="Times New Roman" w:cs="Times New Roman"/>
          <w:sz w:val="24"/>
          <w:szCs w:val="20"/>
        </w:rPr>
        <w:t>as</w:t>
      </w:r>
      <w:proofErr w:type="spellEnd"/>
      <w:r w:rsidRPr="00AC09E1">
        <w:rPr>
          <w:rFonts w:ascii="Times New Roman" w:eastAsia="Times New Roman" w:hAnsi="Times New Roman" w:cs="Times New Roman"/>
          <w:sz w:val="24"/>
          <w:szCs w:val="20"/>
        </w:rPr>
        <w:t>)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73.2.1. jei turto suniokojimas mažas (nukentėjo maža dalis gyvenamųjų patalpų ir (ar) namų </w:t>
      </w:r>
      <w:r w:rsidRPr="00AC09E1">
        <w:rPr>
          <w:rFonts w:ascii="Times New Roman" w:eastAsia="Times New Roman" w:hAnsi="Times New Roman" w:cs="Times New Roman"/>
          <w:sz w:val="24"/>
          <w:szCs w:val="20"/>
        </w:rPr>
        <w:lastRenderedPageBreak/>
        <w:t>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3" w:name="_Hlk530387428"/>
      <w:r w:rsidRPr="00AC09E1">
        <w:rPr>
          <w:rFonts w:ascii="Times New Roman" w:eastAsia="Times New Roman" w:hAnsi="Times New Roman" w:cs="Times New Roman"/>
          <w:sz w:val="24"/>
          <w:szCs w:val="20"/>
        </w:rPr>
        <w:t>73.2.2.</w:t>
      </w:r>
      <w:bookmarkEnd w:id="13"/>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75.1. 1 BSI dydžio skiriama bendrai gyvenantiems asmenims ar vienam gyvenančiam asmeniui, gaunančiam (-</w:t>
      </w:r>
      <w:proofErr w:type="spellStart"/>
      <w:r w:rsidRPr="00AC09E1">
        <w:rPr>
          <w:rFonts w:ascii="Times New Roman" w:eastAsia="Times New Roman" w:hAnsi="Times New Roman" w:cs="Times New Roman"/>
          <w:sz w:val="24"/>
          <w:szCs w:val="20"/>
        </w:rPr>
        <w:t>iems</w:t>
      </w:r>
      <w:proofErr w:type="spellEnd"/>
      <w:r w:rsidRPr="00AC09E1">
        <w:rPr>
          <w:rFonts w:ascii="Times New Roman" w:eastAsia="Times New Roman" w:hAnsi="Times New Roman" w:cs="Times New Roman"/>
          <w:sz w:val="24"/>
          <w:szCs w:val="20"/>
        </w:rPr>
        <w:t xml:space="preserve">)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4" w:name="_Hlk530386690"/>
      <w:r w:rsidRPr="00AC09E1">
        <w:rPr>
          <w:rFonts w:ascii="Times New Roman" w:eastAsia="Calibri" w:hAnsi="Times New Roman" w:cs="Times New Roman"/>
          <w:sz w:val="24"/>
          <w:szCs w:val="24"/>
          <w:lang w:eastAsia="lt-LT"/>
        </w:rPr>
        <w:t>Aprašo 72.6 papunkčiu nustatytu atveju</w:t>
      </w:r>
      <w:bookmarkEnd w:id="14"/>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5"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5"/>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lastRenderedPageBreak/>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2"/>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6"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26510599"/>
      <w:r w:rsidRPr="00AC09E1">
        <w:rPr>
          <w:rFonts w:ascii="Times New Roman" w:eastAsia="Calibri" w:hAnsi="Times New Roman" w:cs="Times New Roman"/>
          <w:sz w:val="24"/>
          <w:szCs w:val="24"/>
          <w:lang w:eastAsia="lt-LT"/>
        </w:rPr>
        <w:t>80.1.</w:t>
      </w:r>
      <w:bookmarkEnd w:id="17"/>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6"/>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w:t>
      </w:r>
      <w:r w:rsidRPr="00AC09E1">
        <w:rPr>
          <w:rFonts w:ascii="Times New Roman" w:eastAsia="Calibri" w:hAnsi="Times New Roman" w:cs="Times New Roman"/>
          <w:sz w:val="24"/>
          <w:szCs w:val="24"/>
          <w:lang w:eastAsia="lt-LT"/>
        </w:rPr>
        <w:lastRenderedPageBreak/>
        <w:t xml:space="preserve">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8"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19" w:name="_Hlk526510656"/>
      <w:r w:rsidRPr="00AC09E1">
        <w:rPr>
          <w:rFonts w:ascii="Times New Roman" w:eastAsia="Times New Roman" w:hAnsi="Times New Roman" w:cs="Times New Roman"/>
          <w:sz w:val="24"/>
          <w:szCs w:val="24"/>
          <w:lang w:eastAsia="lt-LT"/>
        </w:rPr>
        <w:t xml:space="preserve">82.1. </w:t>
      </w:r>
      <w:bookmarkEnd w:id="19"/>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8"/>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0"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1" w:name="_Hlk526780537"/>
      <w:bookmarkEnd w:id="20"/>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1"/>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2" w:name="_Hlk526510946"/>
      <w:r w:rsidRPr="00AC09E1">
        <w:rPr>
          <w:rFonts w:ascii="Times New Roman" w:eastAsia="Times New Roman" w:hAnsi="Times New Roman" w:cs="Times New Roman"/>
          <w:sz w:val="24"/>
          <w:szCs w:val="24"/>
        </w:rPr>
        <w:t xml:space="preserve">90.1. </w:t>
      </w:r>
      <w:bookmarkEnd w:id="22"/>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 xml:space="preserve">socialinių pedagogų, psichologų, specialiąją pedagoginę ir specialiąją pagalbą </w:t>
      </w:r>
      <w:r w:rsidRPr="0036609D">
        <w:rPr>
          <w:rFonts w:ascii="Times New Roman" w:hAnsi="Times New Roman" w:cs="Times New Roman"/>
          <w:sz w:val="24"/>
          <w:szCs w:val="24"/>
        </w:rPr>
        <w:lastRenderedPageBreak/>
        <w:t>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62169D">
          <w:rPr>
            <w:rFonts w:ascii="Times New Roman" w:hAnsi="Times New Roman" w:cs="Times New Roman"/>
            <w:noProof/>
            <w:sz w:val="24"/>
            <w:szCs w:val="24"/>
          </w:rPr>
          <w:t>34</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94"/>
    <w:rsid w:val="00087A32"/>
    <w:rsid w:val="00167D9F"/>
    <w:rsid w:val="003244D3"/>
    <w:rsid w:val="00356314"/>
    <w:rsid w:val="00386177"/>
    <w:rsid w:val="003B7141"/>
    <w:rsid w:val="00526A26"/>
    <w:rsid w:val="005500F5"/>
    <w:rsid w:val="006122F5"/>
    <w:rsid w:val="0061264D"/>
    <w:rsid w:val="0062169D"/>
    <w:rsid w:val="0064305C"/>
    <w:rsid w:val="00715EB2"/>
    <w:rsid w:val="00730453"/>
    <w:rsid w:val="00767900"/>
    <w:rsid w:val="007E14F1"/>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0ECBC-3287-4BF4-8C61-D7DD5EE2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2026-05-13T10:45:00Z</dcterms:created>
  <dcterms:modified xsi:type="dcterms:W3CDTF">2026-05-13T10:45:00Z</dcterms:modified>
</cp:coreProperties>
</file>