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A3" w:rsidRDefault="00EF7FA3">
      <w:pPr>
        <w:tabs>
          <w:tab w:val="center" w:pos="4819"/>
          <w:tab w:val="right" w:pos="9638"/>
        </w:tabs>
        <w:jc w:val="center"/>
        <w:rPr>
          <w:sz w:val="22"/>
          <w:szCs w:val="22"/>
        </w:rPr>
      </w:pPr>
      <w:bookmarkStart w:id="0" w:name="_GoBack"/>
      <w:bookmarkEnd w:id="0"/>
    </w:p>
    <w:p w:rsidR="00EF7FA3" w:rsidRDefault="00A05C18">
      <w:pPr>
        <w:jc w:val="center"/>
        <w:rPr>
          <w:b/>
          <w:bCs/>
          <w:szCs w:val="24"/>
        </w:rPr>
      </w:pPr>
      <w:r>
        <w:rPr>
          <w:b/>
          <w:bCs/>
          <w:noProof/>
          <w:szCs w:val="24"/>
          <w:lang w:eastAsia="lt-LT"/>
        </w:rPr>
        <w:drawing>
          <wp:inline distT="0" distB="0" distL="0" distR="0" wp14:anchorId="2F686583" wp14:editId="530B239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EF7FA3" w:rsidRDefault="00EF7FA3">
      <w:pPr>
        <w:rPr>
          <w:sz w:val="2"/>
          <w:szCs w:val="2"/>
        </w:rPr>
      </w:pPr>
    </w:p>
    <w:p w:rsidR="00EF7FA3" w:rsidRDefault="00EF7FA3">
      <w:pPr>
        <w:ind w:firstLine="29"/>
        <w:jc w:val="center"/>
        <w:rPr>
          <w:b/>
          <w:bCs/>
          <w:szCs w:val="24"/>
        </w:rPr>
      </w:pPr>
    </w:p>
    <w:p w:rsidR="00EF7FA3" w:rsidRDefault="00EF7FA3">
      <w:pPr>
        <w:rPr>
          <w:sz w:val="2"/>
          <w:szCs w:val="2"/>
        </w:rPr>
      </w:pPr>
    </w:p>
    <w:p w:rsidR="00EF7FA3" w:rsidRDefault="00A05C18">
      <w:pPr>
        <w:jc w:val="center"/>
        <w:rPr>
          <w:sz w:val="28"/>
          <w:szCs w:val="24"/>
        </w:rPr>
      </w:pPr>
      <w:r>
        <w:rPr>
          <w:b/>
          <w:bCs/>
          <w:sz w:val="28"/>
          <w:szCs w:val="24"/>
        </w:rPr>
        <w:t>LIETUVOS RESPUBLIKOS ŠVIETIMO, MOKSLO IR SPORTO MINISTRAS</w:t>
      </w:r>
    </w:p>
    <w:p w:rsidR="00EF7FA3" w:rsidRDefault="00EF7FA3">
      <w:pPr>
        <w:rPr>
          <w:sz w:val="2"/>
          <w:szCs w:val="2"/>
        </w:rPr>
      </w:pPr>
    </w:p>
    <w:p w:rsidR="00EF7FA3" w:rsidRDefault="00EF7FA3">
      <w:pPr>
        <w:overflowPunct w:val="0"/>
        <w:textAlignment w:val="baseline"/>
        <w:rPr>
          <w:b/>
          <w:bCs/>
        </w:rPr>
      </w:pPr>
    </w:p>
    <w:p w:rsidR="00EF7FA3" w:rsidRDefault="00EF7FA3">
      <w:pPr>
        <w:rPr>
          <w:sz w:val="2"/>
          <w:szCs w:val="2"/>
        </w:rPr>
      </w:pPr>
    </w:p>
    <w:p w:rsidR="00EF7FA3" w:rsidRDefault="00A05C18">
      <w:pPr>
        <w:overflowPunct w:val="0"/>
        <w:jc w:val="center"/>
        <w:textAlignment w:val="baseline"/>
        <w:rPr>
          <w:b/>
          <w:bCs/>
          <w:szCs w:val="24"/>
        </w:rPr>
      </w:pPr>
      <w:r>
        <w:rPr>
          <w:b/>
          <w:bCs/>
          <w:szCs w:val="24"/>
        </w:rPr>
        <w:t>ĮSAKYMAS</w:t>
      </w:r>
    </w:p>
    <w:p w:rsidR="00EF7FA3" w:rsidRDefault="00EF7FA3">
      <w:pPr>
        <w:rPr>
          <w:sz w:val="2"/>
          <w:szCs w:val="2"/>
        </w:rPr>
      </w:pPr>
    </w:p>
    <w:p w:rsidR="00A05C18" w:rsidRDefault="00A05C18">
      <w:pPr>
        <w:jc w:val="center"/>
        <w:rPr>
          <w:b/>
          <w:bCs/>
          <w:szCs w:val="24"/>
        </w:rPr>
      </w:pPr>
      <w:r>
        <w:rPr>
          <w:b/>
          <w:bCs/>
          <w:caps/>
          <w:szCs w:val="24"/>
        </w:rPr>
        <w:t xml:space="preserve">Dėl </w:t>
      </w:r>
      <w:r>
        <w:rPr>
          <w:b/>
          <w:caps/>
          <w:szCs w:val="24"/>
        </w:rPr>
        <w:t xml:space="preserve">Lietuvos Respublikos 2024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apmokėti, paskirstymo</w:t>
      </w:r>
      <w:r>
        <w:rPr>
          <w:b/>
          <w:bCs/>
          <w:szCs w:val="24"/>
        </w:rPr>
        <w:t xml:space="preserve"> PATVIRTINIMO</w:t>
      </w:r>
    </w:p>
    <w:p w:rsidR="00EF7FA3" w:rsidRDefault="00EF7FA3">
      <w:pPr>
        <w:rPr>
          <w:szCs w:val="24"/>
        </w:rPr>
      </w:pPr>
    </w:p>
    <w:p w:rsidR="00EF7FA3" w:rsidRDefault="00A05C18">
      <w:pPr>
        <w:jc w:val="center"/>
        <w:rPr>
          <w:szCs w:val="24"/>
        </w:rPr>
      </w:pPr>
      <w:r>
        <w:rPr>
          <w:szCs w:val="24"/>
        </w:rPr>
        <w:t xml:space="preserve">2024 m. balandžio 30 d. Nr. </w:t>
      </w:r>
      <w:r w:rsidRPr="00A05C18">
        <w:rPr>
          <w:szCs w:val="24"/>
        </w:rPr>
        <w:t>V-459</w:t>
      </w:r>
    </w:p>
    <w:p w:rsidR="00EF7FA3" w:rsidRDefault="00A05C18">
      <w:pPr>
        <w:jc w:val="center"/>
        <w:rPr>
          <w:szCs w:val="24"/>
        </w:rPr>
      </w:pPr>
      <w:r>
        <w:rPr>
          <w:szCs w:val="24"/>
        </w:rPr>
        <w:t>Vilnius</w:t>
      </w:r>
    </w:p>
    <w:p w:rsidR="00EF7FA3" w:rsidRDefault="00EF7FA3">
      <w:pPr>
        <w:jc w:val="center"/>
        <w:rPr>
          <w:szCs w:val="24"/>
        </w:rPr>
      </w:pPr>
    </w:p>
    <w:p w:rsidR="00EF7FA3" w:rsidRDefault="00A05C18">
      <w:pPr>
        <w:suppressAutoHyphens/>
        <w:ind w:firstLine="567"/>
        <w:jc w:val="both"/>
        <w:textAlignment w:val="center"/>
        <w:rPr>
          <w:color w:val="000000"/>
          <w:szCs w:val="24"/>
        </w:rPr>
      </w:pPr>
      <w:r>
        <w:rPr>
          <w:color w:val="000000"/>
          <w:szCs w:val="24"/>
          <w:shd w:val="clear" w:color="auto" w:fill="FFFFFF"/>
        </w:rPr>
        <w:t>Įgyvendindama Lietuvos Respublikos 2024 metų valstybės biudžeto ir savivaldybių biudžetų finansinių rodiklių patvirtinimo įstatymo 13 straipsnio 4 dalies 2 punktą,</w:t>
      </w:r>
      <w:r>
        <w:rPr>
          <w:color w:val="000000"/>
          <w:szCs w:val="24"/>
        </w:rPr>
        <w:t xml:space="preserve"> </w:t>
      </w:r>
      <w:r>
        <w:rPr>
          <w:szCs w:val="24"/>
        </w:rPr>
        <w:t xml:space="preserve">Lietuvos Respublikos švietimo, mokslo ir sporto ministerijos 2024–2026 metų strateginio veiklos plano, patvirtinto Lietuvos Respublikos švietimo, mokslo ir sporto ministro 2024 m. sausio 29 d. įsakymu Nr. V-93 „Dėl Lietuvos Respublikos švietimo, mokslo ir sporto ministerijos 2024–2026 metų strateginio veiklos plano patvirtinimo“, </w:t>
      </w:r>
      <w:r>
        <w:rPr>
          <w:iCs/>
          <w:color w:val="000000"/>
          <w:szCs w:val="24"/>
          <w:lang w:eastAsia="lt-LT"/>
        </w:rPr>
        <w:t xml:space="preserve">programos „Švietimo programa“ (kodas 12-003) priemonę „Skirti lėšas  mokyklų  pedagoginiam  personalui (mokytojų, dirbančių pagal ikimokyklinio, priešmokyklinio, bendrojo ugdymo ir profesinio mokymo programas) optimizuoti ir atnaujinti,  taip pat savivaldybių bendrojo ugdymo mokyklų tinklo stiprinimo iniciatyvoms skatinti“ </w:t>
      </w:r>
      <w:r>
        <w:rPr>
          <w:color w:val="000000"/>
          <w:szCs w:val="24"/>
          <w:bdr w:val="none" w:sz="0" w:space="0" w:color="auto" w:frame="1"/>
          <w:shd w:val="clear" w:color="auto" w:fill="FFFFFF"/>
          <w:lang w:eastAsia="lt-LT"/>
        </w:rPr>
        <w:t xml:space="preserve">(priemonės kodas – </w:t>
      </w:r>
      <w:r>
        <w:rPr>
          <w:color w:val="000000"/>
          <w:szCs w:val="24"/>
          <w:lang w:eastAsia="lt-LT"/>
        </w:rPr>
        <w:t>12-003-03-06-04 (TD)</w:t>
      </w:r>
      <w:r>
        <w:rPr>
          <w:color w:val="000000"/>
          <w:szCs w:val="24"/>
        </w:rPr>
        <w:t xml:space="preserve"> bei vadovaudamasi </w:t>
      </w:r>
      <w:r>
        <w:rPr>
          <w:szCs w:val="24"/>
        </w:rPr>
        <w:t xml:space="preserve">Lietuvos Respublikos 2024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aprašo, </w:t>
      </w:r>
      <w:r>
        <w:rPr>
          <w:color w:val="000000"/>
          <w:szCs w:val="24"/>
        </w:rPr>
        <w:t xml:space="preserve">patvirtinto Lietuvos Respublikos švietimo, mokslo ir sporto ministro 2024 m. balandžio 8 d. įsakymu Nr. </w:t>
      </w:r>
      <w:r>
        <w:rPr>
          <w:szCs w:val="24"/>
        </w:rPr>
        <w:t>V-385</w:t>
      </w:r>
      <w:r>
        <w:rPr>
          <w:color w:val="000000"/>
          <w:szCs w:val="24"/>
        </w:rPr>
        <w:t xml:space="preserve"> „Dėl Lietuvos Respublikos 2024 metų valstybės biudžeto lėšų, skirtų išlaidoms, susijusioms su </w:t>
      </w:r>
      <w:r>
        <w:rPr>
          <w:rFonts w:eastAsia="Calibri"/>
          <w:szCs w:val="24"/>
          <w:lang w:eastAsia="lt-LT"/>
        </w:rPr>
        <w:t>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aprašo </w:t>
      </w:r>
      <w:r>
        <w:rPr>
          <w:color w:val="000000"/>
          <w:szCs w:val="24"/>
        </w:rPr>
        <w:t>patvirtinimo“ (toliau – Aprašas), 11 punktu:</w:t>
      </w:r>
    </w:p>
    <w:p w:rsidR="00EF7FA3" w:rsidRDefault="00A05C18">
      <w:pPr>
        <w:suppressAutoHyphens/>
        <w:ind w:left="927" w:hanging="360"/>
        <w:jc w:val="both"/>
        <w:textAlignment w:val="center"/>
        <w:rPr>
          <w:color w:val="000000"/>
          <w:szCs w:val="24"/>
        </w:rPr>
      </w:pPr>
      <w:r>
        <w:rPr>
          <w:color w:val="000000"/>
          <w:szCs w:val="24"/>
        </w:rPr>
        <w:t>1.</w:t>
      </w:r>
      <w:r>
        <w:rPr>
          <w:color w:val="000000"/>
          <w:szCs w:val="24"/>
        </w:rPr>
        <w:tab/>
        <w:t>T v i r t i n u  pridedamus:</w:t>
      </w:r>
    </w:p>
    <w:p w:rsidR="00EF7FA3" w:rsidRDefault="00A05C18">
      <w:pPr>
        <w:widowControl w:val="0"/>
        <w:suppressAutoHyphens/>
        <w:ind w:firstLine="567"/>
        <w:jc w:val="both"/>
        <w:textAlignment w:val="center"/>
        <w:rPr>
          <w:color w:val="000000"/>
          <w:szCs w:val="24"/>
        </w:rPr>
      </w:pPr>
      <w:r>
        <w:rPr>
          <w:color w:val="000000"/>
          <w:szCs w:val="24"/>
        </w:rPr>
        <w:t xml:space="preserve">1.1. Lietuvos Respublikos 2024 metų </w:t>
      </w:r>
      <w:r>
        <w:rPr>
          <w:rFonts w:eastAsia="Calibri"/>
          <w:bCs/>
          <w:szCs w:val="24"/>
        </w:rPr>
        <w:t xml:space="preserve">valstybės biudžeto lėšų, skirtų išlaidoms, susijusioms su valstybinių ir savivaldybių mokyklų mokytojų, dirbančių pagal ikimokyklinio, priešmokyklinio, bendrojo ugdymo ir profesinio mokymo programas, </w:t>
      </w:r>
      <w:r>
        <w:rPr>
          <w:rFonts w:eastAsia="Calibri"/>
          <w:szCs w:val="24"/>
          <w:lang w:eastAsia="lt-LT"/>
        </w:rPr>
        <w:t>personalo optimizavimu ir atnaujinimu</w:t>
      </w:r>
      <w:r>
        <w:rPr>
          <w:szCs w:val="24"/>
        </w:rPr>
        <w:t>,</w:t>
      </w:r>
      <w:r>
        <w:rPr>
          <w:rFonts w:eastAsia="Calibri"/>
          <w:bCs/>
          <w:szCs w:val="24"/>
        </w:rPr>
        <w:t xml:space="preserve"> apmokėti,</w:t>
      </w:r>
      <w:r>
        <w:rPr>
          <w:color w:val="000000"/>
          <w:szCs w:val="24"/>
        </w:rPr>
        <w:t xml:space="preserve"> paskirstymą pagal savivaldybes;</w:t>
      </w:r>
    </w:p>
    <w:p w:rsidR="00EF7FA3" w:rsidRDefault="00A05C18">
      <w:pPr>
        <w:widowControl w:val="0"/>
        <w:suppressAutoHyphens/>
        <w:ind w:firstLine="567"/>
        <w:jc w:val="both"/>
        <w:textAlignment w:val="center"/>
        <w:rPr>
          <w:color w:val="000000"/>
          <w:szCs w:val="24"/>
        </w:rPr>
      </w:pPr>
      <w:r>
        <w:rPr>
          <w:color w:val="000000"/>
          <w:szCs w:val="24"/>
        </w:rPr>
        <w:t xml:space="preserve">1.2. Lietuvos Respublikos 2024 metų </w:t>
      </w:r>
      <w:r>
        <w:rPr>
          <w:rFonts w:eastAsia="Calibri"/>
          <w:bCs/>
          <w:szCs w:val="24"/>
        </w:rPr>
        <w:t xml:space="preserve">valstybės biudžeto lėšų, skirtų išlaidoms, susijusioms su valstybinių ir savivaldybių mokyklų mokytojų, dirbančių pagal ikimokyklinio, priešmokyklinio, bendrojo ugdymo ir profesinio mokymo programas, </w:t>
      </w:r>
      <w:r>
        <w:rPr>
          <w:rFonts w:eastAsia="Calibri"/>
          <w:szCs w:val="24"/>
          <w:lang w:eastAsia="lt-LT"/>
        </w:rPr>
        <w:t>personalo optimizavimu ir atnaujinimu</w:t>
      </w:r>
      <w:r>
        <w:rPr>
          <w:szCs w:val="24"/>
        </w:rPr>
        <w:t>,</w:t>
      </w:r>
      <w:r>
        <w:rPr>
          <w:rFonts w:eastAsia="Calibri"/>
          <w:bCs/>
          <w:szCs w:val="24"/>
        </w:rPr>
        <w:t xml:space="preserve"> apmokėti,</w:t>
      </w:r>
      <w:r>
        <w:rPr>
          <w:color w:val="000000"/>
          <w:szCs w:val="24"/>
        </w:rPr>
        <w:t xml:space="preserve"> paskirstymą pagal valstybines mokyklas.</w:t>
      </w:r>
    </w:p>
    <w:p w:rsidR="00EF7FA3" w:rsidRDefault="00A05C18">
      <w:pPr>
        <w:suppressAutoHyphens/>
        <w:ind w:left="927" w:hanging="360"/>
        <w:jc w:val="both"/>
        <w:textAlignment w:val="center"/>
        <w:rPr>
          <w:color w:val="000000"/>
          <w:szCs w:val="24"/>
        </w:rPr>
      </w:pPr>
      <w:r>
        <w:rPr>
          <w:color w:val="000000"/>
          <w:szCs w:val="24"/>
        </w:rPr>
        <w:t>2.</w:t>
      </w:r>
      <w:r>
        <w:rPr>
          <w:color w:val="000000"/>
          <w:szCs w:val="24"/>
        </w:rPr>
        <w:tab/>
        <w:t>N u s t a t a u, kad iki 2024 m. balandžio 30 d.:</w:t>
      </w:r>
    </w:p>
    <w:p w:rsidR="00EF7FA3" w:rsidRDefault="00A05C18">
      <w:pPr>
        <w:ind w:firstLine="567"/>
        <w:jc w:val="both"/>
        <w:rPr>
          <w:szCs w:val="24"/>
        </w:rPr>
      </w:pPr>
      <w:r>
        <w:rPr>
          <w:color w:val="000000"/>
          <w:szCs w:val="24"/>
        </w:rPr>
        <w:t xml:space="preserve">2.1. Lietuvos Respublikos švietimo, mokslo ir sporto ministerijos Finansinės apskaitos skyrius perveda lėšas šio įsakymo 1.1 papunkčiu patvirtintame Lietuvos Respublikos 2024 metų valstybės biudžeto lėšų, skirtų išlaidoms, susijusioms su </w:t>
      </w:r>
      <w:r>
        <w:rPr>
          <w:rFonts w:eastAsia="Calibri"/>
          <w:bCs/>
          <w:szCs w:val="24"/>
        </w:rPr>
        <w:t xml:space="preserve">valstybinių ir savivaldybių mokyklų mokytojų, dirbančių pagal ikimokyklinio, priešmokyklinio, bendrojo ugdymo ir profesinio mokymo programas, </w:t>
      </w:r>
      <w:r>
        <w:rPr>
          <w:rFonts w:eastAsia="Calibri"/>
          <w:szCs w:val="24"/>
          <w:lang w:eastAsia="lt-LT"/>
        </w:rPr>
        <w:t>personalo optimizavimu ir atnaujinimu</w:t>
      </w:r>
      <w:r>
        <w:rPr>
          <w:szCs w:val="24"/>
        </w:rPr>
        <w:t xml:space="preserve">, </w:t>
      </w:r>
      <w:r>
        <w:rPr>
          <w:rFonts w:eastAsia="Calibri"/>
          <w:bCs/>
          <w:szCs w:val="24"/>
        </w:rPr>
        <w:t>apmokėti</w:t>
      </w:r>
      <w:r>
        <w:rPr>
          <w:color w:val="000000"/>
          <w:szCs w:val="24"/>
        </w:rPr>
        <w:t>, paskirstyme pagal savivaldybes (toliau – Paskirstymas pagal savivaldybes) nurodytoms savivaldybėms;</w:t>
      </w:r>
    </w:p>
    <w:p w:rsidR="00EF7FA3" w:rsidRDefault="00A05C18">
      <w:pPr>
        <w:ind w:firstLine="567"/>
        <w:jc w:val="both"/>
        <w:rPr>
          <w:color w:val="000000"/>
          <w:szCs w:val="24"/>
        </w:rPr>
      </w:pPr>
      <w:r>
        <w:rPr>
          <w:szCs w:val="24"/>
        </w:rPr>
        <w:lastRenderedPageBreak/>
        <w:t xml:space="preserve">2.2. </w:t>
      </w:r>
      <w:r>
        <w:rPr>
          <w:color w:val="000000"/>
          <w:szCs w:val="24"/>
        </w:rPr>
        <w:t xml:space="preserve">Švietimo, mokslo ir sporto ministerijos Ekonomikos departamento Švietimo ir sporto ekonomikos skyrius parengia valstybinių mokyklų sąmatas pagal šio įsakymo 1.2 papunkčiu patvirtintame Lietuvos Respublikos 2024 metų valstybės biudžeto lėšų, skirtų išlaidoms, susijusioms </w:t>
      </w:r>
      <w:r>
        <w:rPr>
          <w:rFonts w:eastAsia="Calibri"/>
          <w:bCs/>
          <w:szCs w:val="24"/>
        </w:rPr>
        <w:t xml:space="preserve">valstybinių ir savivaldybių mokyklų mokytojų, dirbančių pagal ikimokyklinio, priešmokyklinio, bendrojo ugdymo ir profesinio mokymo programas, </w:t>
      </w:r>
      <w:r>
        <w:rPr>
          <w:rFonts w:eastAsia="Calibri"/>
          <w:szCs w:val="24"/>
          <w:lang w:eastAsia="lt-LT"/>
        </w:rPr>
        <w:t>personalo optimizavimu ir atnaujinimu</w:t>
      </w:r>
      <w:r>
        <w:rPr>
          <w:rFonts w:eastAsia="Calibri"/>
          <w:bCs/>
          <w:szCs w:val="24"/>
        </w:rPr>
        <w:t>, apmokėti</w:t>
      </w:r>
      <w:r>
        <w:rPr>
          <w:color w:val="000000"/>
          <w:szCs w:val="24"/>
        </w:rPr>
        <w:t>, paskirstyme pagal valstybines mokyklas (toliau – Paskirstymas pagal valstybines mokyklas) nurodytas lėšų sumas;</w:t>
      </w:r>
    </w:p>
    <w:p w:rsidR="00EF7FA3" w:rsidRDefault="00A05C18">
      <w:pPr>
        <w:ind w:firstLine="567"/>
        <w:jc w:val="both"/>
        <w:rPr>
          <w:color w:val="000000"/>
          <w:szCs w:val="24"/>
        </w:rPr>
      </w:pPr>
      <w:r>
        <w:rPr>
          <w:color w:val="000000"/>
          <w:szCs w:val="24"/>
        </w:rPr>
        <w:t>2.3. šio įsakymo 1.1 papunkčiu patvirtintame Paskirstyme pagal savivaldybes ir šio įsakymo 1.2 papunkčiu patvirtintame Paskirstyme pagal valstybines mokyklas numatytos lėšos turi būti naudojamos Aprašo ir kitų teisės aktų nustatyta tvarka;</w:t>
      </w:r>
    </w:p>
    <w:p w:rsidR="00EF7FA3" w:rsidRDefault="00A05C18">
      <w:pPr>
        <w:tabs>
          <w:tab w:val="left" w:pos="567"/>
          <w:tab w:val="left" w:pos="709"/>
        </w:tabs>
        <w:ind w:firstLine="567"/>
        <w:jc w:val="both"/>
        <w:rPr>
          <w:color w:val="000000"/>
          <w:szCs w:val="24"/>
        </w:rPr>
      </w:pPr>
      <w:r>
        <w:rPr>
          <w:color w:val="000000"/>
          <w:szCs w:val="24"/>
        </w:rPr>
        <w:t xml:space="preserve">2.4. įvykdžius pavedimą, iki 2025 m. kovo 1 d. pateikti Švietimo, mokslo ir sporto ministerijos Ekonomikos departamento Švietimo ir sporto ekonomikos skyriui </w:t>
      </w:r>
      <w:r>
        <w:rPr>
          <w:szCs w:val="24"/>
        </w:rPr>
        <w:t xml:space="preserve">Valstybės biudžeto lėšų, skirtų išlaidoms, susijusioms su valstybinių ir savivaldybių mokyklų mokytojų, dirbančių pagal ikimokyklinio, priešmokyklinio, bendrojo ugdymo ir profesinio mokymo programas, </w:t>
      </w:r>
      <w:r>
        <w:rPr>
          <w:rFonts w:eastAsia="Calibri"/>
          <w:szCs w:val="24"/>
          <w:lang w:eastAsia="lt-LT"/>
        </w:rPr>
        <w:t>personalo optimizavimu ir atnaujinimu</w:t>
      </w:r>
      <w:r>
        <w:rPr>
          <w:szCs w:val="24"/>
        </w:rPr>
        <w:t>, apmokėti,</w:t>
      </w:r>
      <w:r>
        <w:rPr>
          <w:caps/>
          <w:szCs w:val="24"/>
        </w:rPr>
        <w:t xml:space="preserve"> </w:t>
      </w:r>
      <w:r>
        <w:rPr>
          <w:szCs w:val="24"/>
        </w:rPr>
        <w:t>panaudojimo</w:t>
      </w:r>
      <w:r>
        <w:rPr>
          <w:color w:val="000000"/>
          <w:szCs w:val="24"/>
        </w:rPr>
        <w:t xml:space="preserve"> ataskaitą, parengtą pagal Aprašo priede pateiktą formą;</w:t>
      </w:r>
    </w:p>
    <w:p w:rsidR="00EF7FA3" w:rsidRDefault="00A05C18">
      <w:pPr>
        <w:tabs>
          <w:tab w:val="left" w:pos="567"/>
          <w:tab w:val="left" w:pos="709"/>
        </w:tabs>
        <w:ind w:firstLine="567"/>
        <w:jc w:val="both"/>
        <w:rPr>
          <w:color w:val="000000"/>
          <w:szCs w:val="24"/>
        </w:rPr>
      </w:pPr>
      <w:r>
        <w:rPr>
          <w:color w:val="000000"/>
          <w:szCs w:val="24"/>
        </w:rPr>
        <w:t xml:space="preserve">2.5. skirtas, bet nepanaudotas pagal Apraše nurodytą paskirtį valstybės biudžeto lėšas grąžinti į Švietimo, mokslo ir sporto ministerijos sąskaitą </w:t>
      </w:r>
      <w:r>
        <w:rPr>
          <w:rFonts w:eastAsia="Calibri"/>
          <w:szCs w:val="24"/>
        </w:rPr>
        <w:t>Nr. LT30 7300 0100 0245 7205</w:t>
      </w:r>
      <w:r>
        <w:rPr>
          <w:rFonts w:eastAsia="Calibri"/>
          <w:sz w:val="22"/>
          <w:szCs w:val="24"/>
        </w:rPr>
        <w:t xml:space="preserve"> </w:t>
      </w:r>
      <w:r>
        <w:rPr>
          <w:color w:val="000000"/>
          <w:szCs w:val="24"/>
        </w:rPr>
        <w:t>iki 2024 m. gruodžio 31 d.;</w:t>
      </w:r>
    </w:p>
    <w:p w:rsidR="00EF7FA3" w:rsidRDefault="00A05C18" w:rsidP="00A05C18">
      <w:pPr>
        <w:tabs>
          <w:tab w:val="left" w:pos="567"/>
          <w:tab w:val="left" w:pos="709"/>
        </w:tabs>
        <w:ind w:firstLine="567"/>
        <w:jc w:val="both"/>
        <w:rPr>
          <w:szCs w:val="24"/>
        </w:rPr>
      </w:pPr>
      <w:r>
        <w:rPr>
          <w:color w:val="000000"/>
          <w:szCs w:val="24"/>
        </w:rPr>
        <w:t xml:space="preserve">2.6. </w:t>
      </w:r>
      <w:r>
        <w:rPr>
          <w:szCs w:val="24"/>
          <w:lang w:eastAsia="lt-LT"/>
        </w:rPr>
        <w:t>2024 metais lėšos skiriamos iš finansavimo šaltinio 1.1.1.1.1 „Valstybės biudžeto lėšos“.</w:t>
      </w:r>
    </w:p>
    <w:p w:rsidR="00A05C18" w:rsidRDefault="00A05C18"/>
    <w:p w:rsidR="00A05C18" w:rsidRDefault="00A05C18"/>
    <w:p w:rsidR="00A05C18" w:rsidRDefault="00A05C18"/>
    <w:p w:rsidR="00EF7FA3" w:rsidRDefault="00A05C18">
      <w:pPr>
        <w:rPr>
          <w:szCs w:val="24"/>
        </w:rPr>
      </w:pPr>
      <w:r>
        <w:rPr>
          <w:szCs w:val="24"/>
        </w:rPr>
        <w:t xml:space="preserve">Socialinės apsaugos ir darbo ministrė, </w:t>
      </w:r>
    </w:p>
    <w:p w:rsidR="00EF7FA3" w:rsidRDefault="00A05C18" w:rsidP="00A05C18">
      <w:pPr>
        <w:tabs>
          <w:tab w:val="left" w:pos="7513"/>
        </w:tabs>
        <w:rPr>
          <w:sz w:val="22"/>
          <w:szCs w:val="22"/>
        </w:rPr>
      </w:pPr>
      <w:r>
        <w:rPr>
          <w:szCs w:val="24"/>
        </w:rPr>
        <w:t xml:space="preserve">laikinai einanti švietimo, mokslo ir sporto ministro pareigas  </w:t>
      </w:r>
      <w:r>
        <w:rPr>
          <w:szCs w:val="24"/>
        </w:rPr>
        <w:tab/>
        <w:t xml:space="preserve">  Monika Navickienė</w:t>
      </w:r>
    </w:p>
    <w:p w:rsidR="00A05C18" w:rsidRDefault="00A05C18">
      <w:pPr>
        <w:ind w:left="4678" w:firstLine="709"/>
        <w:sectPr w:rsidR="00A05C18">
          <w:headerReference w:type="even" r:id="rId8"/>
          <w:headerReference w:type="default" r:id="rId9"/>
          <w:footerReference w:type="even" r:id="rId10"/>
          <w:footerReference w:type="default" r:id="rId11"/>
          <w:headerReference w:type="first" r:id="rId12"/>
          <w:footerReference w:type="first" r:id="rId13"/>
          <w:pgSz w:w="11906" w:h="16838"/>
          <w:pgMar w:top="1134" w:right="567" w:bottom="709" w:left="1701" w:header="567" w:footer="567" w:gutter="0"/>
          <w:pgNumType w:start="1"/>
          <w:cols w:space="1296"/>
          <w:titlePg/>
          <w:docGrid w:linePitch="360"/>
        </w:sectPr>
      </w:pPr>
    </w:p>
    <w:p w:rsidR="00EF7FA3" w:rsidRDefault="00A05C18">
      <w:pPr>
        <w:ind w:left="4678" w:firstLine="709"/>
        <w:rPr>
          <w:szCs w:val="22"/>
        </w:rPr>
      </w:pPr>
      <w:r>
        <w:rPr>
          <w:szCs w:val="22"/>
        </w:rPr>
        <w:lastRenderedPageBreak/>
        <w:t>PATVIRTINTA</w:t>
      </w:r>
    </w:p>
    <w:p w:rsidR="00EF7FA3" w:rsidRDefault="00A05C18">
      <w:pPr>
        <w:ind w:left="4678" w:firstLine="709"/>
        <w:rPr>
          <w:szCs w:val="22"/>
        </w:rPr>
      </w:pPr>
      <w:r>
        <w:rPr>
          <w:szCs w:val="22"/>
        </w:rPr>
        <w:t xml:space="preserve">Lietuvos Respublikos švietimo, mokslo </w:t>
      </w:r>
    </w:p>
    <w:p w:rsidR="00A05C18" w:rsidRDefault="00A05C18">
      <w:pPr>
        <w:ind w:left="4678" w:firstLine="709"/>
        <w:rPr>
          <w:szCs w:val="22"/>
        </w:rPr>
      </w:pPr>
      <w:r>
        <w:rPr>
          <w:szCs w:val="22"/>
        </w:rPr>
        <w:t>ir sporto ministro</w:t>
      </w:r>
    </w:p>
    <w:p w:rsidR="00EF7FA3" w:rsidRDefault="00A05C18">
      <w:pPr>
        <w:ind w:left="4678" w:firstLine="709"/>
        <w:rPr>
          <w:szCs w:val="22"/>
        </w:rPr>
      </w:pPr>
      <w:r>
        <w:rPr>
          <w:szCs w:val="22"/>
        </w:rPr>
        <w:t xml:space="preserve">2024 m. </w:t>
      </w:r>
      <w:r>
        <w:rPr>
          <w:szCs w:val="24"/>
        </w:rPr>
        <w:t xml:space="preserve">balandžio 30 </w:t>
      </w:r>
      <w:r>
        <w:rPr>
          <w:szCs w:val="22"/>
        </w:rPr>
        <w:t xml:space="preserve">d. </w:t>
      </w:r>
    </w:p>
    <w:p w:rsidR="00EF7FA3" w:rsidRDefault="00A05C18">
      <w:pPr>
        <w:ind w:left="4678" w:firstLine="709"/>
        <w:rPr>
          <w:szCs w:val="22"/>
        </w:rPr>
      </w:pPr>
      <w:r>
        <w:rPr>
          <w:szCs w:val="22"/>
        </w:rPr>
        <w:t>įsakymu Nr.</w:t>
      </w:r>
      <w:r>
        <w:rPr>
          <w:sz w:val="22"/>
          <w:szCs w:val="22"/>
        </w:rPr>
        <w:t xml:space="preserve"> </w:t>
      </w:r>
      <w:r>
        <w:rPr>
          <w:szCs w:val="22"/>
        </w:rPr>
        <w:t>V-</w:t>
      </w:r>
      <w:r w:rsidRPr="00A05C18">
        <w:rPr>
          <w:szCs w:val="24"/>
        </w:rPr>
        <w:t>459</w:t>
      </w:r>
    </w:p>
    <w:p w:rsidR="00EF7FA3" w:rsidRDefault="00EF7FA3">
      <w:pPr>
        <w:jc w:val="center"/>
        <w:rPr>
          <w:szCs w:val="22"/>
        </w:rPr>
      </w:pPr>
    </w:p>
    <w:p w:rsidR="00EF7FA3" w:rsidRDefault="00A05C18">
      <w:pPr>
        <w:jc w:val="center"/>
        <w:rPr>
          <w:rFonts w:eastAsia="Calibri"/>
          <w:b/>
          <w:bCs/>
          <w:caps/>
          <w:szCs w:val="24"/>
        </w:rPr>
      </w:pPr>
      <w:r>
        <w:rPr>
          <w:b/>
          <w:color w:val="000000"/>
          <w:szCs w:val="24"/>
        </w:rPr>
        <w:t>LIETUVOS RESPUBLIKOS 2024 METŲ</w:t>
      </w:r>
      <w:r>
        <w:rPr>
          <w:color w:val="000000"/>
          <w:szCs w:val="24"/>
        </w:rPr>
        <w:t xml:space="preserve"> </w:t>
      </w:r>
      <w:r>
        <w:rPr>
          <w:rFonts w:eastAsia="Calibri"/>
          <w:b/>
          <w:bCs/>
          <w:caps/>
          <w:szCs w:val="24"/>
        </w:rPr>
        <w:t xml:space="preserve">valstybės biudžeto lėšų, skirtų išlaidoms, susijusioms su valstybinių ir savivaldybių mokyklų mokytojų, dirbančių pagal ikimokyklinio, priešmokyklinio, bendrojo ugdymo ir profesinio mokymo programas, </w:t>
      </w:r>
      <w:r>
        <w:rPr>
          <w:rFonts w:eastAsia="Calibri"/>
          <w:b/>
          <w:caps/>
          <w:szCs w:val="24"/>
          <w:lang w:eastAsia="lt-LT"/>
        </w:rPr>
        <w:t>PERSONALO optimizavimu IR ATNAUJINIMU</w:t>
      </w:r>
      <w:r>
        <w:rPr>
          <w:rFonts w:eastAsia="Calibri"/>
          <w:b/>
          <w:bCs/>
          <w:caps/>
          <w:szCs w:val="24"/>
        </w:rPr>
        <w:t xml:space="preserve">, apmokėti, </w:t>
      </w:r>
    </w:p>
    <w:p w:rsidR="00EF7FA3" w:rsidRDefault="00A05C18">
      <w:pPr>
        <w:jc w:val="center"/>
        <w:rPr>
          <w:b/>
          <w:szCs w:val="24"/>
        </w:rPr>
      </w:pPr>
      <w:r>
        <w:rPr>
          <w:rFonts w:eastAsia="Calibri"/>
          <w:b/>
          <w:bCs/>
          <w:caps/>
          <w:szCs w:val="24"/>
        </w:rPr>
        <w:t>P</w:t>
      </w:r>
      <w:r>
        <w:rPr>
          <w:b/>
          <w:szCs w:val="24"/>
        </w:rPr>
        <w:t>ASKIRSTYMAS PAGAL SAVIVALDYBES</w:t>
      </w:r>
    </w:p>
    <w:p w:rsidR="00EF7FA3" w:rsidRDefault="00EF7FA3">
      <w:pPr>
        <w:jc w:val="center"/>
        <w:rPr>
          <w:b/>
          <w:szCs w:val="24"/>
        </w:rPr>
      </w:pPr>
    </w:p>
    <w:tbl>
      <w:tblPr>
        <w:tblW w:w="8075" w:type="dxa"/>
        <w:jc w:val="center"/>
        <w:tblLook w:val="04A0" w:firstRow="1" w:lastRow="0" w:firstColumn="1" w:lastColumn="0" w:noHBand="0" w:noVBand="1"/>
      </w:tblPr>
      <w:tblGrid>
        <w:gridCol w:w="960"/>
        <w:gridCol w:w="5272"/>
        <w:gridCol w:w="1843"/>
      </w:tblGrid>
      <w:tr w:rsidR="00EF7FA3">
        <w:trPr>
          <w:trHeight w:val="624"/>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FA3" w:rsidRDefault="00A05C18">
            <w:pPr>
              <w:jc w:val="center"/>
              <w:rPr>
                <w:color w:val="000000"/>
                <w:szCs w:val="24"/>
                <w:lang w:eastAsia="lt-LT"/>
              </w:rPr>
            </w:pPr>
            <w:r>
              <w:rPr>
                <w:color w:val="000000"/>
                <w:szCs w:val="24"/>
                <w:lang w:eastAsia="lt-LT"/>
              </w:rPr>
              <w:t>Eil. Nr.</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rsidR="00EF7FA3" w:rsidRDefault="00A05C18">
            <w:pPr>
              <w:jc w:val="center"/>
              <w:rPr>
                <w:color w:val="000000"/>
                <w:szCs w:val="24"/>
                <w:lang w:eastAsia="lt-LT"/>
              </w:rPr>
            </w:pPr>
            <w:r>
              <w:rPr>
                <w:color w:val="000000"/>
                <w:szCs w:val="24"/>
                <w:lang w:eastAsia="lt-LT"/>
              </w:rPr>
              <w:t>Savivaldybės pavadinimas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F7FA3" w:rsidRDefault="00A05C18">
            <w:pPr>
              <w:ind w:firstLine="62"/>
              <w:jc w:val="center"/>
              <w:rPr>
                <w:color w:val="000000"/>
                <w:szCs w:val="24"/>
                <w:lang w:eastAsia="lt-LT"/>
              </w:rPr>
            </w:pPr>
            <w:r>
              <w:rPr>
                <w:color w:val="000000"/>
                <w:szCs w:val="24"/>
                <w:lang w:eastAsia="lt-LT"/>
              </w:rPr>
              <w:t xml:space="preserve">Lėšų suma, eurais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Akmenės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5 799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Alytaus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19 002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Alytaus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3 844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Anykščių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4 666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Birštono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1 785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Biržų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5 591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7.</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Druskininkų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6 024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8.</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Elektrėnų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8 067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9.</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Ignalinos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2 969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10.</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Jonavos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12 786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11.</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Joniškio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6 077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12.</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Jurbarko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6 749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13.</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Kaišiadorių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8 950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14.</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Kalvarijos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2 617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15.</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94 907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16.</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31 308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17.</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Kazlų Rūdos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3 732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18.</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Kėdainių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12 829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19.</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Kelmės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6 317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20.</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64 776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21.</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16 878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22.</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Kretingos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9 950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23.</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Kupiškio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4 244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24.</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Lazdijų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4 719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25.</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Marijampolės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15 718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26.</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Mažeikių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18 551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27.</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Molėtų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4 090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28.</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Neringos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560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29.</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Pagėgių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2 235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30.</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Pakruojo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4 719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31.</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Palangos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5 829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32.</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Panevėžio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30 203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33.</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Panevėžio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8 771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34.</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Pasvalio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6 570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35.</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Plungės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10 748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36.</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Prienų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7 926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37.</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Radviliškio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10 684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38.</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Raseinių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8 822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39.</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Rietavo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2 238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40.</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Rokiškio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6 445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41.</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Skuodo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4 252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42.</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Šakių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6 893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43.</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Šalčininkų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10 727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44.</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Šiaulių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36 235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45.</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Šiaulių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9 846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46.</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Šilalės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6 064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47.</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Šilutės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11 570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48.</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Širvintų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4 041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49.</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Švenčionių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7 208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50.</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Tauragės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11 463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51.</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Telšių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12 034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52.</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Trakų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11 970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53.</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Ukmergės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10 892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54.</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Utenos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10 585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55.</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Varėnos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4 919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56.</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Vilkaviškio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10 439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57.</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m.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434"/>
              <w:rPr>
                <w:color w:val="000000"/>
                <w:szCs w:val="24"/>
                <w:lang w:eastAsia="lt-LT"/>
              </w:rPr>
            </w:pPr>
            <w:r>
              <w:rPr>
                <w:color w:val="000000"/>
                <w:szCs w:val="24"/>
                <w:lang w:eastAsia="lt-LT"/>
              </w:rPr>
              <w:t xml:space="preserve">213 524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58.</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29 814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59.</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Visagino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6 197 </w:t>
            </w:r>
          </w:p>
        </w:tc>
      </w:tr>
      <w:tr w:rsidR="00EF7FA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60.</w:t>
            </w:r>
          </w:p>
        </w:tc>
        <w:tc>
          <w:tcPr>
            <w:tcW w:w="527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Zarasų r. sav.</w:t>
            </w:r>
          </w:p>
        </w:tc>
        <w:tc>
          <w:tcPr>
            <w:tcW w:w="1843"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2 929 </w:t>
            </w:r>
          </w:p>
        </w:tc>
      </w:tr>
      <w:tr w:rsidR="00EF7FA3">
        <w:trPr>
          <w:trHeight w:val="312"/>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FA3" w:rsidRDefault="00EF7FA3">
            <w:pPr>
              <w:ind w:firstLine="62"/>
              <w:rPr>
                <w:color w:val="000000"/>
                <w:szCs w:val="24"/>
                <w:lang w:eastAsia="lt-LT"/>
              </w:rPr>
            </w:pPr>
          </w:p>
        </w:tc>
        <w:tc>
          <w:tcPr>
            <w:tcW w:w="5272" w:type="dxa"/>
            <w:tcBorders>
              <w:top w:val="single" w:sz="4" w:space="0" w:color="auto"/>
              <w:left w:val="nil"/>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Iš viso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FA3" w:rsidRDefault="00A05C18">
            <w:pPr>
              <w:ind w:firstLine="434"/>
              <w:rPr>
                <w:color w:val="000000"/>
                <w:szCs w:val="24"/>
                <w:lang w:eastAsia="lt-LT"/>
              </w:rPr>
            </w:pPr>
            <w:r>
              <w:rPr>
                <w:color w:val="000000"/>
                <w:szCs w:val="24"/>
                <w:lang w:eastAsia="lt-LT"/>
              </w:rPr>
              <w:t xml:space="preserve">910 297 </w:t>
            </w:r>
          </w:p>
        </w:tc>
      </w:tr>
    </w:tbl>
    <w:p w:rsidR="00EF7FA3" w:rsidRDefault="00EF7FA3">
      <w:pPr>
        <w:jc w:val="center"/>
        <w:rPr>
          <w:b/>
          <w:szCs w:val="24"/>
        </w:rPr>
      </w:pPr>
    </w:p>
    <w:p w:rsidR="00EF7FA3" w:rsidRDefault="00A05C18" w:rsidP="00A05C18">
      <w:pPr>
        <w:jc w:val="center"/>
        <w:rPr>
          <w:sz w:val="22"/>
          <w:szCs w:val="22"/>
        </w:rPr>
      </w:pPr>
      <w:r>
        <w:rPr>
          <w:szCs w:val="24"/>
        </w:rPr>
        <w:t>______________</w:t>
      </w:r>
    </w:p>
    <w:p w:rsidR="00A05C18" w:rsidRDefault="00A05C18" w:rsidP="00A05C18">
      <w:pPr>
        <w:tabs>
          <w:tab w:val="left" w:pos="4236"/>
        </w:tabs>
        <w:spacing w:line="259" w:lineRule="auto"/>
        <w:ind w:left="3686"/>
        <w:sectPr w:rsidR="00A05C18">
          <w:pgSz w:w="11906" w:h="16838"/>
          <w:pgMar w:top="1134" w:right="567" w:bottom="709" w:left="1701" w:header="567" w:footer="567" w:gutter="0"/>
          <w:pgNumType w:start="1"/>
          <w:cols w:space="1296"/>
          <w:titlePg/>
          <w:docGrid w:linePitch="360"/>
        </w:sectPr>
      </w:pPr>
    </w:p>
    <w:p w:rsidR="00EF7FA3" w:rsidRDefault="00A05C18" w:rsidP="00A05C18">
      <w:pPr>
        <w:tabs>
          <w:tab w:val="left" w:pos="4236"/>
        </w:tabs>
        <w:spacing w:line="259" w:lineRule="auto"/>
        <w:ind w:left="3686"/>
        <w:rPr>
          <w:szCs w:val="22"/>
        </w:rPr>
      </w:pPr>
      <w:r>
        <w:rPr>
          <w:szCs w:val="22"/>
        </w:rPr>
        <w:t>PATVIRTINTA</w:t>
      </w:r>
    </w:p>
    <w:p w:rsidR="00A05C18" w:rsidRDefault="00A05C18" w:rsidP="00A05C18">
      <w:pPr>
        <w:ind w:left="3686"/>
        <w:rPr>
          <w:szCs w:val="22"/>
        </w:rPr>
      </w:pPr>
      <w:r>
        <w:rPr>
          <w:szCs w:val="22"/>
        </w:rPr>
        <w:t xml:space="preserve">Lietuvos Respublikos švietimo, mokslo ir sporto ministro </w:t>
      </w:r>
    </w:p>
    <w:p w:rsidR="00EF7FA3" w:rsidRDefault="00A05C18" w:rsidP="00A05C18">
      <w:pPr>
        <w:ind w:left="3686"/>
        <w:rPr>
          <w:szCs w:val="22"/>
        </w:rPr>
      </w:pPr>
      <w:r>
        <w:rPr>
          <w:szCs w:val="22"/>
        </w:rPr>
        <w:t xml:space="preserve">2024 m. </w:t>
      </w:r>
      <w:r>
        <w:rPr>
          <w:szCs w:val="24"/>
        </w:rPr>
        <w:t xml:space="preserve">balandžio 30 </w:t>
      </w:r>
      <w:r>
        <w:rPr>
          <w:szCs w:val="22"/>
        </w:rPr>
        <w:t xml:space="preserve">d. </w:t>
      </w:r>
    </w:p>
    <w:p w:rsidR="00EF7FA3" w:rsidRDefault="00A05C18" w:rsidP="00A05C18">
      <w:pPr>
        <w:ind w:left="3686"/>
        <w:rPr>
          <w:szCs w:val="22"/>
        </w:rPr>
      </w:pPr>
      <w:r>
        <w:rPr>
          <w:szCs w:val="22"/>
        </w:rPr>
        <w:t>įsakymu Nr.</w:t>
      </w:r>
      <w:r>
        <w:rPr>
          <w:sz w:val="22"/>
          <w:szCs w:val="22"/>
        </w:rPr>
        <w:t xml:space="preserve"> </w:t>
      </w:r>
      <w:r>
        <w:rPr>
          <w:szCs w:val="22"/>
        </w:rPr>
        <w:t>V-</w:t>
      </w:r>
      <w:r w:rsidRPr="00A05C18">
        <w:rPr>
          <w:szCs w:val="24"/>
        </w:rPr>
        <w:t>459</w:t>
      </w:r>
    </w:p>
    <w:p w:rsidR="00EF7FA3" w:rsidRDefault="00EF7FA3">
      <w:pPr>
        <w:jc w:val="center"/>
        <w:rPr>
          <w:szCs w:val="22"/>
        </w:rPr>
      </w:pPr>
    </w:p>
    <w:p w:rsidR="00EF7FA3" w:rsidRDefault="00A05C18">
      <w:pPr>
        <w:jc w:val="center"/>
        <w:rPr>
          <w:rFonts w:eastAsia="Calibri"/>
          <w:b/>
          <w:bCs/>
          <w:caps/>
          <w:szCs w:val="24"/>
        </w:rPr>
      </w:pPr>
      <w:r>
        <w:rPr>
          <w:b/>
          <w:color w:val="000000"/>
          <w:szCs w:val="24"/>
        </w:rPr>
        <w:t>LIETUVOS RESPUBLIKOS 2024 METŲ</w:t>
      </w:r>
      <w:r>
        <w:rPr>
          <w:color w:val="000000"/>
          <w:szCs w:val="24"/>
        </w:rPr>
        <w:t xml:space="preserve"> </w:t>
      </w:r>
      <w:r>
        <w:rPr>
          <w:rFonts w:eastAsia="Calibri"/>
          <w:b/>
          <w:bCs/>
          <w:caps/>
          <w:szCs w:val="24"/>
        </w:rPr>
        <w:t xml:space="preserve">valstybės biudžeto lėšų, skirtų išlaidoms, susijusioms su valstybinių ir savivaldybių mokyklų mokytojų, dirbančių pagal ikimokyklinio, priešmokyklinio, bendrojo ugdymo ir profesinio mokymo programas, </w:t>
      </w:r>
      <w:r>
        <w:rPr>
          <w:rFonts w:eastAsia="Calibri"/>
          <w:b/>
          <w:caps/>
          <w:szCs w:val="24"/>
          <w:lang w:eastAsia="lt-LT"/>
        </w:rPr>
        <w:t>PERSONALO optimizavimu IR ATNAUJINIMU</w:t>
      </w:r>
      <w:r>
        <w:rPr>
          <w:rFonts w:eastAsia="Calibri"/>
          <w:b/>
          <w:bCs/>
          <w:caps/>
          <w:szCs w:val="24"/>
        </w:rPr>
        <w:t xml:space="preserve">, apmokėti, </w:t>
      </w:r>
    </w:p>
    <w:p w:rsidR="00EF7FA3" w:rsidRDefault="00A05C18">
      <w:pPr>
        <w:jc w:val="center"/>
        <w:rPr>
          <w:b/>
          <w:szCs w:val="24"/>
        </w:rPr>
      </w:pPr>
      <w:r>
        <w:rPr>
          <w:b/>
          <w:szCs w:val="24"/>
        </w:rPr>
        <w:t>PASKIRSTYMAS PAGAL VALSTYBINES MOKYKLAS</w:t>
      </w:r>
    </w:p>
    <w:p w:rsidR="00EF7FA3" w:rsidRDefault="00EF7FA3">
      <w:pPr>
        <w:jc w:val="center"/>
        <w:rPr>
          <w:b/>
          <w:szCs w:val="24"/>
        </w:rPr>
      </w:pPr>
    </w:p>
    <w:tbl>
      <w:tblPr>
        <w:tblW w:w="8976" w:type="dxa"/>
        <w:jc w:val="center"/>
        <w:tblLook w:val="04A0" w:firstRow="1" w:lastRow="0" w:firstColumn="1" w:lastColumn="0" w:noHBand="0" w:noVBand="1"/>
      </w:tblPr>
      <w:tblGrid>
        <w:gridCol w:w="646"/>
        <w:gridCol w:w="6862"/>
        <w:gridCol w:w="1468"/>
      </w:tblGrid>
      <w:tr w:rsidR="00EF7FA3">
        <w:trPr>
          <w:trHeight w:val="624"/>
          <w:tblHeader/>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FA3" w:rsidRDefault="00A05C18">
            <w:pPr>
              <w:jc w:val="center"/>
              <w:rPr>
                <w:color w:val="000000"/>
                <w:szCs w:val="24"/>
                <w:lang w:eastAsia="lt-LT"/>
              </w:rPr>
            </w:pPr>
            <w:r>
              <w:rPr>
                <w:color w:val="000000"/>
                <w:szCs w:val="24"/>
                <w:lang w:eastAsia="lt-LT"/>
              </w:rPr>
              <w:t>Eil. Nr.</w:t>
            </w:r>
          </w:p>
        </w:tc>
        <w:tc>
          <w:tcPr>
            <w:tcW w:w="6862" w:type="dxa"/>
            <w:tcBorders>
              <w:top w:val="single" w:sz="4" w:space="0" w:color="auto"/>
              <w:left w:val="nil"/>
              <w:bottom w:val="single" w:sz="4" w:space="0" w:color="auto"/>
              <w:right w:val="single" w:sz="4" w:space="0" w:color="auto"/>
            </w:tcBorders>
            <w:shd w:val="clear" w:color="auto" w:fill="auto"/>
            <w:vAlign w:val="center"/>
            <w:hideMark/>
          </w:tcPr>
          <w:p w:rsidR="00EF7FA3" w:rsidRDefault="00A05C18">
            <w:pPr>
              <w:jc w:val="center"/>
              <w:rPr>
                <w:color w:val="000000"/>
                <w:szCs w:val="24"/>
                <w:lang w:eastAsia="lt-LT"/>
              </w:rPr>
            </w:pPr>
            <w:r>
              <w:rPr>
                <w:color w:val="000000"/>
                <w:szCs w:val="24"/>
                <w:lang w:eastAsia="lt-LT"/>
              </w:rPr>
              <w:t xml:space="preserve">Valstybinės mokyklos pavadinimas </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EF7FA3" w:rsidRDefault="00A05C18">
            <w:pPr>
              <w:jc w:val="center"/>
              <w:rPr>
                <w:color w:val="000000"/>
                <w:szCs w:val="24"/>
                <w:lang w:eastAsia="lt-LT"/>
              </w:rPr>
            </w:pPr>
            <w:r>
              <w:rPr>
                <w:color w:val="000000"/>
                <w:szCs w:val="24"/>
                <w:lang w:eastAsia="lt-LT"/>
              </w:rPr>
              <w:t>Lėšų suma, eurais</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"Diemedžio" ugdymo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123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Alytaus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2 158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Aukštaitijos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886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Biržų technologijų ir verslo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950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Buivydiškių pagrindinė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1 176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Bukiškio progimnazija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862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Eitminiškių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726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Gruzdžių vaikų socializacijos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992"/>
              <w:rPr>
                <w:color w:val="000000"/>
                <w:szCs w:val="24"/>
                <w:lang w:eastAsia="lt-LT"/>
              </w:rPr>
            </w:pPr>
            <w:r>
              <w:rPr>
                <w:color w:val="000000"/>
                <w:szCs w:val="24"/>
                <w:lang w:eastAsia="lt-LT"/>
              </w:rPr>
              <w:t xml:space="preserve">59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Jonavos politechnikos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1 003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10.</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Joniškio žemės ūkio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606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Juodšilių "Šilo"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1 163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Kalesninkų Mykolo Rudzio pagrindinė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437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Karaliaus Mindaugo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5 047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dailės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1 019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informacinių technologijų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878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Juozo Gruodžio konservatorija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368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Juozo Naujalio muzikos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1 486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maisto pramonės ir prekybos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1 192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19.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taikomosios dailės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854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20.</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Kauno technologijų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6 090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Kėdainių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920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Eduardo Balsio menų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838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Ernesto Galvanausko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1 697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Pauliaus Lindenau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550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Stasio Šimkaus konservatorija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552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technologijų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2 227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Klaipėdos turizmo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1 115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Kupiškio technologijos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534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29.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Lavoriškių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760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30.</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Lietuvos aklųjų ir silpnaregių ugdymo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291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Lietuvos kurčiųjų ir neprigirdinčiųjų ugdymo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600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Marijampolės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4 076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Mažeikių politechnikos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1 168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Mickūnų vaikų lopšelis-darželis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181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Nacionalinė Mikalojaus Konstantino Čiurlionio menų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1 846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Panevėžio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3 889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Panevėžio Vytauto Mikalausko menų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1 547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Plungės technologijų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667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39.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Radviliškio technologijų ir verslo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854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40.</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Riešės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3 796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Rokiškio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590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Rudaminos vaikų lopšelis-darželis "Ąžuoliukas"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253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Skuodo amatų ir paslaugų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256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Smalininkų technologijų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488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Šalčininkų Lietuvos tūkstantmečio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1 547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Šiaulių Sauliaus Sondeckio menų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1 315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Šiaulių technologijų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4 399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Šilutės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934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49.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Švenčionių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883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50.</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Tauragės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878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Turgelių "Aistuvos" gimnazija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584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Ukmergės technologijų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926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Utenos regioninis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899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Verslo ir svetingumo profesinės karjeros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2 532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Viešoji įstaiga Daugų technologijos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301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Viešoji įstaiga Elektrėnų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1 147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Viešoji įstaiga Kelmės profesinio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734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Viešoji įstaiga Raseinių technologijos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598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59.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Viešoji įstaiga Telšių regioninis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1 158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60.</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Viešoji įstaiga Vilniaus statybininkų rengimo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1 486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61.</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agroekologijos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880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62.</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automechanikos ir verslo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1 945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63.</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Juozo Tallat-Kelpšos konservatorija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544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64.</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komunalinių paslaugų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1 254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65.</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lietuvių namai</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1 790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66.</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paslaugų verslo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2 003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67.</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Vilniaus technologijų ir inžinerijos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2 353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68.</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Visagino technologijos ir verslo profesinio mokymo centras</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682"/>
              <w:rPr>
                <w:color w:val="000000"/>
                <w:szCs w:val="24"/>
                <w:lang w:eastAsia="lt-LT"/>
              </w:rPr>
            </w:pPr>
            <w:r>
              <w:rPr>
                <w:color w:val="000000"/>
                <w:szCs w:val="24"/>
                <w:lang w:eastAsia="lt-LT"/>
              </w:rPr>
              <w:t xml:space="preserve">1 304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69.</w:t>
            </w: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rPr>
                <w:color w:val="000000"/>
                <w:szCs w:val="24"/>
                <w:lang w:eastAsia="lt-LT"/>
              </w:rPr>
            </w:pPr>
            <w:r>
              <w:rPr>
                <w:color w:val="000000"/>
                <w:szCs w:val="24"/>
                <w:lang w:eastAsia="lt-LT"/>
              </w:rPr>
              <w:t>Zarasų profesinė mokykla</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868"/>
              <w:rPr>
                <w:color w:val="000000"/>
                <w:szCs w:val="24"/>
                <w:lang w:eastAsia="lt-LT"/>
              </w:rPr>
            </w:pPr>
            <w:r>
              <w:rPr>
                <w:color w:val="000000"/>
                <w:szCs w:val="24"/>
                <w:lang w:eastAsia="lt-LT"/>
              </w:rPr>
              <w:t xml:space="preserve">531 </w:t>
            </w:r>
          </w:p>
        </w:tc>
      </w:tr>
      <w:tr w:rsidR="00EF7FA3">
        <w:trPr>
          <w:trHeight w:val="312"/>
          <w:jc w:val="center"/>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EF7FA3" w:rsidRDefault="00EF7FA3">
            <w:pPr>
              <w:ind w:firstLine="62"/>
              <w:rPr>
                <w:color w:val="000000"/>
                <w:szCs w:val="24"/>
                <w:lang w:eastAsia="lt-LT"/>
              </w:rPr>
            </w:pPr>
          </w:p>
        </w:tc>
        <w:tc>
          <w:tcPr>
            <w:tcW w:w="6862" w:type="dxa"/>
            <w:tcBorders>
              <w:top w:val="nil"/>
              <w:left w:val="nil"/>
              <w:bottom w:val="single" w:sz="4" w:space="0" w:color="auto"/>
              <w:right w:val="single" w:sz="4" w:space="0" w:color="auto"/>
            </w:tcBorders>
            <w:shd w:val="clear" w:color="auto" w:fill="auto"/>
            <w:noWrap/>
            <w:vAlign w:val="bottom"/>
            <w:hideMark/>
          </w:tcPr>
          <w:p w:rsidR="00EF7FA3" w:rsidRDefault="00A05C18">
            <w:pPr>
              <w:jc w:val="right"/>
              <w:rPr>
                <w:color w:val="000000"/>
                <w:szCs w:val="24"/>
                <w:lang w:eastAsia="lt-LT"/>
              </w:rPr>
            </w:pPr>
            <w:r>
              <w:rPr>
                <w:color w:val="000000"/>
                <w:szCs w:val="24"/>
                <w:lang w:eastAsia="lt-LT"/>
              </w:rPr>
              <w:t>Iš viso</w:t>
            </w:r>
          </w:p>
        </w:tc>
        <w:tc>
          <w:tcPr>
            <w:tcW w:w="1468" w:type="dxa"/>
            <w:tcBorders>
              <w:top w:val="nil"/>
              <w:left w:val="nil"/>
              <w:bottom w:val="single" w:sz="4" w:space="0" w:color="auto"/>
              <w:right w:val="single" w:sz="4" w:space="0" w:color="auto"/>
            </w:tcBorders>
            <w:shd w:val="clear" w:color="auto" w:fill="auto"/>
            <w:noWrap/>
            <w:vAlign w:val="bottom"/>
            <w:hideMark/>
          </w:tcPr>
          <w:p w:rsidR="00EF7FA3" w:rsidRDefault="00A05C18">
            <w:pPr>
              <w:ind w:firstLine="558"/>
              <w:rPr>
                <w:color w:val="000000"/>
                <w:szCs w:val="24"/>
                <w:lang w:eastAsia="lt-LT"/>
              </w:rPr>
            </w:pPr>
            <w:r>
              <w:rPr>
                <w:color w:val="000000"/>
                <w:szCs w:val="24"/>
                <w:lang w:eastAsia="lt-LT"/>
              </w:rPr>
              <w:t xml:space="preserve">89 703 </w:t>
            </w:r>
          </w:p>
        </w:tc>
      </w:tr>
    </w:tbl>
    <w:p w:rsidR="00A05C18" w:rsidRDefault="00A05C18">
      <w:pPr>
        <w:jc w:val="center"/>
        <w:rPr>
          <w:szCs w:val="24"/>
        </w:rPr>
      </w:pPr>
    </w:p>
    <w:p w:rsidR="00EF7FA3" w:rsidRDefault="00A05C18" w:rsidP="00A05C18">
      <w:pPr>
        <w:jc w:val="center"/>
        <w:rPr>
          <w:szCs w:val="22"/>
        </w:rPr>
      </w:pPr>
      <w:r>
        <w:rPr>
          <w:szCs w:val="24"/>
        </w:rPr>
        <w:t>______________</w:t>
      </w:r>
    </w:p>
    <w:sectPr w:rsidR="00EF7FA3">
      <w:pgSz w:w="11906" w:h="16838"/>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A3" w:rsidRDefault="00A05C18">
      <w:pPr>
        <w:rPr>
          <w:sz w:val="22"/>
          <w:szCs w:val="22"/>
        </w:rPr>
      </w:pPr>
      <w:r>
        <w:rPr>
          <w:sz w:val="22"/>
          <w:szCs w:val="22"/>
        </w:rPr>
        <w:separator/>
      </w:r>
    </w:p>
  </w:endnote>
  <w:endnote w:type="continuationSeparator" w:id="0">
    <w:p w:rsidR="00EF7FA3" w:rsidRDefault="00A05C1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A3" w:rsidRDefault="00EF7FA3">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A3" w:rsidRDefault="00EF7FA3">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A3" w:rsidRDefault="00EF7FA3">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A3" w:rsidRDefault="00A05C18">
      <w:pPr>
        <w:rPr>
          <w:sz w:val="22"/>
          <w:szCs w:val="22"/>
        </w:rPr>
      </w:pPr>
      <w:r>
        <w:rPr>
          <w:sz w:val="22"/>
          <w:szCs w:val="22"/>
        </w:rPr>
        <w:separator/>
      </w:r>
    </w:p>
  </w:footnote>
  <w:footnote w:type="continuationSeparator" w:id="0">
    <w:p w:rsidR="00EF7FA3" w:rsidRDefault="00A05C18">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A3" w:rsidRDefault="00EF7FA3">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A3" w:rsidRDefault="00A05C18">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B3320">
      <w:rPr>
        <w:noProof/>
        <w:sz w:val="22"/>
        <w:szCs w:val="22"/>
      </w:rPr>
      <w:t>2</w:t>
    </w:r>
    <w:r>
      <w:rPr>
        <w:sz w:val="22"/>
        <w:szCs w:val="22"/>
      </w:rPr>
      <w:fldChar w:fldCharType="end"/>
    </w:r>
  </w:p>
  <w:p w:rsidR="00EF7FA3" w:rsidRDefault="00EF7FA3">
    <w:pPr>
      <w:tabs>
        <w:tab w:val="center" w:pos="4819"/>
        <w:tab w:val="right" w:pos="9638"/>
      </w:tabs>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A3" w:rsidRDefault="00EF7FA3">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4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45"/>
    <w:rsid w:val="00853F45"/>
    <w:rsid w:val="00A05C18"/>
    <w:rsid w:val="00EF7FA3"/>
    <w:rsid w:val="00FB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75D51"/>
  <w15:docId w15:val="{1FF79980-829A-40FE-90AE-EED11632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05C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7327">
      <w:bodyDiv w:val="1"/>
      <w:marLeft w:val="0"/>
      <w:marRight w:val="0"/>
      <w:marTop w:val="0"/>
      <w:marBottom w:val="0"/>
      <w:divBdr>
        <w:top w:val="none" w:sz="0" w:space="0" w:color="auto"/>
        <w:left w:val="none" w:sz="0" w:space="0" w:color="auto"/>
        <w:bottom w:val="none" w:sz="0" w:space="0" w:color="auto"/>
        <w:right w:val="none" w:sz="0" w:space="0" w:color="auto"/>
      </w:divBdr>
    </w:div>
    <w:div w:id="342434541">
      <w:bodyDiv w:val="1"/>
      <w:marLeft w:val="0"/>
      <w:marRight w:val="0"/>
      <w:marTop w:val="0"/>
      <w:marBottom w:val="0"/>
      <w:divBdr>
        <w:top w:val="none" w:sz="0" w:space="0" w:color="auto"/>
        <w:left w:val="none" w:sz="0" w:space="0" w:color="auto"/>
        <w:bottom w:val="none" w:sz="0" w:space="0" w:color="auto"/>
        <w:right w:val="none" w:sz="0" w:space="0" w:color="auto"/>
      </w:divBdr>
    </w:div>
    <w:div w:id="346323632">
      <w:bodyDiv w:val="1"/>
      <w:marLeft w:val="0"/>
      <w:marRight w:val="0"/>
      <w:marTop w:val="0"/>
      <w:marBottom w:val="0"/>
      <w:divBdr>
        <w:top w:val="none" w:sz="0" w:space="0" w:color="auto"/>
        <w:left w:val="none" w:sz="0" w:space="0" w:color="auto"/>
        <w:bottom w:val="none" w:sz="0" w:space="0" w:color="auto"/>
        <w:right w:val="none" w:sz="0" w:space="0" w:color="auto"/>
      </w:divBdr>
    </w:div>
    <w:div w:id="452985266">
      <w:bodyDiv w:val="1"/>
      <w:marLeft w:val="0"/>
      <w:marRight w:val="0"/>
      <w:marTop w:val="0"/>
      <w:marBottom w:val="0"/>
      <w:divBdr>
        <w:top w:val="none" w:sz="0" w:space="0" w:color="auto"/>
        <w:left w:val="none" w:sz="0" w:space="0" w:color="auto"/>
        <w:bottom w:val="none" w:sz="0" w:space="0" w:color="auto"/>
        <w:right w:val="none" w:sz="0" w:space="0" w:color="auto"/>
      </w:divBdr>
    </w:div>
    <w:div w:id="469252673">
      <w:bodyDiv w:val="1"/>
      <w:marLeft w:val="0"/>
      <w:marRight w:val="0"/>
      <w:marTop w:val="0"/>
      <w:marBottom w:val="0"/>
      <w:divBdr>
        <w:top w:val="none" w:sz="0" w:space="0" w:color="auto"/>
        <w:left w:val="none" w:sz="0" w:space="0" w:color="auto"/>
        <w:bottom w:val="none" w:sz="0" w:space="0" w:color="auto"/>
        <w:right w:val="none" w:sz="0" w:space="0" w:color="auto"/>
      </w:divBdr>
    </w:div>
    <w:div w:id="595209027">
      <w:bodyDiv w:val="1"/>
      <w:marLeft w:val="0"/>
      <w:marRight w:val="0"/>
      <w:marTop w:val="0"/>
      <w:marBottom w:val="0"/>
      <w:divBdr>
        <w:top w:val="none" w:sz="0" w:space="0" w:color="auto"/>
        <w:left w:val="none" w:sz="0" w:space="0" w:color="auto"/>
        <w:bottom w:val="none" w:sz="0" w:space="0" w:color="auto"/>
        <w:right w:val="none" w:sz="0" w:space="0" w:color="auto"/>
      </w:divBdr>
    </w:div>
    <w:div w:id="631864650">
      <w:bodyDiv w:val="1"/>
      <w:marLeft w:val="0"/>
      <w:marRight w:val="0"/>
      <w:marTop w:val="0"/>
      <w:marBottom w:val="0"/>
      <w:divBdr>
        <w:top w:val="none" w:sz="0" w:space="0" w:color="auto"/>
        <w:left w:val="none" w:sz="0" w:space="0" w:color="auto"/>
        <w:bottom w:val="none" w:sz="0" w:space="0" w:color="auto"/>
        <w:right w:val="none" w:sz="0" w:space="0" w:color="auto"/>
      </w:divBdr>
    </w:div>
    <w:div w:id="669019065">
      <w:bodyDiv w:val="1"/>
      <w:marLeft w:val="0"/>
      <w:marRight w:val="0"/>
      <w:marTop w:val="0"/>
      <w:marBottom w:val="0"/>
      <w:divBdr>
        <w:top w:val="none" w:sz="0" w:space="0" w:color="auto"/>
        <w:left w:val="none" w:sz="0" w:space="0" w:color="auto"/>
        <w:bottom w:val="none" w:sz="0" w:space="0" w:color="auto"/>
        <w:right w:val="none" w:sz="0" w:space="0" w:color="auto"/>
      </w:divBdr>
    </w:div>
    <w:div w:id="692418280">
      <w:bodyDiv w:val="1"/>
      <w:marLeft w:val="0"/>
      <w:marRight w:val="0"/>
      <w:marTop w:val="0"/>
      <w:marBottom w:val="0"/>
      <w:divBdr>
        <w:top w:val="none" w:sz="0" w:space="0" w:color="auto"/>
        <w:left w:val="none" w:sz="0" w:space="0" w:color="auto"/>
        <w:bottom w:val="none" w:sz="0" w:space="0" w:color="auto"/>
        <w:right w:val="none" w:sz="0" w:space="0" w:color="auto"/>
      </w:divBdr>
    </w:div>
    <w:div w:id="705714508">
      <w:bodyDiv w:val="1"/>
      <w:marLeft w:val="0"/>
      <w:marRight w:val="0"/>
      <w:marTop w:val="0"/>
      <w:marBottom w:val="0"/>
      <w:divBdr>
        <w:top w:val="none" w:sz="0" w:space="0" w:color="auto"/>
        <w:left w:val="none" w:sz="0" w:space="0" w:color="auto"/>
        <w:bottom w:val="none" w:sz="0" w:space="0" w:color="auto"/>
        <w:right w:val="none" w:sz="0" w:space="0" w:color="auto"/>
      </w:divBdr>
    </w:div>
    <w:div w:id="754323955">
      <w:bodyDiv w:val="1"/>
      <w:marLeft w:val="0"/>
      <w:marRight w:val="0"/>
      <w:marTop w:val="0"/>
      <w:marBottom w:val="0"/>
      <w:divBdr>
        <w:top w:val="none" w:sz="0" w:space="0" w:color="auto"/>
        <w:left w:val="none" w:sz="0" w:space="0" w:color="auto"/>
        <w:bottom w:val="none" w:sz="0" w:space="0" w:color="auto"/>
        <w:right w:val="none" w:sz="0" w:space="0" w:color="auto"/>
      </w:divBdr>
    </w:div>
    <w:div w:id="1020207021">
      <w:bodyDiv w:val="1"/>
      <w:marLeft w:val="0"/>
      <w:marRight w:val="0"/>
      <w:marTop w:val="0"/>
      <w:marBottom w:val="0"/>
      <w:divBdr>
        <w:top w:val="none" w:sz="0" w:space="0" w:color="auto"/>
        <w:left w:val="none" w:sz="0" w:space="0" w:color="auto"/>
        <w:bottom w:val="none" w:sz="0" w:space="0" w:color="auto"/>
        <w:right w:val="none" w:sz="0" w:space="0" w:color="auto"/>
      </w:divBdr>
    </w:div>
    <w:div w:id="1059590560">
      <w:bodyDiv w:val="1"/>
      <w:marLeft w:val="0"/>
      <w:marRight w:val="0"/>
      <w:marTop w:val="0"/>
      <w:marBottom w:val="0"/>
      <w:divBdr>
        <w:top w:val="none" w:sz="0" w:space="0" w:color="auto"/>
        <w:left w:val="none" w:sz="0" w:space="0" w:color="auto"/>
        <w:bottom w:val="none" w:sz="0" w:space="0" w:color="auto"/>
        <w:right w:val="none" w:sz="0" w:space="0" w:color="auto"/>
      </w:divBdr>
    </w:div>
    <w:div w:id="1132141049">
      <w:bodyDiv w:val="1"/>
      <w:marLeft w:val="0"/>
      <w:marRight w:val="0"/>
      <w:marTop w:val="0"/>
      <w:marBottom w:val="0"/>
      <w:divBdr>
        <w:top w:val="none" w:sz="0" w:space="0" w:color="auto"/>
        <w:left w:val="none" w:sz="0" w:space="0" w:color="auto"/>
        <w:bottom w:val="none" w:sz="0" w:space="0" w:color="auto"/>
        <w:right w:val="none" w:sz="0" w:space="0" w:color="auto"/>
      </w:divBdr>
    </w:div>
    <w:div w:id="1217934926">
      <w:bodyDiv w:val="1"/>
      <w:marLeft w:val="0"/>
      <w:marRight w:val="0"/>
      <w:marTop w:val="0"/>
      <w:marBottom w:val="0"/>
      <w:divBdr>
        <w:top w:val="none" w:sz="0" w:space="0" w:color="auto"/>
        <w:left w:val="none" w:sz="0" w:space="0" w:color="auto"/>
        <w:bottom w:val="none" w:sz="0" w:space="0" w:color="auto"/>
        <w:right w:val="none" w:sz="0" w:space="0" w:color="auto"/>
      </w:divBdr>
    </w:div>
    <w:div w:id="1378622440">
      <w:bodyDiv w:val="1"/>
      <w:marLeft w:val="0"/>
      <w:marRight w:val="0"/>
      <w:marTop w:val="0"/>
      <w:marBottom w:val="0"/>
      <w:divBdr>
        <w:top w:val="none" w:sz="0" w:space="0" w:color="auto"/>
        <w:left w:val="none" w:sz="0" w:space="0" w:color="auto"/>
        <w:bottom w:val="none" w:sz="0" w:space="0" w:color="auto"/>
        <w:right w:val="none" w:sz="0" w:space="0" w:color="auto"/>
      </w:divBdr>
    </w:div>
    <w:div w:id="1398085862">
      <w:bodyDiv w:val="1"/>
      <w:marLeft w:val="0"/>
      <w:marRight w:val="0"/>
      <w:marTop w:val="0"/>
      <w:marBottom w:val="0"/>
      <w:divBdr>
        <w:top w:val="none" w:sz="0" w:space="0" w:color="auto"/>
        <w:left w:val="none" w:sz="0" w:space="0" w:color="auto"/>
        <w:bottom w:val="none" w:sz="0" w:space="0" w:color="auto"/>
        <w:right w:val="none" w:sz="0" w:space="0" w:color="auto"/>
      </w:divBdr>
    </w:div>
    <w:div w:id="1417902207">
      <w:bodyDiv w:val="1"/>
      <w:marLeft w:val="0"/>
      <w:marRight w:val="0"/>
      <w:marTop w:val="0"/>
      <w:marBottom w:val="0"/>
      <w:divBdr>
        <w:top w:val="none" w:sz="0" w:space="0" w:color="auto"/>
        <w:left w:val="none" w:sz="0" w:space="0" w:color="auto"/>
        <w:bottom w:val="none" w:sz="0" w:space="0" w:color="auto"/>
        <w:right w:val="none" w:sz="0" w:space="0" w:color="auto"/>
      </w:divBdr>
    </w:div>
    <w:div w:id="1422146656">
      <w:bodyDiv w:val="1"/>
      <w:marLeft w:val="0"/>
      <w:marRight w:val="0"/>
      <w:marTop w:val="0"/>
      <w:marBottom w:val="0"/>
      <w:divBdr>
        <w:top w:val="none" w:sz="0" w:space="0" w:color="auto"/>
        <w:left w:val="none" w:sz="0" w:space="0" w:color="auto"/>
        <w:bottom w:val="none" w:sz="0" w:space="0" w:color="auto"/>
        <w:right w:val="none" w:sz="0" w:space="0" w:color="auto"/>
      </w:divBdr>
    </w:div>
    <w:div w:id="1460952799">
      <w:bodyDiv w:val="1"/>
      <w:marLeft w:val="0"/>
      <w:marRight w:val="0"/>
      <w:marTop w:val="0"/>
      <w:marBottom w:val="0"/>
      <w:divBdr>
        <w:top w:val="none" w:sz="0" w:space="0" w:color="auto"/>
        <w:left w:val="none" w:sz="0" w:space="0" w:color="auto"/>
        <w:bottom w:val="none" w:sz="0" w:space="0" w:color="auto"/>
        <w:right w:val="none" w:sz="0" w:space="0" w:color="auto"/>
      </w:divBdr>
    </w:div>
    <w:div w:id="1716545393">
      <w:bodyDiv w:val="1"/>
      <w:marLeft w:val="0"/>
      <w:marRight w:val="0"/>
      <w:marTop w:val="0"/>
      <w:marBottom w:val="0"/>
      <w:divBdr>
        <w:top w:val="none" w:sz="0" w:space="0" w:color="auto"/>
        <w:left w:val="none" w:sz="0" w:space="0" w:color="auto"/>
        <w:bottom w:val="none" w:sz="0" w:space="0" w:color="auto"/>
        <w:right w:val="none" w:sz="0" w:space="0" w:color="auto"/>
      </w:divBdr>
    </w:div>
    <w:div w:id="1725568028">
      <w:bodyDiv w:val="1"/>
      <w:marLeft w:val="0"/>
      <w:marRight w:val="0"/>
      <w:marTop w:val="0"/>
      <w:marBottom w:val="0"/>
      <w:divBdr>
        <w:top w:val="none" w:sz="0" w:space="0" w:color="auto"/>
        <w:left w:val="none" w:sz="0" w:space="0" w:color="auto"/>
        <w:bottom w:val="none" w:sz="0" w:space="0" w:color="auto"/>
        <w:right w:val="none" w:sz="0" w:space="0" w:color="auto"/>
      </w:divBdr>
    </w:div>
    <w:div w:id="1867714638">
      <w:bodyDiv w:val="1"/>
      <w:marLeft w:val="0"/>
      <w:marRight w:val="0"/>
      <w:marTop w:val="0"/>
      <w:marBottom w:val="0"/>
      <w:divBdr>
        <w:top w:val="none" w:sz="0" w:space="0" w:color="auto"/>
        <w:left w:val="none" w:sz="0" w:space="0" w:color="auto"/>
        <w:bottom w:val="none" w:sz="0" w:space="0" w:color="auto"/>
        <w:right w:val="none" w:sz="0" w:space="0" w:color="auto"/>
      </w:divBdr>
    </w:div>
    <w:div w:id="1937057526">
      <w:bodyDiv w:val="1"/>
      <w:marLeft w:val="0"/>
      <w:marRight w:val="0"/>
      <w:marTop w:val="0"/>
      <w:marBottom w:val="0"/>
      <w:divBdr>
        <w:top w:val="none" w:sz="0" w:space="0" w:color="auto"/>
        <w:left w:val="none" w:sz="0" w:space="0" w:color="auto"/>
        <w:bottom w:val="none" w:sz="0" w:space="0" w:color="auto"/>
        <w:right w:val="none" w:sz="0" w:space="0" w:color="auto"/>
      </w:divBdr>
    </w:div>
    <w:div w:id="2021733467">
      <w:bodyDiv w:val="1"/>
      <w:marLeft w:val="0"/>
      <w:marRight w:val="0"/>
      <w:marTop w:val="0"/>
      <w:marBottom w:val="0"/>
      <w:divBdr>
        <w:top w:val="none" w:sz="0" w:space="0" w:color="auto"/>
        <w:left w:val="none" w:sz="0" w:space="0" w:color="auto"/>
        <w:bottom w:val="none" w:sz="0" w:space="0" w:color="auto"/>
        <w:right w:val="none" w:sz="0" w:space="0" w:color="auto"/>
      </w:divBdr>
    </w:div>
    <w:div w:id="20835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E2F0-B014-4667-96EC-C2E1FE71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7185</Words>
  <Characters>4097</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Leiputė</dc:creator>
  <cp:lastModifiedBy>Diana Brazdžiunienė</cp:lastModifiedBy>
  <cp:revision>2</cp:revision>
  <cp:lastPrinted>2020-06-05T11:14:00Z</cp:lastPrinted>
  <dcterms:created xsi:type="dcterms:W3CDTF">2024-05-14T12:11:00Z</dcterms:created>
  <dcterms:modified xsi:type="dcterms:W3CDTF">2024-05-14T12:11:00Z</dcterms:modified>
</cp:coreProperties>
</file>