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A686AB" w14:textId="474CE783" w:rsidR="00BD3A9D" w:rsidRPr="00F20E1E" w:rsidRDefault="00A24431">
      <w:pPr>
        <w:jc w:val="center"/>
        <w:rPr>
          <w:szCs w:val="24"/>
          <w:lang w:val="lt-LT"/>
        </w:rPr>
      </w:pPr>
      <w:bookmarkStart w:id="0" w:name="_GoBack"/>
      <w:bookmarkEnd w:id="0"/>
      <w:r w:rsidRPr="00F20E1E">
        <w:rPr>
          <w:noProof/>
          <w:szCs w:val="24"/>
          <w:lang w:val="lt-LT" w:eastAsia="lt-LT"/>
        </w:rPr>
        <mc:AlternateContent>
          <mc:Choice Requires="wps">
            <w:drawing>
              <wp:anchor distT="0" distB="0" distL="114935" distR="114935" simplePos="0" relativeHeight="251657728" behindDoc="0" locked="0" layoutInCell="1" allowOverlap="1" wp14:anchorId="22B1DE5E" wp14:editId="46F1DA34">
                <wp:simplePos x="0" y="0"/>
                <wp:positionH relativeFrom="page">
                  <wp:posOffset>4114800</wp:posOffset>
                </wp:positionH>
                <wp:positionV relativeFrom="page">
                  <wp:posOffset>277495</wp:posOffset>
                </wp:positionV>
                <wp:extent cx="3199130" cy="2146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14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2526"/>
                              <w:gridCol w:w="2526"/>
                            </w:tblGrid>
                            <w:tr w:rsidR="00BD3A9D" w14:paraId="509DD5CD" w14:textId="77777777">
                              <w:trPr>
                                <w:trHeight w:hRule="exact" w:val="624"/>
                              </w:trPr>
                              <w:tc>
                                <w:tcPr>
                                  <w:tcW w:w="2526" w:type="dxa"/>
                                  <w:shd w:val="clear" w:color="auto" w:fill="auto"/>
                                </w:tcPr>
                                <w:p w14:paraId="5D0B3974"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c>
                                <w:tcPr>
                                  <w:tcW w:w="2526" w:type="dxa"/>
                                  <w:shd w:val="clear" w:color="auto" w:fill="auto"/>
                                </w:tcPr>
                                <w:p w14:paraId="12A7F63A"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r>
                          </w:tbl>
                          <w:p w14:paraId="5220054B" w14:textId="77777777" w:rsidR="00BD3A9D" w:rsidRDefault="00BD3A9D">
                            <w:r>
                              <w:t xml:space="preserve">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1DE5E" id="_x0000_t202" coordsize="21600,21600" o:spt="202" path="m,l,21600r21600,l21600,xe">
                <v:stroke joinstyle="miter"/>
                <v:path gradientshapeok="t" o:connecttype="rect"/>
              </v:shapetype>
              <v:shape id="Text Box 2" o:spid="_x0000_s1026" type="#_x0000_t202" style="position:absolute;left:0;text-align:left;margin-left:324pt;margin-top:21.85pt;width:251.9pt;height:16.9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" stroked="f">
                <v:fill opacity="0"/>
                <v:textbox inset=".55pt,.55pt,.55pt,.55pt">
                  <w:txbxContent>
                    <w:tbl>
                      <w:tblPr>
                        <w:tblW w:w="0" w:type="auto"/>
                        <w:tblInd w:w="28" w:type="dxa"/>
                        <w:tblLayout w:type="fixed"/>
                        <w:tblCellMar>
                          <w:left w:w="28" w:type="dxa"/>
                          <w:right w:w="28" w:type="dxa"/>
                        </w:tblCellMar>
                        <w:tblLook w:val="0000" w:firstRow="0" w:lastRow="0" w:firstColumn="0" w:lastColumn="0" w:noHBand="0" w:noVBand="0"/>
                      </w:tblPr>
                      <w:tblGrid>
                        <w:gridCol w:w="2526"/>
                        <w:gridCol w:w="2526"/>
                      </w:tblGrid>
                      <w:tr w:rsidR="00BD3A9D" w14:paraId="509DD5CD" w14:textId="77777777">
                        <w:trPr>
                          <w:trHeight w:hRule="exact" w:val="624"/>
                        </w:trPr>
                        <w:tc>
                          <w:tcPr>
                            <w:tcW w:w="2526" w:type="dxa"/>
                            <w:shd w:val="clear" w:color="auto" w:fill="auto"/>
                          </w:tcPr>
                          <w:p w14:paraId="5D0B3974"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c>
                          <w:tcPr>
                            <w:tcW w:w="2526" w:type="dxa"/>
                            <w:shd w:val="clear" w:color="auto" w:fill="auto"/>
                          </w:tcPr>
                          <w:p w14:paraId="12A7F63A"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r>
                    </w:tbl>
                    <w:p w14:paraId="5220054B" w14:textId="77777777" w:rsidR="00BD3A9D" w:rsidRDefault="00BD3A9D">
                      <w:r>
                        <w:t xml:space="preserve"> </w:t>
                      </w:r>
                    </w:p>
                  </w:txbxContent>
                </v:textbox>
                <w10:wrap type="square" anchorx="page" anchory="page"/>
              </v:shape>
            </w:pict>
          </mc:Fallback>
        </mc:AlternateContent>
      </w:r>
      <w:r w:rsidRPr="00F20E1E">
        <w:rPr>
          <w:noProof/>
          <w:szCs w:val="24"/>
          <w:lang w:val="lt-LT" w:eastAsia="lt-LT"/>
        </w:rPr>
        <w:drawing>
          <wp:inline distT="0" distB="0" distL="0" distR="0" wp14:anchorId="1CAC8C19" wp14:editId="7F2E9BD8">
            <wp:extent cx="468630" cy="5219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31" t="-117" r="-131" b="-117"/>
                    <a:stretch>
                      <a:fillRect/>
                    </a:stretch>
                  </pic:blipFill>
                  <pic:spPr bwMode="auto">
                    <a:xfrm>
                      <a:off x="0" y="0"/>
                      <a:ext cx="468630" cy="521970"/>
                    </a:xfrm>
                    <a:prstGeom prst="rect">
                      <a:avLst/>
                    </a:prstGeom>
                    <a:solidFill>
                      <a:srgbClr val="FFFFFF"/>
                    </a:solidFill>
                    <a:ln>
                      <a:noFill/>
                    </a:ln>
                  </pic:spPr>
                </pic:pic>
              </a:graphicData>
            </a:graphic>
          </wp:inline>
        </w:drawing>
      </w:r>
    </w:p>
    <w:p w14:paraId="37893526" w14:textId="77777777" w:rsidR="00BD3A9D" w:rsidRPr="00F20E1E" w:rsidRDefault="00BD3A9D">
      <w:pPr>
        <w:jc w:val="center"/>
        <w:rPr>
          <w:szCs w:val="24"/>
          <w:lang w:val="lt-LT"/>
        </w:rPr>
      </w:pPr>
    </w:p>
    <w:p w14:paraId="25C8C348" w14:textId="77777777" w:rsidR="00BD3A9D" w:rsidRPr="00F20E1E" w:rsidRDefault="00BD3A9D">
      <w:pPr>
        <w:pStyle w:val="Antrat1"/>
        <w:rPr>
          <w:sz w:val="24"/>
          <w:szCs w:val="24"/>
          <w:lang w:val="lt-LT"/>
        </w:rPr>
      </w:pPr>
      <w:r w:rsidRPr="00F20E1E">
        <w:rPr>
          <w:sz w:val="24"/>
          <w:szCs w:val="24"/>
          <w:lang w:val="lt-LT"/>
        </w:rPr>
        <w:t>KULTŪROS PAVELDO DEPARTAMENTAS</w:t>
      </w:r>
    </w:p>
    <w:p w14:paraId="21F857C8" w14:textId="77777777" w:rsidR="00BD3A9D" w:rsidRPr="00F20E1E" w:rsidRDefault="00BD3A9D">
      <w:pPr>
        <w:pStyle w:val="Antrat"/>
        <w:rPr>
          <w:sz w:val="24"/>
          <w:szCs w:val="24"/>
          <w:lang w:val="lt-LT"/>
        </w:rPr>
      </w:pPr>
      <w:r w:rsidRPr="00F20E1E">
        <w:rPr>
          <w:sz w:val="24"/>
          <w:szCs w:val="24"/>
          <w:lang w:val="lt-LT"/>
        </w:rPr>
        <w:t>PRIE KULTŪROS MINISTERIJOS</w:t>
      </w:r>
    </w:p>
    <w:p w14:paraId="4F4C5717" w14:textId="77777777" w:rsidR="00BD3A9D" w:rsidRPr="00F20E1E" w:rsidRDefault="00BD3A9D">
      <w:pPr>
        <w:rPr>
          <w:szCs w:val="24"/>
          <w:lang w:val="lt-LT"/>
        </w:rPr>
      </w:pPr>
    </w:p>
    <w:p w14:paraId="3EB5F97A" w14:textId="77777777" w:rsidR="00BD3A9D" w:rsidRPr="00F20E1E" w:rsidRDefault="00BD3A9D">
      <w:pPr>
        <w:jc w:val="center"/>
        <w:rPr>
          <w:b/>
          <w:bCs/>
          <w:szCs w:val="24"/>
          <w:lang w:val="lt-LT"/>
        </w:rPr>
      </w:pPr>
    </w:p>
    <w:tbl>
      <w:tblPr>
        <w:tblW w:w="12900" w:type="dxa"/>
        <w:tblLayout w:type="fixed"/>
        <w:tblCellMar>
          <w:left w:w="0" w:type="dxa"/>
          <w:right w:w="0" w:type="dxa"/>
        </w:tblCellMar>
        <w:tblLook w:val="0000" w:firstRow="0" w:lastRow="0" w:firstColumn="0" w:lastColumn="0" w:noHBand="0" w:noVBand="0"/>
      </w:tblPr>
      <w:tblGrid>
        <w:gridCol w:w="6480"/>
        <w:gridCol w:w="165"/>
        <w:gridCol w:w="1902"/>
        <w:gridCol w:w="2013"/>
        <w:gridCol w:w="180"/>
        <w:gridCol w:w="1980"/>
        <w:gridCol w:w="180"/>
      </w:tblGrid>
      <w:tr w:rsidR="00BD3A9D" w:rsidRPr="00F20E1E" w14:paraId="5C3061D1" w14:textId="77777777" w:rsidTr="009618F5">
        <w:trPr>
          <w:gridAfter w:val="1"/>
          <w:wAfter w:w="180" w:type="dxa"/>
        </w:trPr>
        <w:tc>
          <w:tcPr>
            <w:tcW w:w="6480" w:type="dxa"/>
            <w:vMerge w:val="restart"/>
            <w:shd w:val="clear" w:color="auto" w:fill="auto"/>
          </w:tcPr>
          <w:p w14:paraId="2D8AB31A" w14:textId="34718C8F" w:rsidR="005643D1" w:rsidRPr="00F20E1E" w:rsidRDefault="00963104" w:rsidP="005643D1">
            <w:pPr>
              <w:tabs>
                <w:tab w:val="left" w:pos="1247"/>
              </w:tabs>
              <w:rPr>
                <w:lang w:val="lt-LT"/>
              </w:rPr>
            </w:pPr>
            <w:r w:rsidRPr="00F20E1E">
              <w:rPr>
                <w:lang w:val="lt-LT"/>
              </w:rPr>
              <w:t>Lietuvos Respublikos savivaldybių administracijoms</w:t>
            </w:r>
          </w:p>
          <w:p w14:paraId="032A146F" w14:textId="005E8892" w:rsidR="00963104" w:rsidRPr="00F20E1E" w:rsidRDefault="00963104" w:rsidP="005643D1">
            <w:pPr>
              <w:tabs>
                <w:tab w:val="left" w:pos="1247"/>
              </w:tabs>
              <w:rPr>
                <w:lang w:val="lt-LT"/>
              </w:rPr>
            </w:pPr>
          </w:p>
          <w:p w14:paraId="45A9FCE4" w14:textId="3606E40C" w:rsidR="00963104" w:rsidRPr="00F20E1E" w:rsidRDefault="00963104" w:rsidP="005643D1">
            <w:pPr>
              <w:tabs>
                <w:tab w:val="left" w:pos="1247"/>
              </w:tabs>
              <w:rPr>
                <w:lang w:val="lt-LT"/>
              </w:rPr>
            </w:pPr>
            <w:r w:rsidRPr="00F20E1E">
              <w:rPr>
                <w:lang w:val="lt-LT"/>
              </w:rPr>
              <w:t>Lietuvos savivaldybių asociacijai</w:t>
            </w:r>
          </w:p>
          <w:p w14:paraId="3D05CB15" w14:textId="77777777" w:rsidR="005643D1" w:rsidRPr="00F20E1E" w:rsidRDefault="005643D1" w:rsidP="005643D1">
            <w:pPr>
              <w:tabs>
                <w:tab w:val="left" w:pos="1247"/>
              </w:tabs>
              <w:rPr>
                <w:lang w:val="lt-LT"/>
              </w:rPr>
            </w:pPr>
          </w:p>
          <w:p w14:paraId="224CA7EB" w14:textId="77777777" w:rsidR="005643D1" w:rsidRPr="00F20E1E" w:rsidRDefault="005643D1" w:rsidP="005643D1">
            <w:pPr>
              <w:tabs>
                <w:tab w:val="left" w:pos="1247"/>
              </w:tabs>
              <w:rPr>
                <w:lang w:val="lt-LT"/>
              </w:rPr>
            </w:pPr>
            <w:r w:rsidRPr="00F20E1E">
              <w:rPr>
                <w:lang w:val="lt-LT"/>
              </w:rPr>
              <w:t xml:space="preserve">Kopija </w:t>
            </w:r>
          </w:p>
          <w:p w14:paraId="5727ED57" w14:textId="3C1B43C7" w:rsidR="006B12F5" w:rsidRPr="00F20E1E" w:rsidRDefault="006B12F5" w:rsidP="005643D1">
            <w:pPr>
              <w:tabs>
                <w:tab w:val="left" w:pos="1247"/>
              </w:tabs>
              <w:rPr>
                <w:lang w:val="lt-LT"/>
              </w:rPr>
            </w:pPr>
            <w:r w:rsidRPr="00F20E1E">
              <w:rPr>
                <w:lang w:val="lt-LT"/>
              </w:rPr>
              <w:t>Lietuvos Respublikos kultūros ministerijai</w:t>
            </w:r>
          </w:p>
          <w:p w14:paraId="7D040CB8" w14:textId="1F68F079" w:rsidR="006B12F5" w:rsidRPr="00F20E1E" w:rsidRDefault="006B12F5" w:rsidP="005643D1">
            <w:pPr>
              <w:tabs>
                <w:tab w:val="left" w:pos="1247"/>
              </w:tabs>
              <w:rPr>
                <w:lang w:val="lt-LT"/>
              </w:rPr>
            </w:pPr>
          </w:p>
          <w:p w14:paraId="17DE0EBA" w14:textId="2CF162CB" w:rsidR="006B12F5" w:rsidRPr="00F20E1E" w:rsidRDefault="006B12F5" w:rsidP="005643D1">
            <w:pPr>
              <w:tabs>
                <w:tab w:val="left" w:pos="1247"/>
              </w:tabs>
              <w:rPr>
                <w:szCs w:val="24"/>
                <w:lang w:val="lt-LT"/>
              </w:rPr>
            </w:pPr>
            <w:r w:rsidRPr="00F20E1E">
              <w:rPr>
                <w:szCs w:val="24"/>
                <w:lang w:val="lt-LT"/>
              </w:rPr>
              <w:t>Lietuvos muziejų asociacijai</w:t>
            </w:r>
          </w:p>
          <w:p w14:paraId="4367D9D1" w14:textId="021BF920" w:rsidR="006B12F5" w:rsidRPr="00F20E1E" w:rsidRDefault="006B12F5" w:rsidP="005643D1">
            <w:pPr>
              <w:tabs>
                <w:tab w:val="left" w:pos="1247"/>
              </w:tabs>
              <w:rPr>
                <w:szCs w:val="24"/>
                <w:lang w:val="lt-LT"/>
              </w:rPr>
            </w:pPr>
          </w:p>
          <w:p w14:paraId="46671FA1" w14:textId="77777777" w:rsidR="006B12F5" w:rsidRPr="00F20E1E" w:rsidRDefault="006B12F5" w:rsidP="005643D1">
            <w:pPr>
              <w:tabs>
                <w:tab w:val="left" w:pos="1247"/>
              </w:tabs>
              <w:rPr>
                <w:lang w:val="lt-LT"/>
              </w:rPr>
            </w:pPr>
            <w:r w:rsidRPr="00F20E1E">
              <w:rPr>
                <w:lang w:val="lt-LT"/>
              </w:rPr>
              <w:t xml:space="preserve">Lietuvos gyventojų genocido ir rezistencijos </w:t>
            </w:r>
          </w:p>
          <w:p w14:paraId="0630FE12" w14:textId="797CDE3F" w:rsidR="006B12F5" w:rsidRPr="00F20E1E" w:rsidRDefault="006B12F5" w:rsidP="005643D1">
            <w:pPr>
              <w:tabs>
                <w:tab w:val="left" w:pos="1247"/>
              </w:tabs>
              <w:rPr>
                <w:lang w:val="lt-LT"/>
              </w:rPr>
            </w:pPr>
            <w:r w:rsidRPr="00F20E1E">
              <w:rPr>
                <w:lang w:val="lt-LT"/>
              </w:rPr>
              <w:t>tyrimo centrui</w:t>
            </w:r>
          </w:p>
          <w:p w14:paraId="60FAC3F6" w14:textId="77777777" w:rsidR="004B4DDF" w:rsidRPr="00F20E1E" w:rsidRDefault="004B4DDF" w:rsidP="00EE3678">
            <w:pPr>
              <w:tabs>
                <w:tab w:val="left" w:pos="1247"/>
              </w:tabs>
              <w:rPr>
                <w:szCs w:val="24"/>
                <w:lang w:val="lt-LT"/>
              </w:rPr>
            </w:pPr>
          </w:p>
          <w:p w14:paraId="0F3C9780" w14:textId="77777777" w:rsidR="006B12F5" w:rsidRPr="00F20E1E" w:rsidRDefault="006B12F5" w:rsidP="006B12F5">
            <w:pPr>
              <w:tabs>
                <w:tab w:val="left" w:pos="1247"/>
              </w:tabs>
              <w:rPr>
                <w:lang w:val="lt-LT"/>
              </w:rPr>
            </w:pPr>
            <w:r w:rsidRPr="00F20E1E">
              <w:rPr>
                <w:lang w:val="lt-LT"/>
              </w:rPr>
              <w:t>Kultūros paveldo departamento</w:t>
            </w:r>
          </w:p>
          <w:p w14:paraId="228CC8E4" w14:textId="77777777" w:rsidR="006B12F5" w:rsidRPr="00F20E1E" w:rsidRDefault="006B12F5" w:rsidP="006B12F5">
            <w:pPr>
              <w:tabs>
                <w:tab w:val="left" w:pos="1247"/>
              </w:tabs>
              <w:rPr>
                <w:lang w:val="lt-LT"/>
              </w:rPr>
            </w:pPr>
            <w:r w:rsidRPr="00F20E1E">
              <w:rPr>
                <w:lang w:val="lt-LT"/>
              </w:rPr>
              <w:t>prie Kultūros ministerijos</w:t>
            </w:r>
          </w:p>
          <w:p w14:paraId="0E039FEF" w14:textId="77777777" w:rsidR="006B12F5" w:rsidRPr="00F20E1E" w:rsidRDefault="006B12F5" w:rsidP="006B12F5">
            <w:pPr>
              <w:tabs>
                <w:tab w:val="left" w:pos="1247"/>
              </w:tabs>
              <w:rPr>
                <w:lang w:val="lt-LT"/>
              </w:rPr>
            </w:pPr>
            <w:r w:rsidRPr="00F20E1E">
              <w:rPr>
                <w:lang w:val="lt-LT"/>
              </w:rPr>
              <w:t>teritoriniams skyriams</w:t>
            </w:r>
          </w:p>
          <w:p w14:paraId="66309B47" w14:textId="23391C2E" w:rsidR="006B12F5" w:rsidRPr="00F20E1E" w:rsidRDefault="006B12F5" w:rsidP="00EE3678">
            <w:pPr>
              <w:tabs>
                <w:tab w:val="left" w:pos="1247"/>
              </w:tabs>
              <w:rPr>
                <w:szCs w:val="24"/>
                <w:lang w:val="lt-LT"/>
              </w:rPr>
            </w:pPr>
          </w:p>
        </w:tc>
        <w:tc>
          <w:tcPr>
            <w:tcW w:w="165" w:type="dxa"/>
            <w:shd w:val="clear" w:color="auto" w:fill="auto"/>
          </w:tcPr>
          <w:p w14:paraId="71C1EA73" w14:textId="77777777" w:rsidR="00BD3A9D" w:rsidRPr="00F20E1E" w:rsidRDefault="00BD3A9D">
            <w:pPr>
              <w:pStyle w:val="TableContents"/>
              <w:rPr>
                <w:szCs w:val="24"/>
                <w:lang w:val="lt-LT"/>
              </w:rPr>
            </w:pPr>
            <w:r w:rsidRPr="00F20E1E">
              <w:rPr>
                <w:szCs w:val="24"/>
                <w:lang w:val="lt-LT"/>
              </w:rPr>
              <w:t xml:space="preserve"> </w:t>
            </w:r>
          </w:p>
        </w:tc>
        <w:tc>
          <w:tcPr>
            <w:tcW w:w="1902" w:type="dxa"/>
            <w:shd w:val="clear" w:color="auto" w:fill="auto"/>
          </w:tcPr>
          <w:p w14:paraId="374C410D" w14:textId="17FF9AB8" w:rsidR="00BD3A9D" w:rsidRPr="00F20E1E" w:rsidRDefault="00BD3A9D">
            <w:pPr>
              <w:pStyle w:val="TableContents"/>
              <w:rPr>
                <w:szCs w:val="24"/>
                <w:lang w:val="lt-LT"/>
              </w:rPr>
            </w:pPr>
            <w:r w:rsidRPr="00F20E1E">
              <w:rPr>
                <w:szCs w:val="24"/>
                <w:lang w:val="lt-LT"/>
              </w:rPr>
              <w:t>202</w:t>
            </w:r>
            <w:r w:rsidR="00F143D5" w:rsidRPr="00F20E1E">
              <w:rPr>
                <w:szCs w:val="24"/>
                <w:lang w:val="lt-LT"/>
              </w:rPr>
              <w:t>2</w:t>
            </w:r>
            <w:r w:rsidR="00A24431" w:rsidRPr="00F20E1E">
              <w:rPr>
                <w:szCs w:val="24"/>
                <w:lang w:val="lt-LT"/>
              </w:rPr>
              <w:t>-</w:t>
            </w:r>
            <w:r w:rsidR="00F143D5" w:rsidRPr="00F20E1E">
              <w:rPr>
                <w:szCs w:val="24"/>
                <w:lang w:val="lt-LT"/>
              </w:rPr>
              <w:t>0</w:t>
            </w:r>
            <w:r w:rsidR="00F3126D" w:rsidRPr="00F20E1E">
              <w:rPr>
                <w:szCs w:val="24"/>
                <w:lang w:val="lt-LT"/>
              </w:rPr>
              <w:t>5</w:t>
            </w:r>
            <w:r w:rsidR="00F143D5" w:rsidRPr="00F20E1E">
              <w:rPr>
                <w:szCs w:val="24"/>
                <w:lang w:val="lt-LT"/>
              </w:rPr>
              <w:t>-</w:t>
            </w:r>
          </w:p>
        </w:tc>
        <w:tc>
          <w:tcPr>
            <w:tcW w:w="2013" w:type="dxa"/>
            <w:shd w:val="clear" w:color="auto" w:fill="auto"/>
          </w:tcPr>
          <w:p w14:paraId="0368728F" w14:textId="77777777" w:rsidR="00BD3A9D" w:rsidRPr="00F20E1E" w:rsidRDefault="00BD3A9D">
            <w:pPr>
              <w:pStyle w:val="TableContents"/>
              <w:rPr>
                <w:szCs w:val="24"/>
                <w:lang w:val="lt-LT"/>
              </w:rPr>
            </w:pPr>
            <w:r w:rsidRPr="00F20E1E">
              <w:rPr>
                <w:szCs w:val="24"/>
                <w:lang w:val="lt-LT"/>
              </w:rPr>
              <w:t>Nr.</w:t>
            </w:r>
          </w:p>
        </w:tc>
        <w:tc>
          <w:tcPr>
            <w:tcW w:w="2160" w:type="dxa"/>
            <w:gridSpan w:val="2"/>
            <w:shd w:val="clear" w:color="auto" w:fill="auto"/>
          </w:tcPr>
          <w:p w14:paraId="58FF7B77" w14:textId="77777777" w:rsidR="00BD3A9D" w:rsidRPr="00F20E1E" w:rsidRDefault="00BD3A9D">
            <w:pPr>
              <w:pStyle w:val="TableContents"/>
              <w:snapToGrid w:val="0"/>
              <w:rPr>
                <w:szCs w:val="24"/>
                <w:lang w:val="lt-LT"/>
              </w:rPr>
            </w:pPr>
          </w:p>
        </w:tc>
      </w:tr>
      <w:tr w:rsidR="00F3126D" w:rsidRPr="00F20E1E" w14:paraId="3C1FEBAE" w14:textId="77777777" w:rsidTr="009618F5">
        <w:tc>
          <w:tcPr>
            <w:tcW w:w="6480" w:type="dxa"/>
            <w:vMerge/>
            <w:shd w:val="clear" w:color="auto" w:fill="auto"/>
          </w:tcPr>
          <w:p w14:paraId="472563BF" w14:textId="77777777" w:rsidR="00F3126D" w:rsidRPr="00F20E1E" w:rsidRDefault="00F3126D" w:rsidP="00F3126D">
            <w:pPr>
              <w:pStyle w:val="TableContents"/>
              <w:snapToGrid w:val="0"/>
              <w:rPr>
                <w:szCs w:val="24"/>
                <w:lang w:val="lt-LT"/>
              </w:rPr>
            </w:pPr>
          </w:p>
        </w:tc>
        <w:tc>
          <w:tcPr>
            <w:tcW w:w="165" w:type="dxa"/>
            <w:shd w:val="clear" w:color="auto" w:fill="auto"/>
          </w:tcPr>
          <w:p w14:paraId="09BBDBC5" w14:textId="2064C315" w:rsidR="00F3126D" w:rsidRPr="00F20E1E" w:rsidRDefault="00F3126D" w:rsidP="00F3126D">
            <w:pPr>
              <w:pStyle w:val="TableContents"/>
              <w:rPr>
                <w:szCs w:val="24"/>
                <w:lang w:val="lt-LT"/>
              </w:rPr>
            </w:pPr>
          </w:p>
          <w:p w14:paraId="0070618B" w14:textId="54D4764E" w:rsidR="00F3126D" w:rsidRPr="00F20E1E" w:rsidRDefault="00F3126D" w:rsidP="00F3126D">
            <w:pPr>
              <w:pStyle w:val="TableContents"/>
              <w:rPr>
                <w:szCs w:val="24"/>
                <w:lang w:val="lt-LT"/>
              </w:rPr>
            </w:pPr>
          </w:p>
        </w:tc>
        <w:tc>
          <w:tcPr>
            <w:tcW w:w="1902" w:type="dxa"/>
            <w:shd w:val="clear" w:color="auto" w:fill="auto"/>
          </w:tcPr>
          <w:p w14:paraId="725ACC16" w14:textId="3076B397" w:rsidR="00F3126D" w:rsidRPr="00F20E1E" w:rsidRDefault="00F3126D" w:rsidP="00963104">
            <w:pPr>
              <w:pStyle w:val="TableContents"/>
              <w:snapToGrid w:val="0"/>
              <w:rPr>
                <w:szCs w:val="24"/>
                <w:lang w:val="lt-LT"/>
              </w:rPr>
            </w:pPr>
          </w:p>
        </w:tc>
        <w:tc>
          <w:tcPr>
            <w:tcW w:w="2193" w:type="dxa"/>
            <w:gridSpan w:val="2"/>
            <w:shd w:val="clear" w:color="auto" w:fill="auto"/>
          </w:tcPr>
          <w:p w14:paraId="4D6952B2" w14:textId="33984BB9" w:rsidR="00F3126D" w:rsidRPr="00F20E1E" w:rsidRDefault="00F3126D" w:rsidP="00F3126D">
            <w:pPr>
              <w:pStyle w:val="TableContents"/>
              <w:rPr>
                <w:szCs w:val="24"/>
                <w:lang w:val="lt-LT"/>
              </w:rPr>
            </w:pPr>
          </w:p>
          <w:p w14:paraId="205469D9" w14:textId="75CB6EFE" w:rsidR="00F3126D" w:rsidRPr="00F20E1E" w:rsidRDefault="00F3126D" w:rsidP="00F3126D">
            <w:pPr>
              <w:pStyle w:val="TableContents"/>
              <w:rPr>
                <w:szCs w:val="24"/>
                <w:lang w:val="lt-LT"/>
              </w:rPr>
            </w:pPr>
          </w:p>
        </w:tc>
        <w:tc>
          <w:tcPr>
            <w:tcW w:w="2160" w:type="dxa"/>
            <w:gridSpan w:val="2"/>
            <w:shd w:val="clear" w:color="auto" w:fill="auto"/>
          </w:tcPr>
          <w:p w14:paraId="616D609A" w14:textId="77777777" w:rsidR="00F3126D" w:rsidRPr="00F20E1E" w:rsidRDefault="00F3126D" w:rsidP="00F3126D">
            <w:pPr>
              <w:pStyle w:val="TableContents"/>
              <w:snapToGrid w:val="0"/>
              <w:ind w:hanging="57"/>
              <w:rPr>
                <w:szCs w:val="24"/>
                <w:lang w:val="lt-LT"/>
              </w:rPr>
            </w:pPr>
          </w:p>
        </w:tc>
      </w:tr>
    </w:tbl>
    <w:p w14:paraId="32D27F3B" w14:textId="77777777" w:rsidR="00445013" w:rsidRPr="00F20E1E" w:rsidRDefault="00445013">
      <w:pPr>
        <w:rPr>
          <w:szCs w:val="24"/>
          <w:lang w:val="lt-LT"/>
        </w:rPr>
      </w:pPr>
    </w:p>
    <w:p w14:paraId="0FD369F9" w14:textId="575C0582" w:rsidR="005E4618" w:rsidRPr="00F20E1E" w:rsidRDefault="005E4618" w:rsidP="001802BA">
      <w:pPr>
        <w:framePr w:w="10081" w:h="357" w:wrap="around" w:vAnchor="text" w:hAnchor="page" w:x="1251" w:y="6"/>
        <w:ind w:left="180"/>
        <w:jc w:val="both"/>
        <w:rPr>
          <w:b/>
          <w:bCs/>
          <w:caps/>
          <w:szCs w:val="24"/>
          <w:lang w:val="lt-LT"/>
        </w:rPr>
      </w:pPr>
      <w:bookmarkStart w:id="1" w:name="Unnamed18"/>
      <w:bookmarkStart w:id="2" w:name="Unnamed14"/>
      <w:bookmarkStart w:id="3" w:name="Unnamed10"/>
      <w:bookmarkStart w:id="4" w:name="Unnamed6"/>
      <w:bookmarkStart w:id="5" w:name="Unnamed2"/>
      <w:bookmarkStart w:id="6" w:name="Text12"/>
      <w:bookmarkStart w:id="7" w:name="Unnamed"/>
      <w:bookmarkStart w:id="8" w:name="Unnamed4"/>
      <w:bookmarkStart w:id="9" w:name="Unnamed8"/>
      <w:bookmarkStart w:id="10" w:name="Unnamed12"/>
      <w:bookmarkStart w:id="11" w:name="Unnamed16"/>
      <w:bookmarkStart w:id="12" w:name="Unnamed20"/>
      <w:bookmarkStart w:id="13" w:name="Unnamed19"/>
      <w:bookmarkStart w:id="14" w:name="Unnamed15"/>
      <w:bookmarkStart w:id="15" w:name="Unnamed11"/>
      <w:bookmarkStart w:id="16" w:name="Unnamed7"/>
      <w:bookmarkStart w:id="17" w:name="Unnamed3"/>
      <w:bookmarkStart w:id="18" w:name="Text13"/>
      <w:bookmarkStart w:id="19" w:name="Unnamed1"/>
      <w:bookmarkStart w:id="20" w:name="Unnamed5"/>
      <w:bookmarkStart w:id="21" w:name="Unnamed9"/>
      <w:bookmarkStart w:id="22" w:name="Unnamed13"/>
      <w:bookmarkStart w:id="23" w:name="Unnamed17"/>
      <w:bookmarkStart w:id="24" w:name="Unnamed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20E1E">
        <w:rPr>
          <w:b/>
          <w:bCs/>
          <w:caps/>
          <w:szCs w:val="24"/>
          <w:lang w:val="lt-LT"/>
        </w:rPr>
        <w:t xml:space="preserve">DĖL </w:t>
      </w:r>
      <w:r w:rsidR="003B2FF8" w:rsidRPr="00F20E1E">
        <w:rPr>
          <w:b/>
          <w:bCs/>
          <w:caps/>
          <w:szCs w:val="24"/>
          <w:lang w:val="lt-LT"/>
        </w:rPr>
        <w:t>Antrojo pasaulinio karo Sovietų Sąjungos karių palaidojimo viet</w:t>
      </w:r>
      <w:r w:rsidR="00963104" w:rsidRPr="00F20E1E">
        <w:rPr>
          <w:b/>
          <w:bCs/>
          <w:caps/>
          <w:szCs w:val="24"/>
          <w:lang w:val="lt-LT"/>
        </w:rPr>
        <w:t>ų</w:t>
      </w:r>
      <w:r w:rsidR="003B2FF8" w:rsidRPr="00F20E1E">
        <w:rPr>
          <w:b/>
          <w:bCs/>
          <w:caps/>
          <w:szCs w:val="24"/>
          <w:lang w:val="lt-LT"/>
        </w:rPr>
        <w:t xml:space="preserve"> </w:t>
      </w:r>
    </w:p>
    <w:p w14:paraId="3206151E" w14:textId="77777777" w:rsidR="001F7987" w:rsidRPr="00F20E1E" w:rsidRDefault="001F7987" w:rsidP="002634A8">
      <w:pPr>
        <w:framePr w:w="10081" w:h="357" w:wrap="around" w:vAnchor="text" w:hAnchor="page" w:x="1251" w:y="6"/>
        <w:ind w:left="270"/>
        <w:jc w:val="both"/>
        <w:rPr>
          <w:b/>
          <w:bCs/>
          <w:caps/>
          <w:szCs w:val="24"/>
          <w:lang w:val="lt-LT" w:eastAsia="en-US"/>
        </w:rPr>
      </w:pPr>
    </w:p>
    <w:p w14:paraId="54077E19" w14:textId="0C969BAF" w:rsidR="00361837" w:rsidRPr="00F20E1E" w:rsidRDefault="00963104" w:rsidP="003B2FF8">
      <w:pPr>
        <w:pStyle w:val="Betarp"/>
        <w:ind w:firstLine="720"/>
        <w:jc w:val="both"/>
        <w:rPr>
          <w:szCs w:val="24"/>
          <w:lang w:val="lt-LT"/>
        </w:rPr>
      </w:pPr>
      <w:r w:rsidRPr="00F20E1E">
        <w:rPr>
          <w:szCs w:val="24"/>
          <w:lang w:val="lt-LT"/>
        </w:rPr>
        <w:t xml:space="preserve">Informuojame, kad </w:t>
      </w:r>
      <w:r w:rsidR="00E91549" w:rsidRPr="00F20E1E">
        <w:rPr>
          <w:szCs w:val="24"/>
          <w:lang w:val="lt-LT"/>
        </w:rPr>
        <w:t>Kultūros paveldo departamentas prie Kultūros ministerijos (toliau – Departamentas)</w:t>
      </w:r>
      <w:r w:rsidRPr="00F20E1E">
        <w:rPr>
          <w:szCs w:val="24"/>
          <w:lang w:val="lt-LT"/>
        </w:rPr>
        <w:t xml:space="preserve"> nuo š. m. balandžio mėn. pradžios yra gavęs</w:t>
      </w:r>
      <w:r w:rsidR="00BF6500" w:rsidRPr="00F20E1E">
        <w:rPr>
          <w:szCs w:val="24"/>
          <w:lang w:val="lt-LT"/>
        </w:rPr>
        <w:t xml:space="preserve"> prašymus patikslinti apskaitos duomenis,</w:t>
      </w:r>
      <w:r w:rsidR="00361837" w:rsidRPr="00F20E1E">
        <w:rPr>
          <w:szCs w:val="24"/>
          <w:lang w:val="lt-LT"/>
        </w:rPr>
        <w:t xml:space="preserve"> netaikyti apsaugos, perkelti palaikus ir (ar)</w:t>
      </w:r>
      <w:r w:rsidR="00BF6500" w:rsidRPr="00F20E1E">
        <w:rPr>
          <w:szCs w:val="24"/>
          <w:lang w:val="lt-LT"/>
        </w:rPr>
        <w:t xml:space="preserve"> suteikti metodinę pagalbą</w:t>
      </w:r>
      <w:r w:rsidR="00F20E1E">
        <w:rPr>
          <w:szCs w:val="24"/>
          <w:lang w:val="lt-LT"/>
        </w:rPr>
        <w:t>/</w:t>
      </w:r>
      <w:r w:rsidR="00361837" w:rsidRPr="00F20E1E">
        <w:rPr>
          <w:szCs w:val="24"/>
          <w:lang w:val="lt-LT"/>
        </w:rPr>
        <w:t xml:space="preserve">informaciją </w:t>
      </w:r>
      <w:r w:rsidR="00BF6500" w:rsidRPr="00F20E1E">
        <w:rPr>
          <w:szCs w:val="24"/>
          <w:lang w:val="lt-LT"/>
        </w:rPr>
        <w:t>dėl</w:t>
      </w:r>
      <w:r w:rsidRPr="00F20E1E">
        <w:rPr>
          <w:szCs w:val="24"/>
          <w:lang w:val="lt-LT"/>
        </w:rPr>
        <w:t xml:space="preserve"> </w:t>
      </w:r>
      <w:r w:rsidR="00BF6500" w:rsidRPr="00F20E1E">
        <w:rPr>
          <w:szCs w:val="24"/>
          <w:lang w:val="lt-LT"/>
        </w:rPr>
        <w:t>69-ių Antrojo pasaulinio karo Sovietų Sąjungos karių palaidojimo vietų, esančių 28</w:t>
      </w:r>
      <w:r w:rsidR="00361837" w:rsidRPr="00F20E1E">
        <w:rPr>
          <w:szCs w:val="24"/>
          <w:lang w:val="lt-LT"/>
        </w:rPr>
        <w:t xml:space="preserve">-iose savivaldybėse. </w:t>
      </w:r>
    </w:p>
    <w:p w14:paraId="6CE87BCC" w14:textId="5C406499" w:rsidR="00361837" w:rsidRPr="00F20E1E" w:rsidRDefault="00361837" w:rsidP="003B2FF8">
      <w:pPr>
        <w:pStyle w:val="Betarp"/>
        <w:ind w:firstLine="720"/>
        <w:jc w:val="both"/>
        <w:rPr>
          <w:lang w:val="lt-LT"/>
        </w:rPr>
      </w:pPr>
      <w:r w:rsidRPr="00F20E1E">
        <w:rPr>
          <w:szCs w:val="24"/>
          <w:lang w:val="lt-LT"/>
        </w:rPr>
        <w:t xml:space="preserve">Departamentas, įvertinęs dažniausiai pasikartojančius klausimus ir prašymus, bei atsižvelgdamas į </w:t>
      </w:r>
      <w:r w:rsidR="000A026A" w:rsidRPr="00F20E1E">
        <w:rPr>
          <w:szCs w:val="24"/>
          <w:lang w:val="lt-LT"/>
        </w:rPr>
        <w:t>Lietuvos Respublikos kultūros ministerijoje 2022-05-2</w:t>
      </w:r>
      <w:r w:rsidR="004D51DF" w:rsidRPr="00F20E1E">
        <w:rPr>
          <w:szCs w:val="24"/>
          <w:lang w:val="lt-LT"/>
        </w:rPr>
        <w:t>4</w:t>
      </w:r>
      <w:r w:rsidR="000A026A" w:rsidRPr="00F20E1E">
        <w:rPr>
          <w:szCs w:val="24"/>
          <w:lang w:val="lt-LT"/>
        </w:rPr>
        <w:t xml:space="preserve"> vykus</w:t>
      </w:r>
      <w:r w:rsidR="0019414C">
        <w:rPr>
          <w:szCs w:val="24"/>
          <w:lang w:val="lt-LT"/>
        </w:rPr>
        <w:t>io</w:t>
      </w:r>
      <w:r w:rsidR="000A026A" w:rsidRPr="00F20E1E">
        <w:rPr>
          <w:szCs w:val="24"/>
          <w:lang w:val="lt-LT"/>
        </w:rPr>
        <w:t xml:space="preserve"> pasitarim</w:t>
      </w:r>
      <w:r w:rsidR="0019414C">
        <w:rPr>
          <w:szCs w:val="24"/>
          <w:lang w:val="lt-LT"/>
        </w:rPr>
        <w:t>o</w:t>
      </w:r>
      <w:r w:rsidR="000A026A" w:rsidRPr="00F20E1E">
        <w:rPr>
          <w:szCs w:val="24"/>
          <w:lang w:val="lt-LT"/>
        </w:rPr>
        <w:t xml:space="preserve">, kuriame dalyvavo Lietuvos Respublikos kultūros ministerijos, Departamento, Lietuvos savivaldybių asociacijos, Lietuvos muziejų asociacijos, </w:t>
      </w:r>
      <w:r w:rsidR="000A026A" w:rsidRPr="00F20E1E">
        <w:rPr>
          <w:lang w:val="lt-LT"/>
        </w:rPr>
        <w:t>Lietuvos gyventojų genocido ir rezistencijos tyrimo centro atstovai, sprendimus, teikia informaciją.</w:t>
      </w:r>
    </w:p>
    <w:p w14:paraId="1ADBDBE6" w14:textId="0C248DC1" w:rsidR="00EA580B" w:rsidRPr="00F20E1E" w:rsidRDefault="000A026A" w:rsidP="003B2FF8">
      <w:pPr>
        <w:pStyle w:val="Betarp"/>
        <w:ind w:firstLine="720"/>
        <w:jc w:val="both"/>
        <w:rPr>
          <w:szCs w:val="24"/>
          <w:lang w:val="lt-LT"/>
        </w:rPr>
      </w:pPr>
      <w:r w:rsidRPr="00F20E1E">
        <w:rPr>
          <w:b/>
          <w:bCs/>
          <w:i/>
          <w:iCs/>
          <w:lang w:val="lt-LT"/>
        </w:rPr>
        <w:t xml:space="preserve">Dėl </w:t>
      </w:r>
      <w:r w:rsidR="00623FFE" w:rsidRPr="00F20E1E">
        <w:rPr>
          <w:b/>
          <w:bCs/>
          <w:i/>
          <w:iCs/>
          <w:szCs w:val="24"/>
          <w:lang w:val="lt-LT"/>
        </w:rPr>
        <w:t>Antrojo pasaulinio karo Sovietų Sąjungos karių palaidojimo vietų nekilnojamojo kultūros paveldo vertinimo tarybų aktų vertinimo Nekilnojamojo kultūros paveldo vertinimo tarybose.</w:t>
      </w:r>
      <w:r w:rsidR="00623FFE" w:rsidRPr="00F20E1E">
        <w:rPr>
          <w:szCs w:val="24"/>
          <w:lang w:val="lt-LT"/>
        </w:rPr>
        <w:t xml:space="preserve"> Didžiajai daliai Antrojo pasaulinio karo Sovietų Sąjungos karių palaidojimo vietų yra nustatytas vietinis reikšmingumo lygmuo. </w:t>
      </w:r>
      <w:r w:rsidR="00EA580B" w:rsidRPr="00F20E1E">
        <w:rPr>
          <w:szCs w:val="24"/>
          <w:lang w:val="lt-LT"/>
        </w:rPr>
        <w:t xml:space="preserve">Todėl tais atvejais, kuomet yra sudarytos </w:t>
      </w:r>
      <w:r w:rsidR="0019414C">
        <w:rPr>
          <w:szCs w:val="24"/>
          <w:lang w:val="lt-LT"/>
        </w:rPr>
        <w:t xml:space="preserve">savivaldybių </w:t>
      </w:r>
      <w:r w:rsidR="00EA580B" w:rsidRPr="00F20E1E">
        <w:rPr>
          <w:lang w:val="lt-LT"/>
        </w:rPr>
        <w:t xml:space="preserve">nekilnojamojo kultūros paveldo vertinimo tarybos (toliau – Savivaldybių Vertinimo tarybos), vadovaujantis Nekilnojamojo kultūros paveldo vertinimo tarybų pavyzdinių nuostatų, </w:t>
      </w:r>
      <w:r w:rsidR="00EA580B" w:rsidRPr="00F20E1E">
        <w:rPr>
          <w:color w:val="000000"/>
          <w:lang w:val="lt-LT"/>
        </w:rPr>
        <w:t xml:space="preserve">patvirtintų Lietuvos Respublikos kultūros ministro </w:t>
      </w:r>
      <w:r w:rsidR="00EA580B" w:rsidRPr="00F20E1E">
        <w:rPr>
          <w:lang w:val="lt-LT"/>
        </w:rPr>
        <w:t xml:space="preserve">2005 m. balandžio 15 d. </w:t>
      </w:r>
      <w:r w:rsidR="00EA580B" w:rsidRPr="00F20E1E">
        <w:rPr>
          <w:color w:val="000000"/>
          <w:lang w:val="lt-LT"/>
        </w:rPr>
        <w:t xml:space="preserve">įsakymu </w:t>
      </w:r>
      <w:r w:rsidR="00EA580B" w:rsidRPr="00F20E1E">
        <w:rPr>
          <w:lang w:val="lt-LT"/>
        </w:rPr>
        <w:t>Nr. ĮV-149</w:t>
      </w:r>
      <w:r w:rsidR="00EA580B" w:rsidRPr="00F20E1E">
        <w:rPr>
          <w:color w:val="000000"/>
          <w:lang w:val="lt-LT"/>
        </w:rPr>
        <w:t xml:space="preserve"> „</w:t>
      </w:r>
      <w:r w:rsidR="00EA580B" w:rsidRPr="00F20E1E">
        <w:rPr>
          <w:lang w:val="lt-LT"/>
        </w:rPr>
        <w:t>Dėl Nekilnojamojo kultūros paveldo vertinimo tarybų pavyzdinių nuostatų patvirtinimo</w:t>
      </w:r>
      <w:r w:rsidR="0019414C" w:rsidRPr="00F20E1E">
        <w:rPr>
          <w:szCs w:val="24"/>
          <w:lang w:val="lt-LT"/>
        </w:rPr>
        <w:t>“</w:t>
      </w:r>
      <w:r w:rsidR="00EA580B" w:rsidRPr="00F20E1E">
        <w:rPr>
          <w:lang w:val="lt-LT"/>
        </w:rPr>
        <w:t xml:space="preserve"> (nauja redakcija </w:t>
      </w:r>
      <w:r w:rsidR="00EA580B" w:rsidRPr="00F20E1E">
        <w:rPr>
          <w:szCs w:val="24"/>
          <w:lang w:val="lt-LT" w:eastAsia="en-US"/>
        </w:rPr>
        <w:t xml:space="preserve">Lietuvos Respublikos kultūros ministro 2019  m. rugsėjo 25 d. įsakymu Nr. ĮV-607), </w:t>
      </w:r>
      <w:r w:rsidR="00EA580B" w:rsidRPr="00F20E1E">
        <w:rPr>
          <w:lang w:val="lt-LT"/>
        </w:rPr>
        <w:t>5.1, 5.3</w:t>
      </w:r>
      <w:r w:rsidR="00EA580B" w:rsidRPr="00F20E1E">
        <w:rPr>
          <w:szCs w:val="24"/>
          <w:lang w:val="lt-LT"/>
        </w:rPr>
        <w:t>–</w:t>
      </w:r>
      <w:r w:rsidR="00EA580B" w:rsidRPr="00F20E1E">
        <w:rPr>
          <w:lang w:val="lt-LT"/>
        </w:rPr>
        <w:t xml:space="preserve">5.5 ir 7.1 papunkčiais, dėl vietinio reikšmingumo lygmens kultūros paveldo objektų apskaitos duomenų tikslinimo (vertingųjų savybių, teritorijų, apsaugos zonų), apsaugos nereikalingumo sprendžia Savivaldybių Vertinimo tarybos. </w:t>
      </w:r>
      <w:r w:rsidR="00B61A53" w:rsidRPr="00F20E1E">
        <w:rPr>
          <w:lang w:val="lt-LT"/>
        </w:rPr>
        <w:t>Kitais atvejais (nesant sudarytų Savivaldybių Vertinimo tarybų) sprendimus priima Departamento sudarytos nekilnojamojo kultūros paveldo vertinimo tarybos (toliau – Departamento Vertinimo tarybos).</w:t>
      </w:r>
      <w:r w:rsidR="0019414C">
        <w:rPr>
          <w:lang w:val="lt-LT"/>
        </w:rPr>
        <w:t xml:space="preserve"> </w:t>
      </w:r>
    </w:p>
    <w:p w14:paraId="29786776" w14:textId="7E0B2217" w:rsidR="007A6212" w:rsidRPr="00F20E1E" w:rsidRDefault="004D51DF" w:rsidP="007A6212">
      <w:pPr>
        <w:pStyle w:val="Betarp"/>
        <w:ind w:firstLine="720"/>
        <w:jc w:val="both"/>
        <w:rPr>
          <w:szCs w:val="24"/>
          <w:lang w:val="lt-LT"/>
        </w:rPr>
      </w:pPr>
      <w:r w:rsidRPr="00F20E1E">
        <w:rPr>
          <w:b/>
          <w:bCs/>
          <w:i/>
          <w:iCs/>
          <w:szCs w:val="24"/>
          <w:lang w:val="lt-LT"/>
        </w:rPr>
        <w:lastRenderedPageBreak/>
        <w:t>Dėl savivaldybių veiksmų patikslinus Antrojo pasaulinio karo Sovietų Sąjungos karių palaidojimo vietų apskaitos duomenis.</w:t>
      </w:r>
      <w:r w:rsidRPr="00F20E1E">
        <w:rPr>
          <w:szCs w:val="24"/>
          <w:lang w:val="lt-LT"/>
        </w:rPr>
        <w:t xml:space="preserve"> </w:t>
      </w:r>
      <w:r w:rsidR="00DD2899" w:rsidRPr="00F20E1E">
        <w:rPr>
          <w:szCs w:val="24"/>
          <w:lang w:val="lt-LT"/>
        </w:rPr>
        <w:t>Savivaldybių ar Departamento Vertinimo taryboms</w:t>
      </w:r>
      <w:r w:rsidR="0019414C" w:rsidRPr="0019414C">
        <w:rPr>
          <w:szCs w:val="24"/>
          <w:lang w:val="lt-LT"/>
        </w:rPr>
        <w:t xml:space="preserve"> </w:t>
      </w:r>
      <w:r w:rsidR="0019414C" w:rsidRPr="00F20E1E">
        <w:rPr>
          <w:szCs w:val="24"/>
          <w:lang w:val="lt-LT"/>
        </w:rPr>
        <w:t>patikslinus apskaitos duomenis</w:t>
      </w:r>
      <w:r w:rsidR="00DD2899" w:rsidRPr="00F20E1E">
        <w:rPr>
          <w:szCs w:val="24"/>
          <w:lang w:val="lt-LT"/>
        </w:rPr>
        <w:t xml:space="preserve"> </w:t>
      </w:r>
      <w:r w:rsidR="0019414C">
        <w:rPr>
          <w:szCs w:val="24"/>
          <w:lang w:val="lt-LT"/>
        </w:rPr>
        <w:t>pagal</w:t>
      </w:r>
      <w:r w:rsidR="00DD2899" w:rsidRPr="00F20E1E">
        <w:rPr>
          <w:szCs w:val="24"/>
          <w:lang w:val="lt-LT"/>
        </w:rPr>
        <w:t xml:space="preserve"> Nekilnojamųjų kultūros vertybių vertinimo ir atrankos kriterijų aprašo, patvirtinto Lietuvos Respublikos kultūros ministro 2005 m. balandžio 15 d. įsakymu Nr. ĮV-150 „Dėl Nekilnojamųjų kultūros vertybių vertinimo ir atrankos kriterijų aprašo patvirtinimo</w:t>
      </w:r>
      <w:r w:rsidR="0019414C" w:rsidRPr="00F20E1E">
        <w:rPr>
          <w:szCs w:val="24"/>
          <w:lang w:val="lt-LT"/>
        </w:rPr>
        <w:t>“</w:t>
      </w:r>
      <w:r w:rsidR="0027268A">
        <w:rPr>
          <w:szCs w:val="24"/>
          <w:lang w:val="lt-LT"/>
        </w:rPr>
        <w:t xml:space="preserve"> (toliau – Aprašas)</w:t>
      </w:r>
      <w:r w:rsidR="00DD2899" w:rsidRPr="00F20E1E">
        <w:rPr>
          <w:szCs w:val="24"/>
          <w:lang w:val="lt-LT"/>
        </w:rPr>
        <w:t>, 10 punkto nuostat</w:t>
      </w:r>
      <w:r w:rsidR="0019414C">
        <w:rPr>
          <w:szCs w:val="24"/>
          <w:lang w:val="lt-LT"/>
        </w:rPr>
        <w:t>ų reikalavimus</w:t>
      </w:r>
      <w:r w:rsidR="00DD2899" w:rsidRPr="00F20E1E">
        <w:rPr>
          <w:szCs w:val="24"/>
          <w:lang w:val="lt-LT"/>
        </w:rPr>
        <w:t xml:space="preserve"> ir vertingosiomis savybėmis </w:t>
      </w:r>
      <w:r w:rsidR="007A6212" w:rsidRPr="00F20E1E">
        <w:rPr>
          <w:szCs w:val="24"/>
          <w:lang w:val="lt-LT"/>
        </w:rPr>
        <w:t xml:space="preserve">nenustačius </w:t>
      </w:r>
      <w:r w:rsidR="007A6212" w:rsidRPr="00F20E1E">
        <w:rPr>
          <w:lang w:val="lt-LT"/>
        </w:rPr>
        <w:t xml:space="preserve">mažosios kraštovaizdžio architektūros statinių ir vaizduojamojo meno formų elementų, paveldosaugos reikalavimai jiems nebetaikomi. </w:t>
      </w:r>
      <w:r w:rsidR="0093631F" w:rsidRPr="00F20E1E">
        <w:rPr>
          <w:szCs w:val="24"/>
          <w:lang w:val="lt-LT"/>
        </w:rPr>
        <w:t>Šiais</w:t>
      </w:r>
      <w:r w:rsidR="007A6212" w:rsidRPr="00F20E1E">
        <w:rPr>
          <w:szCs w:val="24"/>
          <w:lang w:val="lt-LT"/>
        </w:rPr>
        <w:t xml:space="preserve"> atvejais sprendimus dėl </w:t>
      </w:r>
      <w:r w:rsidR="007A6212" w:rsidRPr="00F20E1E">
        <w:rPr>
          <w:lang w:val="lt-LT"/>
        </w:rPr>
        <w:t xml:space="preserve">mažosios kraštovaizdžio architektūros statinių ir vaizduojamojo meno formų elementų, nenustatytų vertingosiomis savybėmis, savivaldybės gali priimti </w:t>
      </w:r>
      <w:r w:rsidR="00625692" w:rsidRPr="00F20E1E">
        <w:rPr>
          <w:szCs w:val="24"/>
          <w:lang w:val="lt-LT"/>
        </w:rPr>
        <w:t>vadovaudam</w:t>
      </w:r>
      <w:r w:rsidR="007A6212" w:rsidRPr="00F20E1E">
        <w:rPr>
          <w:szCs w:val="24"/>
          <w:lang w:val="lt-LT"/>
        </w:rPr>
        <w:t>osi</w:t>
      </w:r>
      <w:r w:rsidR="0019414C">
        <w:rPr>
          <w:szCs w:val="24"/>
          <w:lang w:val="lt-LT"/>
        </w:rPr>
        <w:t>s</w:t>
      </w:r>
      <w:r w:rsidR="00625692" w:rsidRPr="00F20E1E">
        <w:rPr>
          <w:szCs w:val="24"/>
          <w:lang w:val="lt-LT"/>
        </w:rPr>
        <w:t xml:space="preserve"> Lietuvos Respublikos savivaldos įstatymu, Užsienio valstybėms reikšmingo nekilnojamojo kultūros paveldo, esančio Lietuvos Respublikoje, tvarkymo taisyklėmis, patvirtintomis Lietuvos Respublikos kultūros ministro 2016 m. gegužės 2 d. įsakymu Nr. ĮV-354 (Lietuvos Respublikos kultūros ministro 2018 m. birželio 27 d. įsakymo Nr. ĮV-525 redakcija) „Dėl Užsienio valstybėms reikšmingo nekilnojamojo kultūros paveldo, esančio Lietuvos Respublikoje, tvarkymo taisyklių patvirtinimo</w:t>
      </w:r>
      <w:r w:rsidR="003E1F04" w:rsidRPr="00F20E1E">
        <w:rPr>
          <w:szCs w:val="24"/>
          <w:lang w:val="lt-LT"/>
        </w:rPr>
        <w:t>“</w:t>
      </w:r>
      <w:r w:rsidR="00625692" w:rsidRPr="00F20E1E">
        <w:rPr>
          <w:szCs w:val="24"/>
          <w:lang w:val="lt-LT"/>
        </w:rPr>
        <w:t xml:space="preserve"> (toliau – Taisyklės)</w:t>
      </w:r>
      <w:r w:rsidR="003E1F04" w:rsidRPr="00F20E1E">
        <w:rPr>
          <w:szCs w:val="24"/>
          <w:lang w:val="lt-LT"/>
        </w:rPr>
        <w:t xml:space="preserve">. </w:t>
      </w:r>
    </w:p>
    <w:p w14:paraId="47BE928D" w14:textId="61828270" w:rsidR="007A6212" w:rsidRPr="00F20E1E" w:rsidRDefault="007A6212" w:rsidP="007A6212">
      <w:pPr>
        <w:pStyle w:val="Betarp"/>
        <w:ind w:firstLine="720"/>
        <w:jc w:val="both"/>
        <w:rPr>
          <w:szCs w:val="24"/>
          <w:lang w:val="lt-LT"/>
        </w:rPr>
      </w:pPr>
      <w:r w:rsidRPr="00F20E1E">
        <w:rPr>
          <w:szCs w:val="24"/>
          <w:lang w:val="lt-LT"/>
        </w:rPr>
        <w:t>Taip pat siūlome atkreipti dėmesį į tai, kad:</w:t>
      </w:r>
      <w:r w:rsidR="0093631F" w:rsidRPr="00F20E1E">
        <w:rPr>
          <w:szCs w:val="24"/>
          <w:lang w:val="lt-LT"/>
        </w:rPr>
        <w:t xml:space="preserve"> </w:t>
      </w:r>
    </w:p>
    <w:p w14:paraId="07ECFDCC" w14:textId="7E1A2ED9" w:rsidR="003E1F04" w:rsidRPr="00F20E1E" w:rsidRDefault="007A6212" w:rsidP="007A6212">
      <w:pPr>
        <w:pStyle w:val="Betarp"/>
        <w:ind w:firstLine="720"/>
        <w:jc w:val="both"/>
        <w:rPr>
          <w:szCs w:val="24"/>
          <w:lang w:val="lt-LT"/>
        </w:rPr>
      </w:pPr>
      <w:r w:rsidRPr="00F20E1E">
        <w:rPr>
          <w:szCs w:val="24"/>
          <w:lang w:val="lt-LT"/>
        </w:rPr>
        <w:t>1) tais atvejais</w:t>
      </w:r>
      <w:r w:rsidR="003E1F04" w:rsidRPr="00F20E1E">
        <w:rPr>
          <w:szCs w:val="24"/>
          <w:lang w:val="lt-LT"/>
        </w:rPr>
        <w:t>, jei Antrojo pasaulinio karo Sovietų Sąjungos karių palaidojimo viet</w:t>
      </w:r>
      <w:r w:rsidR="0093631F" w:rsidRPr="00F20E1E">
        <w:rPr>
          <w:szCs w:val="24"/>
          <w:lang w:val="lt-LT"/>
        </w:rPr>
        <w:t>os</w:t>
      </w:r>
      <w:r w:rsidR="003E1F04" w:rsidRPr="00F20E1E">
        <w:rPr>
          <w:szCs w:val="24"/>
          <w:lang w:val="lt-LT"/>
        </w:rPr>
        <w:t xml:space="preserve"> yra įtraukt</w:t>
      </w:r>
      <w:r w:rsidR="0093631F" w:rsidRPr="00F20E1E">
        <w:rPr>
          <w:szCs w:val="24"/>
          <w:lang w:val="lt-LT"/>
        </w:rPr>
        <w:t>os</w:t>
      </w:r>
      <w:r w:rsidR="003E1F04" w:rsidRPr="00F20E1E">
        <w:rPr>
          <w:szCs w:val="24"/>
          <w:lang w:val="lt-LT"/>
        </w:rPr>
        <w:t xml:space="preserve"> į savivaldybės </w:t>
      </w:r>
      <w:r w:rsidR="003E1F04" w:rsidRPr="00F20E1E">
        <w:rPr>
          <w:color w:val="000000"/>
          <w:szCs w:val="24"/>
          <w:lang w:val="lt-LT"/>
        </w:rPr>
        <w:t>teritorijoje esančių kapinių sąraš</w:t>
      </w:r>
      <w:r w:rsidR="0093631F" w:rsidRPr="00F20E1E">
        <w:rPr>
          <w:color w:val="000000"/>
          <w:szCs w:val="24"/>
          <w:lang w:val="lt-LT"/>
        </w:rPr>
        <w:t>us</w:t>
      </w:r>
      <w:r w:rsidR="003E1F04" w:rsidRPr="00F20E1E">
        <w:rPr>
          <w:color w:val="000000"/>
          <w:szCs w:val="24"/>
          <w:lang w:val="lt-LT"/>
        </w:rPr>
        <w:t xml:space="preserve">, </w:t>
      </w:r>
      <w:r w:rsidR="003E1F04" w:rsidRPr="00F20E1E">
        <w:rPr>
          <w:szCs w:val="24"/>
          <w:lang w:val="lt-LT"/>
        </w:rPr>
        <w:t>ši</w:t>
      </w:r>
      <w:r w:rsidR="0093631F" w:rsidRPr="00F20E1E">
        <w:rPr>
          <w:szCs w:val="24"/>
          <w:lang w:val="lt-LT"/>
        </w:rPr>
        <w:t>oms</w:t>
      </w:r>
      <w:r w:rsidR="003E1F04" w:rsidRPr="00F20E1E">
        <w:rPr>
          <w:szCs w:val="24"/>
          <w:lang w:val="lt-LT"/>
        </w:rPr>
        <w:t xml:space="preserve"> palaidojimo viet</w:t>
      </w:r>
      <w:r w:rsidR="0093631F" w:rsidRPr="00F20E1E">
        <w:rPr>
          <w:szCs w:val="24"/>
          <w:lang w:val="lt-LT"/>
        </w:rPr>
        <w:t>oms</w:t>
      </w:r>
      <w:r w:rsidR="003E1F04" w:rsidRPr="00F20E1E">
        <w:rPr>
          <w:szCs w:val="24"/>
          <w:lang w:val="lt-LT"/>
        </w:rPr>
        <w:t xml:space="preserve"> taikomi reikalavimai, nustatyti Kapinių tvarkymo taisyklėmis, patvirtintomis Lietuvos Respublikos Vyriausybės 2008 m. lapkričio 19 d. nutarimu Nr. 1207 „Dėl Lietuvos Respublikos žmonių palaikų laidojimo įstatymo įgyvendinamųjų teisės aktų patvirtinimo“</w:t>
      </w:r>
      <w:r w:rsidR="0093631F" w:rsidRPr="00F20E1E">
        <w:rPr>
          <w:szCs w:val="24"/>
          <w:lang w:val="lt-LT"/>
        </w:rPr>
        <w:t>;</w:t>
      </w:r>
    </w:p>
    <w:p w14:paraId="47A3C2E8" w14:textId="4F668BD0" w:rsidR="0093631F" w:rsidRPr="00F20E1E" w:rsidRDefault="0093631F" w:rsidP="007A6212">
      <w:pPr>
        <w:pStyle w:val="Betarp"/>
        <w:ind w:firstLine="720"/>
        <w:jc w:val="both"/>
        <w:rPr>
          <w:szCs w:val="24"/>
          <w:lang w:val="lt-LT"/>
        </w:rPr>
      </w:pPr>
      <w:r w:rsidRPr="00F20E1E">
        <w:rPr>
          <w:szCs w:val="24"/>
          <w:lang w:val="lt-LT"/>
        </w:rPr>
        <w:t xml:space="preserve">2) tais atvejais, jei Antrojo pasaulinio karo Sovietų Sąjungos karių palaidojimo vietų teritorijose esantys paminklai yra registruoti Nekilnojamojo turto registre kaip nekilnojamieji daiktai, </w:t>
      </w:r>
      <w:r w:rsidR="00C2590B" w:rsidRPr="00F20E1E">
        <w:rPr>
          <w:szCs w:val="24"/>
          <w:lang w:val="lt-LT"/>
        </w:rPr>
        <w:t>jiems taikomi reikalavimai, nustatyti Lietuvos Respublikos statybos įstatyme.</w:t>
      </w:r>
    </w:p>
    <w:p w14:paraId="5F857355" w14:textId="7E662AB6" w:rsidR="00610F2B" w:rsidRPr="00F20E1E" w:rsidRDefault="003B092E" w:rsidP="00437109">
      <w:pPr>
        <w:pStyle w:val="Betarp"/>
        <w:ind w:firstLine="720"/>
        <w:jc w:val="both"/>
        <w:rPr>
          <w:szCs w:val="24"/>
          <w:lang w:val="lt-LT"/>
        </w:rPr>
      </w:pPr>
      <w:r w:rsidRPr="00F20E1E">
        <w:rPr>
          <w:b/>
          <w:bCs/>
          <w:i/>
          <w:iCs/>
          <w:szCs w:val="24"/>
          <w:lang w:val="lt-LT"/>
        </w:rPr>
        <w:t xml:space="preserve">Dėl individualių apsaugos reglamentų. </w:t>
      </w:r>
      <w:r w:rsidR="00610F2B" w:rsidRPr="00F20E1E">
        <w:rPr>
          <w:szCs w:val="24"/>
          <w:lang w:val="lt-LT"/>
        </w:rPr>
        <w:t>Departamentas atkreipia dėmesį, kad nemaža</w:t>
      </w:r>
      <w:r w:rsidR="0026262C" w:rsidRPr="00F20E1E">
        <w:rPr>
          <w:szCs w:val="24"/>
          <w:lang w:val="lt-LT"/>
        </w:rPr>
        <w:t>i</w:t>
      </w:r>
      <w:r w:rsidR="00610F2B" w:rsidRPr="00F20E1E">
        <w:rPr>
          <w:szCs w:val="24"/>
          <w:lang w:val="lt-LT"/>
        </w:rPr>
        <w:t xml:space="preserve"> dali</w:t>
      </w:r>
      <w:r w:rsidR="0026262C" w:rsidRPr="00F20E1E">
        <w:rPr>
          <w:szCs w:val="24"/>
          <w:lang w:val="lt-LT"/>
        </w:rPr>
        <w:t>ai</w:t>
      </w:r>
      <w:r w:rsidR="00610F2B" w:rsidRPr="00F20E1E">
        <w:rPr>
          <w:szCs w:val="24"/>
          <w:lang w:val="lt-LT"/>
        </w:rPr>
        <w:t xml:space="preserve"> </w:t>
      </w:r>
      <w:r w:rsidR="0026262C" w:rsidRPr="00F20E1E">
        <w:rPr>
          <w:szCs w:val="24"/>
          <w:lang w:val="lt-LT"/>
        </w:rPr>
        <w:t xml:space="preserve">Antrojo pasaulinio karo Sovietų Sąjungos karių palaidojimo vietų yra parengti ir savivaldybių administracijos direktorių įsakymais patvirtinti individualūs apsaugos reglamentai, kuriuose </w:t>
      </w:r>
      <w:r w:rsidR="0027268A" w:rsidRPr="00F20E1E">
        <w:rPr>
          <w:szCs w:val="24"/>
          <w:lang w:val="lt-LT"/>
        </w:rPr>
        <w:t xml:space="preserve">paveldosaugos reikalavimai </w:t>
      </w:r>
      <w:r w:rsidR="0026262C" w:rsidRPr="00F20E1E">
        <w:rPr>
          <w:szCs w:val="24"/>
          <w:lang w:val="lt-LT"/>
        </w:rPr>
        <w:t xml:space="preserve">nustatyti </w:t>
      </w:r>
      <w:r w:rsidR="0027268A">
        <w:rPr>
          <w:szCs w:val="24"/>
          <w:lang w:val="lt-LT"/>
        </w:rPr>
        <w:t xml:space="preserve">ir </w:t>
      </w:r>
      <w:r w:rsidR="0026262C" w:rsidRPr="00F20E1E">
        <w:rPr>
          <w:lang w:val="lt-LT"/>
        </w:rPr>
        <w:t xml:space="preserve">mažosios kraštovaizdžio architektūros statiniams </w:t>
      </w:r>
      <w:r w:rsidR="0027268A">
        <w:rPr>
          <w:lang w:val="lt-LT"/>
        </w:rPr>
        <w:t>bei</w:t>
      </w:r>
      <w:r w:rsidR="0026262C" w:rsidRPr="00F20E1E">
        <w:rPr>
          <w:lang w:val="lt-LT"/>
        </w:rPr>
        <w:t xml:space="preserve"> vaizduojamojo meno formų elementams. Atsižvelgiant į tai, kad po Savivaldybių ar Departamento Vertinimo tarybų sprendimų ir nekilnojamojo kultūros paveldo vertinimo tarybos aktų</w:t>
      </w:r>
      <w:r w:rsidR="0027268A">
        <w:rPr>
          <w:lang w:val="lt-LT"/>
        </w:rPr>
        <w:t>, atitinkančių Aprašo nuostatų reikalavimus,</w:t>
      </w:r>
      <w:r w:rsidR="0026262C" w:rsidRPr="00F20E1E">
        <w:rPr>
          <w:lang w:val="lt-LT"/>
        </w:rPr>
        <w:t xml:space="preserve"> įregistrav</w:t>
      </w:r>
      <w:r w:rsidR="00437109" w:rsidRPr="00F20E1E">
        <w:rPr>
          <w:lang w:val="lt-LT"/>
        </w:rPr>
        <w:t>imo Kultūros vertybių registre</w:t>
      </w:r>
      <w:r w:rsidR="0026262C" w:rsidRPr="00F20E1E">
        <w:rPr>
          <w:lang w:val="lt-LT"/>
        </w:rPr>
        <w:t xml:space="preserve">, </w:t>
      </w:r>
      <w:r w:rsidR="0026262C" w:rsidRPr="00F20E1E">
        <w:rPr>
          <w:szCs w:val="24"/>
          <w:lang w:val="lt-LT"/>
        </w:rPr>
        <w:t xml:space="preserve">tiek bendrieji duomenys, tiek paveldosaugos reikalavimai nebeatitinka </w:t>
      </w:r>
      <w:r w:rsidR="00437109" w:rsidRPr="00F20E1E">
        <w:rPr>
          <w:lang w:val="lt-LT"/>
        </w:rPr>
        <w:t xml:space="preserve">kultūros paveldo objektų apskaitos duomenų, </w:t>
      </w:r>
      <w:r w:rsidR="0027268A" w:rsidRPr="00F20E1E">
        <w:rPr>
          <w:szCs w:val="24"/>
          <w:lang w:val="lt-LT"/>
        </w:rPr>
        <w:t>savivaldyb</w:t>
      </w:r>
      <w:r w:rsidR="0027268A">
        <w:rPr>
          <w:szCs w:val="24"/>
          <w:lang w:val="lt-LT"/>
        </w:rPr>
        <w:t>ių administracijos,</w:t>
      </w:r>
      <w:r w:rsidR="0027268A" w:rsidRPr="00F20E1E">
        <w:rPr>
          <w:szCs w:val="24"/>
          <w:lang w:val="lt-LT"/>
        </w:rPr>
        <w:t xml:space="preserve"> </w:t>
      </w:r>
      <w:r w:rsidR="00610F2B" w:rsidRPr="00F20E1E">
        <w:rPr>
          <w:szCs w:val="24"/>
          <w:lang w:val="lt-LT"/>
        </w:rPr>
        <w:t xml:space="preserve">vadovaujantis </w:t>
      </w:r>
      <w:r w:rsidR="00610F2B" w:rsidRPr="00F20E1E">
        <w:rPr>
          <w:lang w:val="lt-LT"/>
        </w:rPr>
        <w:t>Kultūros paveldo objektų individualių apsaugos reglamentų rengimo tvarkos aprašo, patvirtinto Lietuvos Respublikos kultūros ministro 2014 m. gruodžio 18 d. įsakymu Nr. ĮV-974</w:t>
      </w:r>
      <w:r w:rsidR="00610F2B" w:rsidRPr="00F20E1E">
        <w:rPr>
          <w:szCs w:val="24"/>
          <w:lang w:val="lt-LT"/>
        </w:rPr>
        <w:t xml:space="preserve"> „Dėl </w:t>
      </w:r>
      <w:r w:rsidR="00610F2B" w:rsidRPr="00F20E1E">
        <w:rPr>
          <w:lang w:val="lt-LT"/>
        </w:rPr>
        <w:t>Kultūros paveldo objektų individualių apsaugos reglamentų rengimo tvarkos aprašo patvirtinimo“</w:t>
      </w:r>
      <w:r w:rsidR="00610F2B" w:rsidRPr="00F20E1E">
        <w:rPr>
          <w:szCs w:val="24"/>
          <w:lang w:val="lt-LT"/>
        </w:rPr>
        <w:t xml:space="preserve"> 33–37 punktų nuostatomis, </w:t>
      </w:r>
      <w:r w:rsidR="00437109" w:rsidRPr="00F20E1E">
        <w:rPr>
          <w:szCs w:val="24"/>
          <w:lang w:val="lt-LT"/>
        </w:rPr>
        <w:t xml:space="preserve">turi </w:t>
      </w:r>
      <w:r w:rsidR="00610F2B" w:rsidRPr="00F20E1E">
        <w:rPr>
          <w:szCs w:val="24"/>
          <w:lang w:val="lt-LT"/>
        </w:rPr>
        <w:t xml:space="preserve">spręsti dėl </w:t>
      </w:r>
      <w:r w:rsidR="00437109" w:rsidRPr="00F20E1E">
        <w:rPr>
          <w:rStyle w:val="ng-binding"/>
          <w:lang w:val="lt-LT"/>
        </w:rPr>
        <w:t>tokių</w:t>
      </w:r>
      <w:r w:rsidR="00610F2B" w:rsidRPr="00F20E1E">
        <w:rPr>
          <w:lang w:val="lt-LT"/>
        </w:rPr>
        <w:t xml:space="preserve"> </w:t>
      </w:r>
      <w:r w:rsidR="00610F2B" w:rsidRPr="00F20E1E">
        <w:rPr>
          <w:szCs w:val="24"/>
          <w:lang w:val="lt-LT"/>
        </w:rPr>
        <w:t>individual</w:t>
      </w:r>
      <w:r w:rsidR="00437109" w:rsidRPr="00F20E1E">
        <w:rPr>
          <w:szCs w:val="24"/>
          <w:lang w:val="lt-LT"/>
        </w:rPr>
        <w:t>ių</w:t>
      </w:r>
      <w:r w:rsidR="00610F2B" w:rsidRPr="00F20E1E">
        <w:rPr>
          <w:szCs w:val="24"/>
          <w:lang w:val="lt-LT"/>
        </w:rPr>
        <w:t xml:space="preserve"> apsaugos reglament</w:t>
      </w:r>
      <w:r w:rsidR="00437109" w:rsidRPr="00F20E1E">
        <w:rPr>
          <w:szCs w:val="24"/>
          <w:lang w:val="lt-LT"/>
        </w:rPr>
        <w:t>ų</w:t>
      </w:r>
      <w:r w:rsidR="00610F2B" w:rsidRPr="00F20E1E">
        <w:rPr>
          <w:szCs w:val="24"/>
          <w:lang w:val="lt-LT"/>
        </w:rPr>
        <w:t xml:space="preserve"> pripažinimo netekusiais galios ir naujų individualių apsaugos reglamentų rengimo.</w:t>
      </w:r>
    </w:p>
    <w:p w14:paraId="399299EA" w14:textId="77777777" w:rsidR="00E24232" w:rsidRPr="00F20E1E" w:rsidRDefault="00C2590B" w:rsidP="00E24232">
      <w:pPr>
        <w:pStyle w:val="TableContents"/>
        <w:ind w:firstLine="720"/>
        <w:jc w:val="both"/>
        <w:rPr>
          <w:szCs w:val="24"/>
          <w:lang w:val="lt-LT"/>
        </w:rPr>
      </w:pPr>
      <w:r w:rsidRPr="00F20E1E">
        <w:rPr>
          <w:b/>
          <w:bCs/>
          <w:i/>
          <w:iCs/>
          <w:szCs w:val="24"/>
          <w:lang w:val="lt-LT"/>
        </w:rPr>
        <w:t>Dėl užrašų.</w:t>
      </w:r>
      <w:r w:rsidRPr="00F20E1E">
        <w:rPr>
          <w:szCs w:val="24"/>
          <w:lang w:val="lt-LT"/>
        </w:rPr>
        <w:t xml:space="preserve"> </w:t>
      </w:r>
      <w:r w:rsidR="00625692" w:rsidRPr="00F20E1E">
        <w:rPr>
          <w:szCs w:val="24"/>
          <w:lang w:val="lt-LT"/>
        </w:rPr>
        <w:t xml:space="preserve">Departamentas taip pat atkreipia dėmesį, kad tiek Kultūros vertybių registre įregistruotose, tiek </w:t>
      </w:r>
      <w:r w:rsidR="00625692" w:rsidRPr="00F20E1E">
        <w:rPr>
          <w:color w:val="000000"/>
          <w:szCs w:val="24"/>
          <w:lang w:val="lt-LT"/>
        </w:rPr>
        <w:t xml:space="preserve">Kultūros vertybių registre neregistruotose objektuose – kapinėse, kapuose ir palaidojimo vietose – esami paminklai, memorialinės lentos, antkapiai, kiti kapaviečių objektai </w:t>
      </w:r>
      <w:r w:rsidR="00625692" w:rsidRPr="00F20E1E">
        <w:rPr>
          <w:szCs w:val="24"/>
          <w:lang w:val="lt-LT"/>
        </w:rPr>
        <w:t xml:space="preserve">naujais duomenimis (skaičiais, datomis, asmenų pavardėmis ir vardais) papildomi, šie duomenys tikslinami arba pašalinami, objektai ženklinami informacinėmis lentelėmis Taisyklėse nustatyta tvarka, t. y. užrašų papildymą, šalinimą </w:t>
      </w:r>
      <w:r w:rsidR="00625692" w:rsidRPr="00F20E1E">
        <w:rPr>
          <w:color w:val="000000"/>
          <w:szCs w:val="24"/>
          <w:lang w:val="lt-LT"/>
        </w:rPr>
        <w:t>paminkluose, memorialinėse lentose, antkapiuose, kitose kapaviečių objektuose</w:t>
      </w:r>
      <w:r w:rsidR="00625692" w:rsidRPr="00F20E1E">
        <w:rPr>
          <w:szCs w:val="24"/>
          <w:lang w:val="lt-LT"/>
        </w:rPr>
        <w:t xml:space="preserve"> ar tekstus informacinėse lentelėse suderinus ir gavus Lietuvos gyventojų genocido ir rezistencijos tyrimų centro išvadą. </w:t>
      </w:r>
    </w:p>
    <w:p w14:paraId="2918E584" w14:textId="708B2D5F" w:rsidR="00E24232" w:rsidRPr="00F20E1E" w:rsidRDefault="00C2590B" w:rsidP="00E24232">
      <w:pPr>
        <w:pStyle w:val="TableContents"/>
        <w:ind w:firstLine="720"/>
        <w:jc w:val="both"/>
        <w:rPr>
          <w:lang w:val="lt-LT"/>
        </w:rPr>
      </w:pPr>
      <w:r w:rsidRPr="00F20E1E">
        <w:rPr>
          <w:b/>
          <w:bCs/>
          <w:i/>
          <w:iCs/>
          <w:szCs w:val="24"/>
          <w:lang w:val="lt-LT"/>
        </w:rPr>
        <w:t>Dėl paminklų demontavimo ir perdavimo.</w:t>
      </w:r>
      <w:r w:rsidRPr="00F20E1E">
        <w:rPr>
          <w:b/>
          <w:bCs/>
          <w:szCs w:val="24"/>
          <w:lang w:val="lt-LT"/>
        </w:rPr>
        <w:t xml:space="preserve"> </w:t>
      </w:r>
      <w:r w:rsidR="00A11B87" w:rsidRPr="00B7795A">
        <w:rPr>
          <w:szCs w:val="24"/>
          <w:lang w:val="lt-LT"/>
        </w:rPr>
        <w:t>Savivaldybių</w:t>
      </w:r>
      <w:r w:rsidR="00B7795A" w:rsidRPr="00B7795A">
        <w:rPr>
          <w:szCs w:val="24"/>
          <w:lang w:val="lt-LT"/>
        </w:rPr>
        <w:t xml:space="preserve"> administracijų</w:t>
      </w:r>
      <w:r w:rsidR="00A11B87" w:rsidRPr="00B7795A">
        <w:rPr>
          <w:szCs w:val="24"/>
          <w:lang w:val="lt-LT"/>
        </w:rPr>
        <w:t xml:space="preserve"> kartu su savivaldybių muziejais pirmiausia prašoma įvertinti</w:t>
      </w:r>
      <w:r w:rsidR="00A11B87">
        <w:rPr>
          <w:b/>
          <w:bCs/>
          <w:szCs w:val="24"/>
          <w:lang w:val="lt-LT"/>
        </w:rPr>
        <w:t xml:space="preserve"> </w:t>
      </w:r>
      <w:r w:rsidRPr="00F20E1E">
        <w:rPr>
          <w:szCs w:val="24"/>
          <w:lang w:val="lt-LT"/>
        </w:rPr>
        <w:t>galimybės</w:t>
      </w:r>
      <w:r w:rsidR="00357690" w:rsidRPr="00F20E1E">
        <w:rPr>
          <w:szCs w:val="24"/>
          <w:lang w:val="lt-LT"/>
        </w:rPr>
        <w:t xml:space="preserve"> </w:t>
      </w:r>
      <w:r w:rsidR="00B7795A" w:rsidRPr="00F20E1E">
        <w:rPr>
          <w:szCs w:val="24"/>
          <w:lang w:val="lt-LT"/>
        </w:rPr>
        <w:t>demontuotus paminklus</w:t>
      </w:r>
      <w:r w:rsidR="00B7795A">
        <w:rPr>
          <w:szCs w:val="24"/>
          <w:lang w:val="lt-LT"/>
        </w:rPr>
        <w:t xml:space="preserve"> perduoti</w:t>
      </w:r>
      <w:r w:rsidR="00B7795A" w:rsidRPr="00F20E1E">
        <w:rPr>
          <w:szCs w:val="24"/>
          <w:lang w:val="lt-LT"/>
        </w:rPr>
        <w:t xml:space="preserve"> </w:t>
      </w:r>
      <w:r w:rsidR="00357690" w:rsidRPr="00F20E1E">
        <w:rPr>
          <w:szCs w:val="24"/>
          <w:lang w:val="lt-LT"/>
        </w:rPr>
        <w:t>saugoti ir (ar) eksponuoti</w:t>
      </w:r>
      <w:r w:rsidRPr="00F20E1E">
        <w:rPr>
          <w:szCs w:val="24"/>
          <w:lang w:val="lt-LT"/>
        </w:rPr>
        <w:t xml:space="preserve"> </w:t>
      </w:r>
      <w:r w:rsidR="00357690" w:rsidRPr="00F20E1E">
        <w:rPr>
          <w:szCs w:val="24"/>
          <w:lang w:val="lt-LT"/>
        </w:rPr>
        <w:t>savivaldybių muziej</w:t>
      </w:r>
      <w:r w:rsidR="00B7795A">
        <w:rPr>
          <w:szCs w:val="24"/>
          <w:lang w:val="lt-LT"/>
        </w:rPr>
        <w:t>uose</w:t>
      </w:r>
      <w:r w:rsidR="00F175B8">
        <w:rPr>
          <w:szCs w:val="24"/>
          <w:lang w:val="lt-LT"/>
        </w:rPr>
        <w:t xml:space="preserve"> ar tam skirtose erdvėse</w:t>
      </w:r>
      <w:r w:rsidR="00357690" w:rsidRPr="00F20E1E">
        <w:rPr>
          <w:szCs w:val="24"/>
          <w:lang w:val="lt-LT"/>
        </w:rPr>
        <w:t>. N</w:t>
      </w:r>
      <w:r w:rsidR="00F175B8">
        <w:rPr>
          <w:szCs w:val="24"/>
          <w:lang w:val="lt-LT"/>
        </w:rPr>
        <w:t>eturint tokių</w:t>
      </w:r>
      <w:r w:rsidR="00357690" w:rsidRPr="00F20E1E">
        <w:rPr>
          <w:szCs w:val="24"/>
          <w:lang w:val="lt-LT"/>
        </w:rPr>
        <w:t xml:space="preserve"> galimyb</w:t>
      </w:r>
      <w:r w:rsidR="00F175B8">
        <w:rPr>
          <w:szCs w:val="24"/>
          <w:lang w:val="lt-LT"/>
        </w:rPr>
        <w:t>ių</w:t>
      </w:r>
      <w:r w:rsidR="00357690" w:rsidRPr="00F20E1E">
        <w:rPr>
          <w:szCs w:val="24"/>
          <w:lang w:val="lt-LT"/>
        </w:rPr>
        <w:t xml:space="preserve">, </w:t>
      </w:r>
      <w:r w:rsidR="00B7795A">
        <w:rPr>
          <w:szCs w:val="24"/>
          <w:lang w:val="lt-LT"/>
        </w:rPr>
        <w:t>demontuotus</w:t>
      </w:r>
      <w:r w:rsidR="00865154">
        <w:rPr>
          <w:szCs w:val="24"/>
          <w:lang w:val="lt-LT"/>
        </w:rPr>
        <w:t xml:space="preserve"> paminklus</w:t>
      </w:r>
      <w:r w:rsidR="00357690" w:rsidRPr="00F20E1E">
        <w:rPr>
          <w:szCs w:val="24"/>
          <w:lang w:val="lt-LT"/>
        </w:rPr>
        <w:t xml:space="preserve"> prašoma perduoti Sovietinių </w:t>
      </w:r>
      <w:r w:rsidR="00865154">
        <w:rPr>
          <w:szCs w:val="24"/>
          <w:lang w:val="lt-LT"/>
        </w:rPr>
        <w:t>skulptūrų</w:t>
      </w:r>
      <w:r w:rsidR="00357690" w:rsidRPr="00F20E1E">
        <w:rPr>
          <w:szCs w:val="24"/>
          <w:lang w:val="lt-LT"/>
        </w:rPr>
        <w:t xml:space="preserve"> muziejui „Grūto parkas“. Dėl </w:t>
      </w:r>
      <w:r w:rsidR="00E24232" w:rsidRPr="00F20E1E">
        <w:rPr>
          <w:szCs w:val="24"/>
          <w:lang w:val="lt-LT"/>
        </w:rPr>
        <w:t xml:space="preserve">detalesnės informacijos ir perdavimo/priėmimo procedūrų prašome susisiekti tel. nr. </w:t>
      </w:r>
      <w:r w:rsidR="00E24232" w:rsidRPr="00F20E1E">
        <w:rPr>
          <w:lang w:val="lt-LT"/>
        </w:rPr>
        <w:t xml:space="preserve">8 686 55222, 8 682 42320 arba el. p. </w:t>
      </w:r>
      <w:hyperlink r:id="rId9" w:history="1">
        <w:r w:rsidR="00E24232" w:rsidRPr="00F20E1E">
          <w:rPr>
            <w:rStyle w:val="Hipersaitas"/>
            <w:lang w:val="lt-LT"/>
          </w:rPr>
          <w:t>grutoparkas13@gmail.com</w:t>
        </w:r>
      </w:hyperlink>
      <w:r w:rsidR="00E24232" w:rsidRPr="00F20E1E">
        <w:rPr>
          <w:lang w:val="lt-LT"/>
        </w:rPr>
        <w:t xml:space="preserve">, </w:t>
      </w:r>
      <w:hyperlink r:id="rId10" w:history="1">
        <w:r w:rsidR="00E24232" w:rsidRPr="00F20E1E">
          <w:rPr>
            <w:rStyle w:val="Hipersaitas"/>
            <w:lang w:val="lt-LT"/>
          </w:rPr>
          <w:t>info@grutoparkas.lt</w:t>
        </w:r>
      </w:hyperlink>
      <w:r w:rsidR="00E24232" w:rsidRPr="00F20E1E">
        <w:rPr>
          <w:lang w:val="lt-LT"/>
        </w:rPr>
        <w:t>.</w:t>
      </w:r>
    </w:p>
    <w:p w14:paraId="627C5EE6" w14:textId="74508BB5" w:rsidR="004429DC" w:rsidRPr="00F20E1E" w:rsidRDefault="00776A24" w:rsidP="004429DC">
      <w:pPr>
        <w:pStyle w:val="TableContents"/>
        <w:ind w:firstLine="900"/>
        <w:jc w:val="both"/>
        <w:rPr>
          <w:szCs w:val="24"/>
          <w:lang w:val="lt-LT"/>
        </w:rPr>
      </w:pPr>
      <w:r w:rsidRPr="00F20E1E">
        <w:rPr>
          <w:b/>
          <w:bCs/>
          <w:i/>
          <w:iCs/>
          <w:lang w:val="lt-LT"/>
        </w:rPr>
        <w:t xml:space="preserve">Dėl </w:t>
      </w:r>
      <w:r w:rsidR="00746567" w:rsidRPr="00F20E1E">
        <w:rPr>
          <w:b/>
          <w:bCs/>
          <w:i/>
          <w:iCs/>
          <w:lang w:val="lt-LT"/>
        </w:rPr>
        <w:t xml:space="preserve">apsaugos </w:t>
      </w:r>
      <w:r w:rsidR="00865154" w:rsidRPr="00865154">
        <w:rPr>
          <w:b/>
          <w:bCs/>
          <w:i/>
          <w:iCs/>
          <w:lang w:val="lt-LT"/>
        </w:rPr>
        <w:t>Antrojo pasaulinio karo Sovietų Sąjungos karių palaidojimo vietoms netaikymo ir palaikų perkėlimo</w:t>
      </w:r>
      <w:r w:rsidRPr="00F20E1E">
        <w:rPr>
          <w:b/>
          <w:bCs/>
          <w:i/>
          <w:iCs/>
          <w:lang w:val="lt-LT"/>
        </w:rPr>
        <w:t>.</w:t>
      </w:r>
      <w:r w:rsidRPr="00F20E1E">
        <w:rPr>
          <w:lang w:val="lt-LT"/>
        </w:rPr>
        <w:t xml:space="preserve"> </w:t>
      </w:r>
      <w:r w:rsidR="004429DC" w:rsidRPr="00F20E1E">
        <w:rPr>
          <w:lang w:val="lt-LT"/>
        </w:rPr>
        <w:t xml:space="preserve">Antrojo pasaulinio karo Sovietų Sąjungos karių palaidojimo vietų </w:t>
      </w:r>
      <w:r w:rsidR="004429DC" w:rsidRPr="00F20E1E">
        <w:rPr>
          <w:lang w:val="lt-LT" w:eastAsia="lt-LT"/>
        </w:rPr>
        <w:t>vertingo</w:t>
      </w:r>
      <w:r w:rsidR="00746567" w:rsidRPr="00F20E1E">
        <w:rPr>
          <w:lang w:val="lt-LT" w:eastAsia="lt-LT"/>
        </w:rPr>
        <w:t>sios</w:t>
      </w:r>
      <w:r w:rsidR="004429DC" w:rsidRPr="00F20E1E">
        <w:rPr>
          <w:lang w:val="lt-LT" w:eastAsia="lt-LT"/>
        </w:rPr>
        <w:t xml:space="preserve"> savybė</w:t>
      </w:r>
      <w:r w:rsidR="00746567" w:rsidRPr="00F20E1E">
        <w:rPr>
          <w:lang w:val="lt-LT" w:eastAsia="lt-LT"/>
        </w:rPr>
        <w:t>s</w:t>
      </w:r>
      <w:r w:rsidR="004429DC" w:rsidRPr="00F20E1E">
        <w:rPr>
          <w:lang w:val="lt-LT" w:eastAsia="lt-LT"/>
        </w:rPr>
        <w:t xml:space="preserve"> yra palaikai. Apsaugos </w:t>
      </w:r>
      <w:r w:rsidR="00746567" w:rsidRPr="00F20E1E">
        <w:rPr>
          <w:lang w:val="lt-LT" w:eastAsia="lt-LT"/>
        </w:rPr>
        <w:t>netaikymas</w:t>
      </w:r>
      <w:r w:rsidR="004429DC" w:rsidRPr="00F20E1E">
        <w:rPr>
          <w:lang w:val="lt-LT" w:eastAsia="lt-LT"/>
        </w:rPr>
        <w:t xml:space="preserve"> minėt</w:t>
      </w:r>
      <w:r w:rsidR="00746567" w:rsidRPr="00F20E1E">
        <w:rPr>
          <w:lang w:val="lt-LT" w:eastAsia="lt-LT"/>
        </w:rPr>
        <w:t>iems</w:t>
      </w:r>
      <w:r w:rsidR="004429DC" w:rsidRPr="00F20E1E">
        <w:rPr>
          <w:lang w:val="lt-LT" w:eastAsia="lt-LT"/>
        </w:rPr>
        <w:t xml:space="preserve"> kultūros paveldo objektui būtų </w:t>
      </w:r>
      <w:r w:rsidR="004429DC" w:rsidRPr="00F20E1E">
        <w:rPr>
          <w:lang w:val="lt-LT" w:eastAsia="lt-LT"/>
        </w:rPr>
        <w:lastRenderedPageBreak/>
        <w:t xml:space="preserve">galimas </w:t>
      </w:r>
      <w:r w:rsidR="004429DC" w:rsidRPr="00F20E1E">
        <w:rPr>
          <w:lang w:val="lt-LT"/>
        </w:rPr>
        <w:t xml:space="preserve">Lietuvos Respublikos nekilnojamojo kultūros paveldo apsaugos įstatymo, </w:t>
      </w:r>
      <w:r w:rsidR="004429DC" w:rsidRPr="00F20E1E">
        <w:rPr>
          <w:bCs/>
          <w:szCs w:val="24"/>
          <w:lang w:val="lt-LT"/>
        </w:rPr>
        <w:t>Lietuvos Respublikos ž</w:t>
      </w:r>
      <w:r w:rsidR="004429DC" w:rsidRPr="00F20E1E">
        <w:rPr>
          <w:color w:val="000000"/>
          <w:szCs w:val="24"/>
          <w:lang w:val="lt-LT"/>
        </w:rPr>
        <w:t xml:space="preserve">monių palaikų laidojimo įstatymo, </w:t>
      </w:r>
      <w:r w:rsidR="004429DC" w:rsidRPr="00F20E1E">
        <w:rPr>
          <w:color w:val="000000"/>
          <w:lang w:val="lt-LT"/>
        </w:rPr>
        <w:t xml:space="preserve">Nekilnojamosios kultūros vertybės – įvykio, laidojimo ir mitologinės vietos tipinio apsaugos reglamento, patvirtinto Lietuvos Respublikos Vyriausybės 2002 m. sausio 31 d. nutarimu Nr. 152 „Dėl </w:t>
      </w:r>
      <w:r w:rsidR="004429DC" w:rsidRPr="00F20E1E">
        <w:rPr>
          <w:lang w:val="lt-LT"/>
        </w:rPr>
        <w:t>nekilnojamųjų kultūros vertybių atskirų grupių tipinių apsaugos reglamentų patvirtinimo</w:t>
      </w:r>
      <w:r w:rsidR="004429DC" w:rsidRPr="00F20E1E">
        <w:rPr>
          <w:szCs w:val="24"/>
          <w:lang w:val="lt-LT"/>
        </w:rPr>
        <w:t xml:space="preserve">“, </w:t>
      </w:r>
      <w:r w:rsidR="00746567" w:rsidRPr="00F20E1E">
        <w:rPr>
          <w:lang w:val="lt-LT"/>
        </w:rPr>
        <w:t>Taisyklių</w:t>
      </w:r>
      <w:r w:rsidR="004429DC" w:rsidRPr="00F20E1E">
        <w:rPr>
          <w:lang w:val="lt-LT"/>
        </w:rPr>
        <w:t xml:space="preserve">, </w:t>
      </w:r>
      <w:r w:rsidR="004429DC" w:rsidRPr="00F20E1E">
        <w:rPr>
          <w:szCs w:val="24"/>
          <w:lang w:val="lt-LT"/>
        </w:rPr>
        <w:t xml:space="preserve">Paveldo tvarkybos reglamento PTR 2.13.01:2022 „Archeologinio kultūros paveldo tvarkyba“, patvirtinto Lietuvos Respublikos kultūros ministro </w:t>
      </w:r>
      <w:r w:rsidR="004429DC" w:rsidRPr="00F20E1E">
        <w:rPr>
          <w:color w:val="000000"/>
          <w:szCs w:val="24"/>
          <w:lang w:val="lt-LT"/>
        </w:rPr>
        <w:t>2011 m. rugpjūčio 16 d. įsakymu Nr. ĮV-538 (2022 m. sausio 18 d. įsakymo Nr. ĮV-46 redakcija) „</w:t>
      </w:r>
      <w:r w:rsidR="004429DC" w:rsidRPr="00F20E1E">
        <w:rPr>
          <w:szCs w:val="24"/>
          <w:lang w:val="lt-LT"/>
        </w:rPr>
        <w:t>Dėl Paveldo tvarkybos reglamento PTR 2.13.01:2022 „Archeologinio kultūros paveldo tvarkyba“ patvirtinimo”, nustatyta tvarka ekshumavus palaikus ir perlaidojus juos iš palaidojimo viet</w:t>
      </w:r>
      <w:r w:rsidR="00746567" w:rsidRPr="00F20E1E">
        <w:rPr>
          <w:szCs w:val="24"/>
          <w:lang w:val="lt-LT"/>
        </w:rPr>
        <w:t>ų</w:t>
      </w:r>
      <w:r w:rsidR="004429DC" w:rsidRPr="00F20E1E">
        <w:rPr>
          <w:szCs w:val="24"/>
          <w:lang w:val="lt-LT"/>
        </w:rPr>
        <w:t xml:space="preserve"> (laikinų) į veikiančias ar riboto naudojimo kapines.</w:t>
      </w:r>
    </w:p>
    <w:p w14:paraId="4C0FE4D1" w14:textId="6883908F" w:rsidR="004429DC" w:rsidRPr="00F20E1E" w:rsidRDefault="004429DC" w:rsidP="00F175B8">
      <w:pPr>
        <w:pStyle w:val="TableContents"/>
        <w:ind w:firstLine="720"/>
        <w:jc w:val="both"/>
        <w:rPr>
          <w:szCs w:val="24"/>
          <w:lang w:val="lt-LT"/>
        </w:rPr>
      </w:pPr>
      <w:r w:rsidRPr="00F20E1E">
        <w:rPr>
          <w:bCs/>
          <w:szCs w:val="24"/>
          <w:lang w:val="lt-LT"/>
        </w:rPr>
        <w:t>Primename, kad Lietuvos Respublikos ž</w:t>
      </w:r>
      <w:r w:rsidRPr="00F20E1E">
        <w:rPr>
          <w:color w:val="000000"/>
          <w:szCs w:val="24"/>
          <w:lang w:val="lt-LT"/>
        </w:rPr>
        <w:t>monių palaikų laidojimo įstatymo</w:t>
      </w:r>
      <w:r w:rsidRPr="00F20E1E">
        <w:rPr>
          <w:b/>
          <w:color w:val="000000"/>
          <w:szCs w:val="24"/>
          <w:lang w:val="lt-LT"/>
        </w:rPr>
        <w:t xml:space="preserve"> </w:t>
      </w:r>
      <w:r w:rsidRPr="00F20E1E">
        <w:rPr>
          <w:szCs w:val="24"/>
          <w:lang w:val="lt-LT"/>
        </w:rPr>
        <w:t>25 straipsnio 7 dalimi, r</w:t>
      </w:r>
      <w:r w:rsidRPr="00F20E1E">
        <w:rPr>
          <w:color w:val="000000"/>
          <w:szCs w:val="24"/>
          <w:lang w:val="lt-LT"/>
        </w:rPr>
        <w:t xml:space="preserve">ezistentų ir kitų asmenų, nužudytų okupacinių režimų metu, </w:t>
      </w:r>
      <w:r w:rsidRPr="00F20E1E">
        <w:rPr>
          <w:szCs w:val="24"/>
          <w:lang w:val="lt-LT"/>
        </w:rPr>
        <w:t xml:space="preserve">palaikai perkeliami Vyriausybės nustatyta tvarka, suderinus su Vyriausybės įgaliotomis institucijomis. Rezistentų ir kitų asmenų, nužudytų okupacinių režimų metu, palaikų perkėlimo, laidojimo vietų įamžinimo arba pažymėjimo tvarkos aprašas, patvirtintas Lietuvos Respublikos Vyriausybės 2016 m. liepos 20 d. nutarimu Nr. 761 „Dėl Rezistentų ir kitų asmenų, nužudytų okupacinių režimų metu, palaikų perkėlimo, laidojimo vietų įamžinimo arba pažymėjimo tvarkos aprašo patvirtinimo” numato, kad </w:t>
      </w:r>
      <w:r w:rsidRPr="00F20E1E">
        <w:rPr>
          <w:rFonts w:eastAsia="Calibri"/>
          <w:bCs/>
          <w:szCs w:val="24"/>
          <w:lang w:val="lt-LT" w:eastAsia="lt-LT"/>
        </w:rPr>
        <w:t>savivaldyb</w:t>
      </w:r>
      <w:r w:rsidR="00F84752" w:rsidRPr="00F20E1E">
        <w:rPr>
          <w:rFonts w:eastAsia="Calibri"/>
          <w:bCs/>
          <w:szCs w:val="24"/>
          <w:lang w:val="lt-LT" w:eastAsia="lt-LT"/>
        </w:rPr>
        <w:t>ių</w:t>
      </w:r>
      <w:r w:rsidRPr="00F20E1E">
        <w:rPr>
          <w:rFonts w:eastAsia="Calibri"/>
          <w:bCs/>
          <w:szCs w:val="24"/>
          <w:lang w:val="lt-LT" w:eastAsia="lt-LT"/>
        </w:rPr>
        <w:t xml:space="preserve"> vykdomo</w:t>
      </w:r>
      <w:r w:rsidR="00F84752" w:rsidRPr="00F20E1E">
        <w:rPr>
          <w:rFonts w:eastAsia="Calibri"/>
          <w:bCs/>
          <w:szCs w:val="24"/>
          <w:lang w:val="lt-LT" w:eastAsia="lt-LT"/>
        </w:rPr>
        <w:t>sios</w:t>
      </w:r>
      <w:r w:rsidRPr="00F20E1E">
        <w:rPr>
          <w:rFonts w:eastAsia="Calibri"/>
          <w:bCs/>
          <w:szCs w:val="24"/>
          <w:lang w:val="lt-LT" w:eastAsia="lt-LT"/>
        </w:rPr>
        <w:t xml:space="preserve"> institucij</w:t>
      </w:r>
      <w:r w:rsidR="00F84752" w:rsidRPr="00F20E1E">
        <w:rPr>
          <w:rFonts w:eastAsia="Calibri"/>
          <w:bCs/>
          <w:szCs w:val="24"/>
          <w:lang w:val="lt-LT" w:eastAsia="lt-LT"/>
        </w:rPr>
        <w:t>os</w:t>
      </w:r>
      <w:r w:rsidRPr="00F20E1E">
        <w:rPr>
          <w:rFonts w:eastAsia="Calibri"/>
          <w:bCs/>
          <w:szCs w:val="24"/>
          <w:lang w:val="lt-LT" w:eastAsia="lt-LT"/>
        </w:rPr>
        <w:t>, prireikus perkelti palaikus, įamžinti arba pažymėti laidojimo vietą, turi sudaryti laikiną</w:t>
      </w:r>
      <w:r w:rsidR="00F84752" w:rsidRPr="00F20E1E">
        <w:rPr>
          <w:rFonts w:eastAsia="Calibri"/>
          <w:bCs/>
          <w:szCs w:val="24"/>
          <w:lang w:val="lt-LT" w:eastAsia="lt-LT"/>
        </w:rPr>
        <w:t>sias</w:t>
      </w:r>
      <w:r w:rsidRPr="00F20E1E">
        <w:rPr>
          <w:rFonts w:eastAsia="Calibri"/>
          <w:bCs/>
          <w:szCs w:val="24"/>
          <w:lang w:val="lt-LT" w:eastAsia="lt-LT"/>
        </w:rPr>
        <w:t xml:space="preserve"> Palaikų perkėlimo, laidojimo vietos įamžinimo arba pažymėjimo komisij</w:t>
      </w:r>
      <w:r w:rsidR="00F84752" w:rsidRPr="00F20E1E">
        <w:rPr>
          <w:rFonts w:eastAsia="Calibri"/>
          <w:bCs/>
          <w:szCs w:val="24"/>
          <w:lang w:val="lt-LT" w:eastAsia="lt-LT"/>
        </w:rPr>
        <w:t>as (toliau – Komisij</w:t>
      </w:r>
      <w:r w:rsidR="00865154">
        <w:rPr>
          <w:rFonts w:eastAsia="Calibri"/>
          <w:bCs/>
          <w:szCs w:val="24"/>
          <w:lang w:val="lt-LT" w:eastAsia="lt-LT"/>
        </w:rPr>
        <w:t>a</w:t>
      </w:r>
      <w:r w:rsidR="00F84752" w:rsidRPr="00F20E1E">
        <w:rPr>
          <w:rFonts w:eastAsia="Calibri"/>
          <w:bCs/>
          <w:szCs w:val="24"/>
          <w:lang w:val="lt-LT" w:eastAsia="lt-LT"/>
        </w:rPr>
        <w:t>)</w:t>
      </w:r>
      <w:r w:rsidRPr="00F20E1E">
        <w:rPr>
          <w:rFonts w:eastAsia="Calibri"/>
          <w:bCs/>
          <w:szCs w:val="24"/>
          <w:lang w:val="lt-LT" w:eastAsia="lt-LT"/>
        </w:rPr>
        <w:t>, į kuri</w:t>
      </w:r>
      <w:r w:rsidR="00F84752" w:rsidRPr="00F20E1E">
        <w:rPr>
          <w:rFonts w:eastAsia="Calibri"/>
          <w:bCs/>
          <w:szCs w:val="24"/>
          <w:lang w:val="lt-LT" w:eastAsia="lt-LT"/>
        </w:rPr>
        <w:t>ų</w:t>
      </w:r>
      <w:r w:rsidRPr="00F20E1E">
        <w:rPr>
          <w:rFonts w:eastAsia="Calibri"/>
          <w:bCs/>
          <w:szCs w:val="24"/>
          <w:lang w:val="lt-LT" w:eastAsia="lt-LT"/>
        </w:rPr>
        <w:t xml:space="preserve"> sudėtį įtraukiami savivaldyb</w:t>
      </w:r>
      <w:r w:rsidR="00F84752" w:rsidRPr="00F20E1E">
        <w:rPr>
          <w:rFonts w:eastAsia="Calibri"/>
          <w:bCs/>
          <w:szCs w:val="24"/>
          <w:lang w:val="lt-LT" w:eastAsia="lt-LT"/>
        </w:rPr>
        <w:t>ių</w:t>
      </w:r>
      <w:r w:rsidRPr="00F20E1E">
        <w:rPr>
          <w:rFonts w:eastAsia="Calibri"/>
          <w:bCs/>
          <w:szCs w:val="24"/>
          <w:lang w:val="lt-LT" w:eastAsia="lt-LT"/>
        </w:rPr>
        <w:t>, Lietuvos gyventojų genocido ir rezistencijos tyrimo centro, Lietuvos laisvės kovotojų organizacijų, kitų suinteresuotų institucijų, įstaigų ir organizacijų atstovai</w:t>
      </w:r>
      <w:r w:rsidRPr="00F20E1E">
        <w:rPr>
          <w:rFonts w:eastAsia="Calibri"/>
          <w:szCs w:val="24"/>
          <w:lang w:val="lt-LT" w:eastAsia="lt-LT"/>
        </w:rPr>
        <w:t xml:space="preserve"> ir, jeigu nustatyta rastų palaikų asmens tapatybė, – šio asmens giminaičiai (toliau – giminaičiai), jeigu jų yra ir žinoma jų gyvenamoji vieta. Komisij</w:t>
      </w:r>
      <w:r w:rsidR="00A336EF" w:rsidRPr="00F20E1E">
        <w:rPr>
          <w:rFonts w:eastAsia="Calibri"/>
          <w:szCs w:val="24"/>
          <w:lang w:val="lt-LT" w:eastAsia="lt-LT"/>
        </w:rPr>
        <w:t>os</w:t>
      </w:r>
      <w:r w:rsidRPr="00F20E1E">
        <w:rPr>
          <w:rFonts w:eastAsia="Calibri"/>
          <w:szCs w:val="24"/>
          <w:lang w:val="lt-LT" w:eastAsia="lt-LT"/>
        </w:rPr>
        <w:t>, įvertinusi</w:t>
      </w:r>
      <w:r w:rsidR="00A336EF" w:rsidRPr="00F20E1E">
        <w:rPr>
          <w:rFonts w:eastAsia="Calibri"/>
          <w:szCs w:val="24"/>
          <w:lang w:val="lt-LT" w:eastAsia="lt-LT"/>
        </w:rPr>
        <w:t>os</w:t>
      </w:r>
      <w:r w:rsidRPr="00F20E1E">
        <w:rPr>
          <w:rFonts w:eastAsia="Calibri"/>
          <w:szCs w:val="24"/>
          <w:lang w:val="lt-LT" w:eastAsia="lt-LT"/>
        </w:rPr>
        <w:t xml:space="preserve"> gautą informaciją, pateikia </w:t>
      </w:r>
      <w:r w:rsidRPr="00F20E1E">
        <w:rPr>
          <w:rFonts w:eastAsia="Calibri"/>
          <w:bCs/>
          <w:szCs w:val="24"/>
          <w:lang w:val="lt-LT" w:eastAsia="lt-LT"/>
        </w:rPr>
        <w:t>savivaldyb</w:t>
      </w:r>
      <w:r w:rsidR="00A336EF" w:rsidRPr="00F20E1E">
        <w:rPr>
          <w:rFonts w:eastAsia="Calibri"/>
          <w:bCs/>
          <w:szCs w:val="24"/>
          <w:lang w:val="lt-LT" w:eastAsia="lt-LT"/>
        </w:rPr>
        <w:t>ių</w:t>
      </w:r>
      <w:r w:rsidRPr="00F20E1E">
        <w:rPr>
          <w:rFonts w:eastAsia="Calibri"/>
          <w:bCs/>
          <w:szCs w:val="24"/>
          <w:lang w:val="lt-LT" w:eastAsia="lt-LT"/>
        </w:rPr>
        <w:t xml:space="preserve"> vykdom</w:t>
      </w:r>
      <w:r w:rsidR="00A336EF" w:rsidRPr="00F20E1E">
        <w:rPr>
          <w:rFonts w:eastAsia="Calibri"/>
          <w:bCs/>
          <w:szCs w:val="24"/>
          <w:lang w:val="lt-LT" w:eastAsia="lt-LT"/>
        </w:rPr>
        <w:t>osioms</w:t>
      </w:r>
      <w:r w:rsidRPr="00F20E1E">
        <w:rPr>
          <w:rFonts w:eastAsia="Calibri"/>
          <w:bCs/>
          <w:szCs w:val="24"/>
          <w:lang w:val="lt-LT" w:eastAsia="lt-LT"/>
        </w:rPr>
        <w:t xml:space="preserve"> institucij</w:t>
      </w:r>
      <w:r w:rsidR="00A336EF" w:rsidRPr="00F20E1E">
        <w:rPr>
          <w:rFonts w:eastAsia="Calibri"/>
          <w:bCs/>
          <w:szCs w:val="24"/>
          <w:lang w:val="lt-LT" w:eastAsia="lt-LT"/>
        </w:rPr>
        <w:t>oms</w:t>
      </w:r>
      <w:r w:rsidRPr="00F20E1E">
        <w:rPr>
          <w:rFonts w:eastAsia="Calibri"/>
          <w:bCs/>
          <w:szCs w:val="24"/>
          <w:lang w:val="lt-LT" w:eastAsia="lt-LT"/>
        </w:rPr>
        <w:t xml:space="preserve"> siūlymus </w:t>
      </w:r>
      <w:r w:rsidRPr="00F20E1E">
        <w:rPr>
          <w:rFonts w:eastAsia="Calibri"/>
          <w:szCs w:val="24"/>
          <w:lang w:val="lt-LT" w:eastAsia="lt-LT"/>
        </w:rPr>
        <w:t xml:space="preserve">dėl palaikų perkėlimo, </w:t>
      </w:r>
      <w:r w:rsidRPr="00F20E1E">
        <w:rPr>
          <w:rFonts w:eastAsia="Calibri"/>
          <w:bCs/>
          <w:szCs w:val="24"/>
          <w:lang w:val="lt-LT" w:eastAsia="lt-LT"/>
        </w:rPr>
        <w:t>laidojimo vietos įamžinimo arba pažymėjimo</w:t>
      </w:r>
      <w:r w:rsidRPr="00F20E1E">
        <w:rPr>
          <w:rFonts w:eastAsia="Calibri"/>
          <w:szCs w:val="24"/>
          <w:lang w:val="lt-LT" w:eastAsia="lt-LT"/>
        </w:rPr>
        <w:t>. Savivaldyb</w:t>
      </w:r>
      <w:r w:rsidR="00A336EF" w:rsidRPr="00F20E1E">
        <w:rPr>
          <w:rFonts w:eastAsia="Calibri"/>
          <w:szCs w:val="24"/>
          <w:lang w:val="lt-LT" w:eastAsia="lt-LT"/>
        </w:rPr>
        <w:t>ių</w:t>
      </w:r>
      <w:r w:rsidRPr="00F20E1E">
        <w:rPr>
          <w:rFonts w:eastAsia="Calibri"/>
          <w:szCs w:val="24"/>
          <w:lang w:val="lt-LT" w:eastAsia="lt-LT"/>
        </w:rPr>
        <w:t xml:space="preserve"> vykdomo</w:t>
      </w:r>
      <w:r w:rsidR="00A336EF" w:rsidRPr="00F20E1E">
        <w:rPr>
          <w:rFonts w:eastAsia="Calibri"/>
          <w:szCs w:val="24"/>
          <w:lang w:val="lt-LT" w:eastAsia="lt-LT"/>
        </w:rPr>
        <w:t>sios</w:t>
      </w:r>
      <w:r w:rsidRPr="00F20E1E">
        <w:rPr>
          <w:rFonts w:eastAsia="Calibri"/>
          <w:szCs w:val="24"/>
          <w:lang w:val="lt-LT" w:eastAsia="lt-LT"/>
        </w:rPr>
        <w:t xml:space="preserve"> institucij</w:t>
      </w:r>
      <w:r w:rsidR="00A336EF" w:rsidRPr="00F20E1E">
        <w:rPr>
          <w:rFonts w:eastAsia="Calibri"/>
          <w:szCs w:val="24"/>
          <w:lang w:val="lt-LT" w:eastAsia="lt-LT"/>
        </w:rPr>
        <w:t>os</w:t>
      </w:r>
      <w:r w:rsidRPr="00F20E1E">
        <w:rPr>
          <w:rFonts w:eastAsia="Calibri"/>
          <w:szCs w:val="24"/>
          <w:lang w:val="lt-LT" w:eastAsia="lt-LT"/>
        </w:rPr>
        <w:t xml:space="preserve"> priima sprendim</w:t>
      </w:r>
      <w:r w:rsidR="00A336EF" w:rsidRPr="00F20E1E">
        <w:rPr>
          <w:rFonts w:eastAsia="Calibri"/>
          <w:szCs w:val="24"/>
          <w:lang w:val="lt-LT" w:eastAsia="lt-LT"/>
        </w:rPr>
        <w:t>us</w:t>
      </w:r>
      <w:r w:rsidRPr="00F20E1E">
        <w:rPr>
          <w:rFonts w:eastAsia="Calibri"/>
          <w:szCs w:val="24"/>
          <w:lang w:val="lt-LT" w:eastAsia="lt-LT"/>
        </w:rPr>
        <w:t xml:space="preserve"> dėl palaikų perkėlimo, </w:t>
      </w:r>
      <w:r w:rsidRPr="00F20E1E">
        <w:rPr>
          <w:rFonts w:eastAsia="Calibri"/>
          <w:bCs/>
          <w:szCs w:val="24"/>
          <w:lang w:val="lt-LT" w:eastAsia="lt-LT"/>
        </w:rPr>
        <w:t>laidojimo vietos įamžinimo arba pažymėjimo ir organizuoja jų vykdymą, prieš tai projekt</w:t>
      </w:r>
      <w:r w:rsidR="00A336EF" w:rsidRPr="00F20E1E">
        <w:rPr>
          <w:rFonts w:eastAsia="Calibri"/>
          <w:bCs/>
          <w:szCs w:val="24"/>
          <w:lang w:val="lt-LT" w:eastAsia="lt-LT"/>
        </w:rPr>
        <w:t>us</w:t>
      </w:r>
      <w:r w:rsidRPr="00F20E1E">
        <w:rPr>
          <w:rFonts w:eastAsia="Calibri"/>
          <w:bCs/>
          <w:szCs w:val="24"/>
          <w:lang w:val="lt-LT" w:eastAsia="lt-LT"/>
        </w:rPr>
        <w:t xml:space="preserve"> suderinusi</w:t>
      </w:r>
      <w:r w:rsidR="00A336EF" w:rsidRPr="00F20E1E">
        <w:rPr>
          <w:rFonts w:eastAsia="Calibri"/>
          <w:bCs/>
          <w:szCs w:val="24"/>
          <w:lang w:val="lt-LT" w:eastAsia="lt-LT"/>
        </w:rPr>
        <w:t>os</w:t>
      </w:r>
      <w:r w:rsidRPr="00F20E1E">
        <w:rPr>
          <w:rFonts w:eastAsia="Calibri"/>
          <w:bCs/>
          <w:szCs w:val="24"/>
          <w:lang w:val="lt-LT" w:eastAsia="lt-LT"/>
        </w:rPr>
        <w:t xml:space="preserve"> su suinteresuotomis institucijomis. </w:t>
      </w:r>
    </w:p>
    <w:p w14:paraId="66BD0108" w14:textId="38E25497" w:rsidR="00C2590B" w:rsidRPr="00F20E1E" w:rsidRDefault="00A336EF" w:rsidP="00F175B8">
      <w:pPr>
        <w:pStyle w:val="TableContents"/>
        <w:ind w:firstLine="720"/>
        <w:jc w:val="both"/>
        <w:rPr>
          <w:szCs w:val="24"/>
          <w:lang w:val="lt-LT"/>
        </w:rPr>
      </w:pPr>
      <w:r w:rsidRPr="00F20E1E">
        <w:rPr>
          <w:lang w:val="lt-LT"/>
        </w:rPr>
        <w:t xml:space="preserve">Kol Antrojo pasaulinio karo Sovietų Sąjungos karių palaidojimo vietų </w:t>
      </w:r>
      <w:r w:rsidRPr="00F20E1E">
        <w:rPr>
          <w:lang w:val="lt-LT" w:eastAsia="lt-LT"/>
        </w:rPr>
        <w:t>vertingosios savybės yra palaikai, panaikinti apsaugą šiems kultūros paveldo objektams nėra galimybių.</w:t>
      </w:r>
    </w:p>
    <w:p w14:paraId="13FA1D9F" w14:textId="76BA6E01" w:rsidR="008F4EED" w:rsidRPr="00F20E1E" w:rsidRDefault="00313158" w:rsidP="00F175B8">
      <w:pPr>
        <w:ind w:firstLine="720"/>
        <w:jc w:val="both"/>
        <w:rPr>
          <w:szCs w:val="24"/>
          <w:lang w:val="lt-LT"/>
        </w:rPr>
      </w:pPr>
      <w:r w:rsidRPr="00F20E1E">
        <w:rPr>
          <w:szCs w:val="24"/>
          <w:lang w:val="lt-LT"/>
        </w:rPr>
        <w:t>Kilus papildomiems klausimams</w:t>
      </w:r>
      <w:r w:rsidR="00776A24" w:rsidRPr="00F20E1E">
        <w:rPr>
          <w:szCs w:val="24"/>
          <w:lang w:val="lt-LT"/>
        </w:rPr>
        <w:t xml:space="preserve"> dėl apskaitos duomenų</w:t>
      </w:r>
      <w:r w:rsidRPr="00F20E1E">
        <w:rPr>
          <w:szCs w:val="24"/>
          <w:lang w:val="lt-LT"/>
        </w:rPr>
        <w:t>, prašome kreiptis</w:t>
      </w:r>
      <w:r w:rsidR="00776A24" w:rsidRPr="00F20E1E">
        <w:rPr>
          <w:szCs w:val="24"/>
          <w:lang w:val="lt-LT"/>
        </w:rPr>
        <w:t xml:space="preserve"> prašome kreiptis el. paštu </w:t>
      </w:r>
      <w:hyperlink r:id="rId11" w:history="1">
        <w:r w:rsidR="00776A24" w:rsidRPr="00F20E1E">
          <w:rPr>
            <w:rStyle w:val="Hipersaitas"/>
            <w:szCs w:val="24"/>
            <w:lang w:val="lt-LT"/>
          </w:rPr>
          <w:t>augustina.kuriliene@kpd.lt</w:t>
        </w:r>
      </w:hyperlink>
      <w:r w:rsidR="00776A24" w:rsidRPr="00F20E1E">
        <w:rPr>
          <w:szCs w:val="24"/>
          <w:lang w:val="lt-LT"/>
        </w:rPr>
        <w:t xml:space="preserve"> arba tel. nr. (8 5) 273 11 01,</w:t>
      </w:r>
      <w:r w:rsidRPr="00F20E1E">
        <w:rPr>
          <w:szCs w:val="24"/>
          <w:lang w:val="lt-LT"/>
        </w:rPr>
        <w:t xml:space="preserve"> </w:t>
      </w:r>
      <w:r w:rsidR="00776A24" w:rsidRPr="00F20E1E">
        <w:rPr>
          <w:szCs w:val="24"/>
          <w:lang w:val="lt-LT"/>
        </w:rPr>
        <w:t xml:space="preserve">kitais atvejais – </w:t>
      </w:r>
      <w:r w:rsidRPr="00F20E1E">
        <w:rPr>
          <w:szCs w:val="24"/>
          <w:lang w:val="lt-LT"/>
        </w:rPr>
        <w:t>į Departamento teritorin</w:t>
      </w:r>
      <w:r w:rsidR="00776A24" w:rsidRPr="00F20E1E">
        <w:rPr>
          <w:szCs w:val="24"/>
          <w:lang w:val="lt-LT"/>
        </w:rPr>
        <w:t>ius</w:t>
      </w:r>
      <w:r w:rsidRPr="00F20E1E">
        <w:rPr>
          <w:szCs w:val="24"/>
          <w:lang w:val="lt-LT"/>
        </w:rPr>
        <w:t xml:space="preserve"> skyri</w:t>
      </w:r>
      <w:r w:rsidR="00776A24" w:rsidRPr="00F20E1E">
        <w:rPr>
          <w:szCs w:val="24"/>
          <w:lang w:val="lt-LT"/>
        </w:rPr>
        <w:t>us</w:t>
      </w:r>
      <w:r w:rsidRPr="00F20E1E">
        <w:rPr>
          <w:szCs w:val="24"/>
          <w:lang w:val="lt-LT"/>
        </w:rPr>
        <w:t xml:space="preserve">. </w:t>
      </w:r>
    </w:p>
    <w:p w14:paraId="57A0413A" w14:textId="60786D03" w:rsidR="00346F9B" w:rsidRPr="00F20E1E" w:rsidRDefault="00346F9B" w:rsidP="002634A8">
      <w:pPr>
        <w:tabs>
          <w:tab w:val="left" w:pos="567"/>
          <w:tab w:val="left" w:pos="1134"/>
        </w:tabs>
        <w:ind w:firstLine="720"/>
        <w:jc w:val="both"/>
        <w:rPr>
          <w:szCs w:val="24"/>
          <w:lang w:val="lt-LT" w:eastAsia="en-US"/>
        </w:rPr>
      </w:pPr>
    </w:p>
    <w:p w14:paraId="06FAE87B" w14:textId="6C336ECA" w:rsidR="00346F9B" w:rsidRPr="00F20E1E" w:rsidRDefault="00346F9B" w:rsidP="002634A8">
      <w:pPr>
        <w:tabs>
          <w:tab w:val="left" w:pos="567"/>
          <w:tab w:val="left" w:pos="1134"/>
        </w:tabs>
        <w:ind w:firstLine="720"/>
        <w:jc w:val="both"/>
        <w:rPr>
          <w:szCs w:val="24"/>
          <w:lang w:val="lt-LT" w:eastAsia="en-US"/>
        </w:rPr>
      </w:pPr>
    </w:p>
    <w:p w14:paraId="0C2E3957" w14:textId="77777777" w:rsidR="009758E7" w:rsidRPr="00F20E1E" w:rsidRDefault="009758E7" w:rsidP="002634A8">
      <w:pPr>
        <w:tabs>
          <w:tab w:val="left" w:pos="567"/>
          <w:tab w:val="left" w:pos="1134"/>
        </w:tabs>
        <w:ind w:firstLine="720"/>
        <w:jc w:val="both"/>
        <w:rPr>
          <w:szCs w:val="24"/>
          <w:lang w:val="lt-LT" w:eastAsia="en-US"/>
        </w:rPr>
      </w:pPr>
    </w:p>
    <w:p w14:paraId="1085F9C9" w14:textId="7ECC5A0E" w:rsidR="00642957" w:rsidRPr="00F20E1E" w:rsidRDefault="00642957" w:rsidP="005E4AE9">
      <w:pPr>
        <w:suppressAutoHyphens w:val="0"/>
        <w:autoSpaceDE w:val="0"/>
        <w:autoSpaceDN w:val="0"/>
        <w:adjustRightInd w:val="0"/>
        <w:ind w:firstLine="851"/>
        <w:jc w:val="both"/>
        <w:rPr>
          <w:szCs w:val="24"/>
          <w:lang w:val="lt-LT"/>
        </w:rPr>
      </w:pPr>
    </w:p>
    <w:p w14:paraId="088FADFF" w14:textId="0CEA976C" w:rsidR="003E1F04" w:rsidRPr="00F20E1E" w:rsidRDefault="003A0F08" w:rsidP="003E1F04">
      <w:pPr>
        <w:rPr>
          <w:szCs w:val="24"/>
          <w:lang w:val="lt-LT"/>
        </w:rPr>
      </w:pPr>
      <w:r w:rsidRPr="00F20E1E">
        <w:rPr>
          <w:szCs w:val="24"/>
          <w:lang w:val="lt-LT"/>
        </w:rPr>
        <w:t>Direktorius</w:t>
      </w:r>
      <w:r w:rsidRPr="00F20E1E">
        <w:rPr>
          <w:szCs w:val="24"/>
          <w:lang w:val="lt-LT"/>
        </w:rPr>
        <w:tab/>
      </w:r>
      <w:r w:rsidR="003E1F04" w:rsidRPr="00F20E1E">
        <w:rPr>
          <w:szCs w:val="24"/>
          <w:lang w:val="lt-LT"/>
        </w:rPr>
        <w:t xml:space="preserve"> </w:t>
      </w:r>
      <w:r w:rsidR="003E1F04" w:rsidRPr="00F20E1E">
        <w:rPr>
          <w:szCs w:val="24"/>
          <w:lang w:val="lt-LT"/>
        </w:rPr>
        <w:tab/>
        <w:t xml:space="preserve">            </w:t>
      </w:r>
      <w:r w:rsidR="003E1F04" w:rsidRPr="00F20E1E">
        <w:rPr>
          <w:szCs w:val="24"/>
          <w:lang w:val="lt-LT"/>
        </w:rPr>
        <w:tab/>
      </w:r>
      <w:r w:rsidR="003E1F04" w:rsidRPr="00F20E1E">
        <w:rPr>
          <w:szCs w:val="24"/>
          <w:lang w:val="lt-LT"/>
        </w:rPr>
        <w:tab/>
        <w:t xml:space="preserve">               </w:t>
      </w:r>
      <w:r w:rsidR="003E1F04" w:rsidRPr="00F20E1E">
        <w:rPr>
          <w:szCs w:val="24"/>
          <w:lang w:val="lt-LT"/>
        </w:rPr>
        <w:tab/>
        <w:t xml:space="preserve">             </w:t>
      </w:r>
      <w:r w:rsidR="00784DF6">
        <w:rPr>
          <w:szCs w:val="24"/>
          <w:lang w:val="lt-LT"/>
        </w:rPr>
        <w:tab/>
      </w:r>
      <w:r w:rsidRPr="00F20E1E">
        <w:rPr>
          <w:szCs w:val="24"/>
          <w:lang w:val="lt-LT"/>
        </w:rPr>
        <w:t>Vidmantas Bezaras</w:t>
      </w:r>
    </w:p>
    <w:p w14:paraId="7303BDAE" w14:textId="5FA1AFFC" w:rsidR="00A24431" w:rsidRPr="00F20E1E" w:rsidRDefault="00A24431" w:rsidP="00412CCB">
      <w:pPr>
        <w:rPr>
          <w:szCs w:val="24"/>
          <w:lang w:val="lt-LT"/>
        </w:rPr>
      </w:pPr>
    </w:p>
    <w:p w14:paraId="359C0C31" w14:textId="3E8C7849" w:rsidR="00A24431" w:rsidRPr="00F20E1E" w:rsidRDefault="00A24431">
      <w:pPr>
        <w:rPr>
          <w:szCs w:val="24"/>
          <w:lang w:val="lt-LT"/>
        </w:rPr>
      </w:pPr>
    </w:p>
    <w:p w14:paraId="2DEF631C" w14:textId="74E3C161" w:rsidR="00A24431" w:rsidRPr="00F20E1E" w:rsidRDefault="00A24431">
      <w:pPr>
        <w:rPr>
          <w:szCs w:val="24"/>
          <w:lang w:val="lt-LT"/>
        </w:rPr>
      </w:pPr>
    </w:p>
    <w:p w14:paraId="3262F6B9" w14:textId="55766C78" w:rsidR="0078507D" w:rsidRPr="00F20E1E" w:rsidRDefault="0078507D">
      <w:pPr>
        <w:rPr>
          <w:szCs w:val="24"/>
          <w:lang w:val="lt-LT"/>
        </w:rPr>
      </w:pPr>
    </w:p>
    <w:p w14:paraId="3B2C2118" w14:textId="26FE65F8" w:rsidR="003E1F04" w:rsidRPr="00F20E1E" w:rsidRDefault="003E1F04">
      <w:pPr>
        <w:rPr>
          <w:szCs w:val="24"/>
          <w:lang w:val="lt-LT"/>
        </w:rPr>
      </w:pPr>
    </w:p>
    <w:p w14:paraId="089AA32E" w14:textId="2F72C526" w:rsidR="003E1F04" w:rsidRPr="00F20E1E" w:rsidRDefault="003E1F04">
      <w:pPr>
        <w:rPr>
          <w:szCs w:val="24"/>
          <w:lang w:val="lt-LT"/>
        </w:rPr>
      </w:pPr>
    </w:p>
    <w:p w14:paraId="61020770" w14:textId="25E43C37" w:rsidR="003E1F04" w:rsidRPr="00F20E1E" w:rsidRDefault="003E1F04">
      <w:pPr>
        <w:rPr>
          <w:szCs w:val="24"/>
          <w:lang w:val="lt-LT"/>
        </w:rPr>
      </w:pPr>
    </w:p>
    <w:p w14:paraId="3FE6CC5E" w14:textId="143B0971" w:rsidR="003E1F04" w:rsidRPr="00F20E1E" w:rsidRDefault="003E1F04">
      <w:pPr>
        <w:rPr>
          <w:szCs w:val="24"/>
          <w:lang w:val="lt-LT"/>
        </w:rPr>
      </w:pPr>
    </w:p>
    <w:p w14:paraId="37E5FEFB" w14:textId="0D73AF3D" w:rsidR="003E1F04" w:rsidRPr="00F20E1E" w:rsidRDefault="003E1F04">
      <w:pPr>
        <w:rPr>
          <w:szCs w:val="24"/>
          <w:lang w:val="lt-LT"/>
        </w:rPr>
      </w:pPr>
    </w:p>
    <w:p w14:paraId="50FF6B39" w14:textId="71C13C46" w:rsidR="003E1F04" w:rsidRPr="00F20E1E" w:rsidRDefault="003E1F04">
      <w:pPr>
        <w:rPr>
          <w:szCs w:val="24"/>
          <w:lang w:val="lt-LT"/>
        </w:rPr>
      </w:pPr>
    </w:p>
    <w:p w14:paraId="55E50C7F" w14:textId="4F1D3A87" w:rsidR="003A0F08" w:rsidRPr="00F20E1E" w:rsidRDefault="003A0F08">
      <w:pPr>
        <w:rPr>
          <w:szCs w:val="24"/>
          <w:lang w:val="lt-LT"/>
        </w:rPr>
      </w:pPr>
    </w:p>
    <w:p w14:paraId="249743E5" w14:textId="77777777" w:rsidR="003E1F04" w:rsidRPr="00F20E1E" w:rsidRDefault="003E1F04">
      <w:pPr>
        <w:rPr>
          <w:szCs w:val="24"/>
          <w:lang w:val="lt-LT"/>
        </w:rPr>
      </w:pPr>
    </w:p>
    <w:p w14:paraId="317F3F0C" w14:textId="77777777" w:rsidR="003E1F04" w:rsidRPr="00F20E1E" w:rsidRDefault="003E1F04">
      <w:pPr>
        <w:rPr>
          <w:szCs w:val="24"/>
          <w:lang w:val="lt-LT"/>
        </w:rPr>
      </w:pPr>
    </w:p>
    <w:p w14:paraId="35AB6B69" w14:textId="77777777" w:rsidR="00FF465A" w:rsidRPr="00F20E1E" w:rsidRDefault="00FF465A">
      <w:pPr>
        <w:rPr>
          <w:szCs w:val="24"/>
          <w:lang w:val="lt-LT"/>
        </w:rPr>
      </w:pPr>
    </w:p>
    <w:p w14:paraId="4BAF7ED6" w14:textId="03699AEB" w:rsidR="00A24431" w:rsidRPr="00F20E1E" w:rsidRDefault="00A24431">
      <w:pPr>
        <w:rPr>
          <w:rStyle w:val="Hipersaitas"/>
          <w:szCs w:val="24"/>
          <w:lang w:val="lt-LT"/>
        </w:rPr>
      </w:pPr>
      <w:r w:rsidRPr="00F20E1E">
        <w:rPr>
          <w:szCs w:val="24"/>
          <w:lang w:val="lt-LT"/>
        </w:rPr>
        <w:t xml:space="preserve">Augustina Kurilienė, tel. </w:t>
      </w:r>
      <w:r w:rsidR="008F5FC5" w:rsidRPr="00F20E1E">
        <w:rPr>
          <w:szCs w:val="24"/>
          <w:lang w:val="lt-LT"/>
        </w:rPr>
        <w:t>(</w:t>
      </w:r>
      <w:r w:rsidRPr="00F20E1E">
        <w:rPr>
          <w:szCs w:val="24"/>
          <w:lang w:val="lt-LT"/>
        </w:rPr>
        <w:t>8 5)</w:t>
      </w:r>
      <w:r w:rsidRPr="00F20E1E">
        <w:rPr>
          <w:color w:val="FF0000"/>
          <w:szCs w:val="24"/>
          <w:lang w:val="lt-LT"/>
        </w:rPr>
        <w:t xml:space="preserve"> </w:t>
      </w:r>
      <w:r w:rsidR="00BE32BB" w:rsidRPr="00F20E1E">
        <w:rPr>
          <w:szCs w:val="24"/>
          <w:lang w:val="lt-LT"/>
        </w:rPr>
        <w:t>273 11 01</w:t>
      </w:r>
      <w:r w:rsidRPr="00F20E1E">
        <w:rPr>
          <w:szCs w:val="24"/>
          <w:lang w:val="lt-LT"/>
        </w:rPr>
        <w:t xml:space="preserve">, e. p. </w:t>
      </w:r>
      <w:hyperlink r:id="rId12" w:history="1">
        <w:r w:rsidRPr="00F20E1E">
          <w:rPr>
            <w:rStyle w:val="Hipersaitas"/>
            <w:szCs w:val="24"/>
            <w:lang w:val="lt-LT"/>
          </w:rPr>
          <w:t>augustina.kuriliene@kpd.lt</w:t>
        </w:r>
      </w:hyperlink>
    </w:p>
    <w:sectPr w:rsidR="00A24431" w:rsidRPr="00F20E1E" w:rsidSect="009758E7">
      <w:footerReference w:type="first" r:id="rId13"/>
      <w:pgSz w:w="11906" w:h="16838"/>
      <w:pgMar w:top="1020" w:right="656" w:bottom="72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5A19E" w14:textId="77777777" w:rsidR="00D410D6" w:rsidRDefault="00D410D6">
      <w:r>
        <w:separator/>
      </w:r>
    </w:p>
  </w:endnote>
  <w:endnote w:type="continuationSeparator" w:id="0">
    <w:p w14:paraId="3618BFB5" w14:textId="77777777" w:rsidR="00D410D6" w:rsidRDefault="00D4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26E1" w14:textId="449E14B7" w:rsidR="00BD3A9D" w:rsidRDefault="00A24431">
    <w:pPr>
      <w:pStyle w:val="Porat"/>
      <w:rPr>
        <w:lang w:val="lt-LT"/>
      </w:rPr>
    </w:pPr>
    <w:r>
      <w:rPr>
        <w:noProof/>
        <w:lang w:val="lt-LT" w:eastAsia="lt-LT"/>
      </w:rPr>
      <mc:AlternateContent>
        <mc:Choice Requires="wps">
          <w:drawing>
            <wp:anchor distT="0" distB="0" distL="114300" distR="114300" simplePos="0" relativeHeight="251657728" behindDoc="0" locked="0" layoutInCell="1" allowOverlap="1" wp14:anchorId="474C815A" wp14:editId="3F1931F3">
              <wp:simplePos x="0" y="0"/>
              <wp:positionH relativeFrom="margin">
                <wp:posOffset>-354330</wp:posOffset>
              </wp:positionH>
              <wp:positionV relativeFrom="paragraph">
                <wp:posOffset>-335915</wp:posOffset>
              </wp:positionV>
              <wp:extent cx="6653530" cy="5200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520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EACD4" w14:textId="2294E85E" w:rsidR="003E646E" w:rsidRDefault="003E646E" w:rsidP="00A24431">
                          <w:pPr>
                            <w:pStyle w:val="Porat"/>
                          </w:pPr>
                          <w:r>
                            <w:t>__________________________________________________________________________________________</w:t>
                          </w:r>
                        </w:p>
                        <w:p w14:paraId="50190B92" w14:textId="2051A5F9" w:rsidR="003E646E" w:rsidRPr="007D50C7" w:rsidRDefault="003E646E" w:rsidP="003E646E">
                          <w:pPr>
                            <w:pStyle w:val="Porat"/>
                            <w:jc w:val="center"/>
                          </w:pPr>
                          <w:r w:rsidRPr="007D50C7">
                            <w:t>Biudžetinė įstaiga. Juridinių asmenų registras. Kodas 188692688. Šnipiškių g. 3, LT-09309 Vilnius.</w:t>
                          </w:r>
                        </w:p>
                        <w:p w14:paraId="6BDDAF9C" w14:textId="41229B32" w:rsidR="003E646E" w:rsidRPr="007D50C7" w:rsidRDefault="003E646E" w:rsidP="003E646E">
                          <w:pPr>
                            <w:pStyle w:val="Porat"/>
                            <w:jc w:val="center"/>
                          </w:pPr>
                          <w:r w:rsidRPr="007D50C7">
                            <w:t>Tel. (8 5) 273 4256. Faks. (8 5) 272 4058. El. p. centras@kpd.lt</w:t>
                          </w:r>
                        </w:p>
                        <w:p w14:paraId="32A6F021" w14:textId="77777777" w:rsidR="00BD3A9D" w:rsidRDefault="00BD3A9D">
                          <w:r>
                            <w:t xml:space="preserve">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74C815A" id="_x0000_t202" coordsize="21600,21600" o:spt="202" path="m,l,21600r21600,l21600,xe">
              <v:stroke joinstyle="miter"/>
              <v:path gradientshapeok="t" o:connecttype="rect"/>
            </v:shapetype>
            <v:shape id="Text Box 1" o:spid="_x0000_s1027" type="#_x0000_t202" style="position:absolute;margin-left:-27.9pt;margin-top:-26.45pt;width:523.9pt;height:40.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AG9Q+AEAAOMDAAAOAAAAZHJzL2Uyb0RvYy54bWysU9tu2zAMfR+wfxD0vjhpkaAz4hRdigwD ugvQ7QNkWb5gsqiRSuzs60fJaZq1b8P8IFCidMhzeLy+HXsrDgapA1fIxWwuhXEaqs41hfzxfffu RgoKylXKgjOFPBqSt5u3b9aDz80VtGArg4JBHOWDL2Qbgs+zjHRrekUz8MZxsgbsVeAtNlmFamD0 3mZX8/kqGwArj6ANEZ/eT0m5Sfh1bXT4WtdkgrCF5N5CWjGtZVyzzVrlDSrfdvrUhvqHLnrVOS56 hrpXQYk9dq+g+k4jENRhpqHPoK47bRIHZrOYv2Dz2CpvEhcWh/xZJvp/sPrL4dF/QxHGDzDyABMJ 8g+gf5JwsG2Va8wdIgytURUXXkTJssFTfnoapaacIkg5fIaKh6z2ARLQWGMfVWGegtF5AMez6GYM QvPharW8Xl5zSnNuGWe6TCVU/vTaI4WPBnoRg0IiDzWhq8MDhdiNyp+uxGIEtqt2nbVpg025tSgO ig2wS9/01vpWTafJBIxB09WE9xeGdRHJQcScysWTpEGkPQkQxnLkZNSihOrIaiBMbuO/g4MW8LcU AzutkPRrr9BIYT85VnT1/mbJzryI8SIuL2LlNMMUMkgxhdswWXnvsWtarjLNz8EdT6DukjjPHZ16 ZicljifXR6te7tOt539z8wcAAP//AwBQSwMEFAAGAAgAAAAhAKL6zI/eAAAACgEAAA8AAABkcnMv ZG93bnJldi54bWxMj0FPg0AQhe8m/Q+baeKtXcRgBFmapklPvWht1OPCjkBkZym7pfDvnZ709ibv 5c338s1kOzHi4FtHCh7WEQikypmWagWn9/3qGYQPmozuHKGCGT1sisVdrjPjrvSG4zHUgkvIZ1pB E0KfSemrBq32a9cjsfftBqsDn0MtzaCvXG47GUfRk7S6Jf7Q6B53DVY/x4tV8HhIbDm3h/P8iR/n ML7OX0Q7pe6X0/YFRMAp/IXhhs/oUDBT6S5kvOgUrJKE0cNNxCkITqRpzOtKBXEagSxy+X9C8QsA AP//AwBQSwECLQAUAAYACAAAACEAtoM4kv4AAADhAQAAEwAAAAAAAAAAAAAAAAAAAAAAW0NvbnRl bnRfVHlwZXNdLnhtbFBLAQItABQABgAIAAAAIQA4/SH/1gAAAJQBAAALAAAAAAAAAAAAAAAAAC8B AABfcmVscy8ucmVsc1BLAQItABQABgAIAAAAIQDRAG9Q+AEAAOMDAAAOAAAAAAAAAAAAAAAAAC4C AABkcnMvZTJvRG9jLnhtbFBLAQItABQABgAIAAAAIQCi+syP3gAAAAoBAAAPAAAAAAAAAAAAAAAA AFIEAABkcnMvZG93bnJldi54bWxQSwUGAAAAAAQABADzAAAAXQUAAAAA " stroked="f">
              <v:fill opacity="0"/>
              <v:textbox inset=".55pt,.55pt,.55pt,.55pt">
                <w:txbxContent>
                  <w:p w14:paraId="495EACD4" w14:textId="2294E85E" w:rsidR="003E646E" w:rsidRDefault="003E646E" w:rsidP="00A24431">
                    <w:pPr>
                      <w:pStyle w:val="Porat"/>
                    </w:pPr>
                    <w:r>
                      <w:t>__________________________________________________________________________________________</w:t>
                    </w:r>
                  </w:p>
                  <w:p w14:paraId="50190B92" w14:textId="2051A5F9" w:rsidR="003E646E" w:rsidRPr="007D50C7" w:rsidRDefault="003E646E" w:rsidP="003E646E">
                    <w:pPr>
                      <w:pStyle w:val="Porat"/>
                      <w:jc w:val="center"/>
                    </w:pPr>
                    <w:proofErr w:type="spellStart"/>
                    <w:r w:rsidRPr="007D50C7">
                      <w:t>Biudžetinė</w:t>
                    </w:r>
                    <w:proofErr w:type="spellEnd"/>
                    <w:r w:rsidRPr="007D50C7">
                      <w:t xml:space="preserve"> </w:t>
                    </w:r>
                    <w:proofErr w:type="spellStart"/>
                    <w:r w:rsidRPr="007D50C7">
                      <w:t>įstaiga</w:t>
                    </w:r>
                    <w:proofErr w:type="spellEnd"/>
                    <w:r w:rsidRPr="007D50C7">
                      <w:t xml:space="preserve">. </w:t>
                    </w:r>
                    <w:proofErr w:type="spellStart"/>
                    <w:r w:rsidRPr="007D50C7">
                      <w:t>Juridinių</w:t>
                    </w:r>
                    <w:proofErr w:type="spellEnd"/>
                    <w:r w:rsidRPr="007D50C7">
                      <w:t xml:space="preserve"> </w:t>
                    </w:r>
                    <w:proofErr w:type="spellStart"/>
                    <w:r w:rsidRPr="007D50C7">
                      <w:t>asmenų</w:t>
                    </w:r>
                    <w:proofErr w:type="spellEnd"/>
                    <w:r w:rsidRPr="007D50C7">
                      <w:t xml:space="preserve"> </w:t>
                    </w:r>
                    <w:proofErr w:type="spellStart"/>
                    <w:r w:rsidRPr="007D50C7">
                      <w:t>registras</w:t>
                    </w:r>
                    <w:proofErr w:type="spellEnd"/>
                    <w:r w:rsidRPr="007D50C7">
                      <w:t xml:space="preserve">. </w:t>
                    </w:r>
                    <w:proofErr w:type="spellStart"/>
                    <w:r w:rsidRPr="007D50C7">
                      <w:t>Kodas</w:t>
                    </w:r>
                    <w:proofErr w:type="spellEnd"/>
                    <w:r w:rsidRPr="007D50C7">
                      <w:t xml:space="preserve"> 188692688. </w:t>
                    </w:r>
                    <w:proofErr w:type="spellStart"/>
                    <w:r w:rsidRPr="007D50C7">
                      <w:t>Šnipiškių</w:t>
                    </w:r>
                    <w:proofErr w:type="spellEnd"/>
                    <w:r w:rsidRPr="007D50C7">
                      <w:t xml:space="preserve"> g. 3, LT-09309 Vilnius.</w:t>
                    </w:r>
                  </w:p>
                  <w:p w14:paraId="6BDDAF9C" w14:textId="41229B32" w:rsidR="003E646E" w:rsidRPr="007D50C7" w:rsidRDefault="003E646E" w:rsidP="003E646E">
                    <w:pPr>
                      <w:pStyle w:val="Porat"/>
                      <w:jc w:val="center"/>
                    </w:pPr>
                    <w:r w:rsidRPr="007D50C7">
                      <w:t xml:space="preserve">Tel. (8 5) 273 4256. </w:t>
                    </w:r>
                    <w:proofErr w:type="spellStart"/>
                    <w:r w:rsidRPr="007D50C7">
                      <w:t>Faks</w:t>
                    </w:r>
                    <w:proofErr w:type="spellEnd"/>
                    <w:r w:rsidRPr="007D50C7">
                      <w:t>. (8 5) 272 4058. El. p. centras@kpd.lt</w:t>
                    </w:r>
                  </w:p>
                  <w:p w14:paraId="32A6F021" w14:textId="77777777" w:rsidR="00BD3A9D" w:rsidRDefault="00BD3A9D">
                    <w:r>
                      <w:t xml:space="preserve"> </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824C1" w14:textId="77777777" w:rsidR="00D410D6" w:rsidRDefault="00D410D6">
      <w:r>
        <w:separator/>
      </w:r>
    </w:p>
  </w:footnote>
  <w:footnote w:type="continuationSeparator" w:id="0">
    <w:p w14:paraId="0ACC564C" w14:textId="77777777" w:rsidR="00D410D6" w:rsidRDefault="00D41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280E37"/>
    <w:multiLevelType w:val="hybridMultilevel"/>
    <w:tmpl w:val="281895CC"/>
    <w:lvl w:ilvl="0" w:tplc="24645E7C">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B3486"/>
    <w:multiLevelType w:val="hybridMultilevel"/>
    <w:tmpl w:val="07324EA2"/>
    <w:lvl w:ilvl="0" w:tplc="DA14B3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31"/>
    <w:rsid w:val="00006739"/>
    <w:rsid w:val="000113E9"/>
    <w:rsid w:val="00026772"/>
    <w:rsid w:val="00047768"/>
    <w:rsid w:val="00062DAA"/>
    <w:rsid w:val="00071F41"/>
    <w:rsid w:val="00083A45"/>
    <w:rsid w:val="00095DEA"/>
    <w:rsid w:val="00097302"/>
    <w:rsid w:val="000A026A"/>
    <w:rsid w:val="000A3C79"/>
    <w:rsid w:val="000B644A"/>
    <w:rsid w:val="00126223"/>
    <w:rsid w:val="001515E4"/>
    <w:rsid w:val="00152CEC"/>
    <w:rsid w:val="001802BA"/>
    <w:rsid w:val="0019414C"/>
    <w:rsid w:val="001B25B2"/>
    <w:rsid w:val="001F1E50"/>
    <w:rsid w:val="001F7987"/>
    <w:rsid w:val="0025246B"/>
    <w:rsid w:val="00260890"/>
    <w:rsid w:val="0026262C"/>
    <w:rsid w:val="002634A8"/>
    <w:rsid w:val="00267D67"/>
    <w:rsid w:val="0027268A"/>
    <w:rsid w:val="002B7F58"/>
    <w:rsid w:val="00313158"/>
    <w:rsid w:val="00326534"/>
    <w:rsid w:val="00346F9B"/>
    <w:rsid w:val="00357690"/>
    <w:rsid w:val="00361837"/>
    <w:rsid w:val="00374D2B"/>
    <w:rsid w:val="003A0474"/>
    <w:rsid w:val="003A0F08"/>
    <w:rsid w:val="003B092E"/>
    <w:rsid w:val="003B2FF8"/>
    <w:rsid w:val="003C118C"/>
    <w:rsid w:val="003E1F04"/>
    <w:rsid w:val="003E646E"/>
    <w:rsid w:val="00412CCB"/>
    <w:rsid w:val="00437109"/>
    <w:rsid w:val="00440A45"/>
    <w:rsid w:val="004429DC"/>
    <w:rsid w:val="00445013"/>
    <w:rsid w:val="00463E00"/>
    <w:rsid w:val="0046484F"/>
    <w:rsid w:val="004814F4"/>
    <w:rsid w:val="004B0BDD"/>
    <w:rsid w:val="004B2F39"/>
    <w:rsid w:val="004B4DDF"/>
    <w:rsid w:val="004D51DF"/>
    <w:rsid w:val="004E63A5"/>
    <w:rsid w:val="005029E2"/>
    <w:rsid w:val="00516ADC"/>
    <w:rsid w:val="0053022B"/>
    <w:rsid w:val="00530BFF"/>
    <w:rsid w:val="00541B64"/>
    <w:rsid w:val="00545244"/>
    <w:rsid w:val="005643D1"/>
    <w:rsid w:val="00586004"/>
    <w:rsid w:val="005B0E2B"/>
    <w:rsid w:val="005C1CD6"/>
    <w:rsid w:val="005E4618"/>
    <w:rsid w:val="005E4AE9"/>
    <w:rsid w:val="005E4FDD"/>
    <w:rsid w:val="00610F2B"/>
    <w:rsid w:val="00623FFE"/>
    <w:rsid w:val="00625692"/>
    <w:rsid w:val="00641852"/>
    <w:rsid w:val="00642957"/>
    <w:rsid w:val="00644BC8"/>
    <w:rsid w:val="006551E4"/>
    <w:rsid w:val="006B12F5"/>
    <w:rsid w:val="006C355B"/>
    <w:rsid w:val="006C6752"/>
    <w:rsid w:val="0072505B"/>
    <w:rsid w:val="00725173"/>
    <w:rsid w:val="00725BE2"/>
    <w:rsid w:val="00730D86"/>
    <w:rsid w:val="0073333C"/>
    <w:rsid w:val="00744126"/>
    <w:rsid w:val="00746567"/>
    <w:rsid w:val="00762612"/>
    <w:rsid w:val="00776583"/>
    <w:rsid w:val="00776A24"/>
    <w:rsid w:val="00784DF6"/>
    <w:rsid w:val="0078507D"/>
    <w:rsid w:val="007A6212"/>
    <w:rsid w:val="007B5451"/>
    <w:rsid w:val="007C0BFE"/>
    <w:rsid w:val="00807F47"/>
    <w:rsid w:val="008602F3"/>
    <w:rsid w:val="00865154"/>
    <w:rsid w:val="00873533"/>
    <w:rsid w:val="008A35E7"/>
    <w:rsid w:val="008B20DF"/>
    <w:rsid w:val="008D253B"/>
    <w:rsid w:val="008F4EED"/>
    <w:rsid w:val="008F5FC5"/>
    <w:rsid w:val="009214D5"/>
    <w:rsid w:val="009329A1"/>
    <w:rsid w:val="0093631F"/>
    <w:rsid w:val="009618F5"/>
    <w:rsid w:val="00963104"/>
    <w:rsid w:val="009758E7"/>
    <w:rsid w:val="00980939"/>
    <w:rsid w:val="00980B89"/>
    <w:rsid w:val="00983179"/>
    <w:rsid w:val="00991757"/>
    <w:rsid w:val="009E714D"/>
    <w:rsid w:val="009F7E02"/>
    <w:rsid w:val="00A11B87"/>
    <w:rsid w:val="00A24431"/>
    <w:rsid w:val="00A336EF"/>
    <w:rsid w:val="00A364CF"/>
    <w:rsid w:val="00A4344C"/>
    <w:rsid w:val="00A52E78"/>
    <w:rsid w:val="00A60800"/>
    <w:rsid w:val="00A77F2E"/>
    <w:rsid w:val="00B33E6F"/>
    <w:rsid w:val="00B40B09"/>
    <w:rsid w:val="00B424BC"/>
    <w:rsid w:val="00B61A53"/>
    <w:rsid w:val="00B76C4C"/>
    <w:rsid w:val="00B7795A"/>
    <w:rsid w:val="00B80556"/>
    <w:rsid w:val="00B91C25"/>
    <w:rsid w:val="00BA3D52"/>
    <w:rsid w:val="00BA70FF"/>
    <w:rsid w:val="00BB05E7"/>
    <w:rsid w:val="00BB2CD5"/>
    <w:rsid w:val="00BB58BC"/>
    <w:rsid w:val="00BC175F"/>
    <w:rsid w:val="00BD3A9D"/>
    <w:rsid w:val="00BE32BB"/>
    <w:rsid w:val="00BF6500"/>
    <w:rsid w:val="00C15013"/>
    <w:rsid w:val="00C2590B"/>
    <w:rsid w:val="00C82077"/>
    <w:rsid w:val="00CB17D6"/>
    <w:rsid w:val="00CB7E0E"/>
    <w:rsid w:val="00CC364F"/>
    <w:rsid w:val="00CC3EDC"/>
    <w:rsid w:val="00CE48D0"/>
    <w:rsid w:val="00D10BCE"/>
    <w:rsid w:val="00D36E50"/>
    <w:rsid w:val="00D410D6"/>
    <w:rsid w:val="00D43F85"/>
    <w:rsid w:val="00D9625F"/>
    <w:rsid w:val="00DD2899"/>
    <w:rsid w:val="00DE60C6"/>
    <w:rsid w:val="00E24232"/>
    <w:rsid w:val="00E34478"/>
    <w:rsid w:val="00E35A46"/>
    <w:rsid w:val="00E833ED"/>
    <w:rsid w:val="00E91549"/>
    <w:rsid w:val="00EA3043"/>
    <w:rsid w:val="00EA580B"/>
    <w:rsid w:val="00EB30DD"/>
    <w:rsid w:val="00EC58B5"/>
    <w:rsid w:val="00ED7C59"/>
    <w:rsid w:val="00EE3678"/>
    <w:rsid w:val="00F143D5"/>
    <w:rsid w:val="00F175B8"/>
    <w:rsid w:val="00F20E1E"/>
    <w:rsid w:val="00F3126D"/>
    <w:rsid w:val="00F84752"/>
    <w:rsid w:val="00F87B4D"/>
    <w:rsid w:val="00FB384B"/>
    <w:rsid w:val="00FB73C9"/>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A2C853"/>
  <w15:chartTrackingRefBased/>
  <w15:docId w15:val="{3190CEFE-8640-4F76-9331-AE8F16C8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lang w:val="en-GB" w:eastAsia="zh-CN"/>
    </w:rPr>
  </w:style>
  <w:style w:type="paragraph" w:styleId="Antrat1">
    <w:name w:val="heading 1"/>
    <w:basedOn w:val="prastasis"/>
    <w:next w:val="prastasis"/>
    <w:qFormat/>
    <w:pPr>
      <w:keepNext/>
      <w:numPr>
        <w:numId w:val="1"/>
      </w:numPr>
      <w:jc w:val="center"/>
      <w:outlineLvl w:val="0"/>
    </w:pPr>
    <w:rPr>
      <w:b/>
      <w:sz w:val="28"/>
    </w:rPr>
  </w:style>
  <w:style w:type="paragraph" w:styleId="Antrat2">
    <w:name w:val="heading 2"/>
    <w:basedOn w:val="prastasis"/>
    <w:next w:val="prastasis"/>
    <w:qFormat/>
    <w:pPr>
      <w:keepNext/>
      <w:numPr>
        <w:ilvl w:val="1"/>
        <w:numId w:val="1"/>
      </w:numP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next w:val="prastasis"/>
    <w:qFormat/>
    <w:pPr>
      <w:jc w:val="center"/>
    </w:pPr>
    <w:rPr>
      <w:b/>
      <w:sz w:val="28"/>
    </w:rPr>
  </w:style>
  <w:style w:type="paragraph" w:customStyle="1" w:styleId="Index">
    <w:name w:val="Index"/>
    <w:basedOn w:val="prastasis"/>
    <w:pPr>
      <w:suppressLineNumbers/>
    </w:pPr>
    <w:rPr>
      <w:rFonts w:cs="Mangal"/>
    </w:rPr>
  </w:style>
  <w:style w:type="paragraph" w:customStyle="1" w:styleId="HeaderandFooter">
    <w:name w:val="Header and Footer"/>
    <w:basedOn w:val="prastasis"/>
    <w:pPr>
      <w:suppressLineNumbers/>
      <w:tabs>
        <w:tab w:val="center" w:pos="4819"/>
        <w:tab w:val="right" w:pos="9638"/>
      </w:tabs>
    </w:pPr>
  </w:style>
  <w:style w:type="paragraph" w:styleId="Porat">
    <w:name w:val="footer"/>
    <w:basedOn w:val="prastasis"/>
    <w:link w:val="PoratDiagrama"/>
    <w:uiPriority w:val="99"/>
    <w:pPr>
      <w:tabs>
        <w:tab w:val="center" w:pos="4153"/>
        <w:tab w:val="right" w:pos="8306"/>
      </w:tabs>
    </w:pPr>
    <w:rPr>
      <w:sz w:val="20"/>
    </w:rPr>
  </w:style>
  <w:style w:type="paragraph" w:styleId="Antrats">
    <w:name w:val="header"/>
    <w:basedOn w:val="prastasis"/>
    <w:link w:val="AntratsDiagrama"/>
    <w:pPr>
      <w:tabs>
        <w:tab w:val="center" w:pos="4986"/>
        <w:tab w:val="right" w:pos="9972"/>
      </w:tabs>
    </w:pPr>
  </w:style>
  <w:style w:type="paragraph" w:customStyle="1" w:styleId="FrameContents">
    <w:name w:val="Frame Contents"/>
    <w:basedOn w:val="prastasis"/>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TableNormal1">
    <w:name w:val="Table Normal1"/>
    <w:pPr>
      <w:suppressAutoHyphens/>
    </w:pPr>
    <w:rPr>
      <w:rFonts w:ascii="Calibri" w:hAnsi="Calibri" w:cs="Calibri"/>
      <w:sz w:val="22"/>
      <w:szCs w:val="22"/>
      <w:lang w:val="lt-LT" w:eastAsia="lt-LT"/>
    </w:rPr>
  </w:style>
  <w:style w:type="character" w:customStyle="1" w:styleId="PoratDiagrama">
    <w:name w:val="Poraštė Diagrama"/>
    <w:basedOn w:val="Numatytasispastraiposriftas"/>
    <w:link w:val="Porat"/>
    <w:uiPriority w:val="99"/>
    <w:rsid w:val="003E646E"/>
    <w:rPr>
      <w:lang w:val="en-GB" w:eastAsia="zh-CN"/>
    </w:rPr>
  </w:style>
  <w:style w:type="character" w:styleId="Grietas">
    <w:name w:val="Strong"/>
    <w:uiPriority w:val="22"/>
    <w:qFormat/>
    <w:rsid w:val="00A24431"/>
    <w:rPr>
      <w:b/>
      <w:bCs/>
    </w:rPr>
  </w:style>
  <w:style w:type="character" w:customStyle="1" w:styleId="UnresolvedMention1">
    <w:name w:val="Unresolved Mention1"/>
    <w:basedOn w:val="Numatytasispastraiposriftas"/>
    <w:uiPriority w:val="99"/>
    <w:semiHidden/>
    <w:unhideWhenUsed/>
    <w:rsid w:val="008602F3"/>
    <w:rPr>
      <w:color w:val="605E5C"/>
      <w:shd w:val="clear" w:color="auto" w:fill="E1DFDD"/>
    </w:rPr>
  </w:style>
  <w:style w:type="character" w:styleId="Emfaz">
    <w:name w:val="Emphasis"/>
    <w:basedOn w:val="Numatytasispastraiposriftas"/>
    <w:uiPriority w:val="20"/>
    <w:qFormat/>
    <w:rsid w:val="008D253B"/>
    <w:rPr>
      <w:i/>
      <w:iCs/>
    </w:rPr>
  </w:style>
  <w:style w:type="paragraph" w:styleId="Debesliotekstas">
    <w:name w:val="Balloon Text"/>
    <w:basedOn w:val="prastasis"/>
    <w:link w:val="DebesliotekstasDiagrama"/>
    <w:uiPriority w:val="99"/>
    <w:semiHidden/>
    <w:unhideWhenUsed/>
    <w:rsid w:val="00C150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5013"/>
    <w:rPr>
      <w:rFonts w:ascii="Segoe UI" w:hAnsi="Segoe UI" w:cs="Segoe UI"/>
      <w:sz w:val="18"/>
      <w:szCs w:val="18"/>
      <w:lang w:val="en-GB" w:eastAsia="zh-CN"/>
    </w:rPr>
  </w:style>
  <w:style w:type="character" w:customStyle="1" w:styleId="AntratsDiagrama">
    <w:name w:val="Antraštės Diagrama"/>
    <w:link w:val="Antrats"/>
    <w:rsid w:val="00FF465A"/>
    <w:rPr>
      <w:sz w:val="24"/>
      <w:lang w:val="en-GB" w:eastAsia="zh-CN"/>
    </w:rPr>
  </w:style>
  <w:style w:type="paragraph" w:styleId="Betarp">
    <w:name w:val="No Spacing"/>
    <w:uiPriority w:val="1"/>
    <w:qFormat/>
    <w:rsid w:val="000113E9"/>
    <w:pPr>
      <w:suppressAutoHyphens/>
    </w:pPr>
    <w:rPr>
      <w:sz w:val="24"/>
      <w:lang w:val="en-GB" w:eastAsia="zh-CN"/>
    </w:rPr>
  </w:style>
  <w:style w:type="character" w:customStyle="1" w:styleId="UnresolvedMention">
    <w:name w:val="Unresolved Mention"/>
    <w:basedOn w:val="Numatytasispastraiposriftas"/>
    <w:uiPriority w:val="99"/>
    <w:semiHidden/>
    <w:unhideWhenUsed/>
    <w:rsid w:val="002B7F58"/>
    <w:rPr>
      <w:color w:val="605E5C"/>
      <w:shd w:val="clear" w:color="auto" w:fill="E1DFDD"/>
    </w:rPr>
  </w:style>
  <w:style w:type="paragraph" w:styleId="Sraopastraipa">
    <w:name w:val="List Paragraph"/>
    <w:basedOn w:val="prastasis"/>
    <w:uiPriority w:val="34"/>
    <w:qFormat/>
    <w:rsid w:val="002B7F58"/>
    <w:pPr>
      <w:suppressAutoHyphens w:val="0"/>
      <w:spacing w:after="200" w:line="276" w:lineRule="auto"/>
      <w:ind w:left="720"/>
      <w:contextualSpacing/>
    </w:pPr>
    <w:rPr>
      <w:rFonts w:ascii="Calibri" w:eastAsia="Calibri" w:hAnsi="Calibri"/>
      <w:sz w:val="22"/>
      <w:szCs w:val="22"/>
      <w:lang w:val="lt-LT" w:eastAsia="en-US"/>
    </w:rPr>
  </w:style>
  <w:style w:type="paragraph" w:customStyle="1" w:styleId="Style7">
    <w:name w:val="Style7"/>
    <w:basedOn w:val="prastasis"/>
    <w:uiPriority w:val="99"/>
    <w:rsid w:val="002B7F58"/>
    <w:pPr>
      <w:widowControl w:val="0"/>
      <w:suppressAutoHyphens w:val="0"/>
      <w:autoSpaceDE w:val="0"/>
      <w:autoSpaceDN w:val="0"/>
      <w:adjustRightInd w:val="0"/>
      <w:jc w:val="both"/>
    </w:pPr>
    <w:rPr>
      <w:rFonts w:ascii="Arial" w:eastAsiaTheme="minorEastAsia" w:hAnsi="Arial" w:cs="Arial"/>
      <w:szCs w:val="24"/>
      <w:lang w:val="en-US" w:eastAsia="en-US"/>
    </w:rPr>
  </w:style>
  <w:style w:type="character" w:customStyle="1" w:styleId="FontStyle38">
    <w:name w:val="Font Style38"/>
    <w:basedOn w:val="Numatytasispastraiposriftas"/>
    <w:uiPriority w:val="99"/>
    <w:rsid w:val="002B7F58"/>
    <w:rPr>
      <w:rFonts w:ascii="Arial" w:hAnsi="Arial" w:cs="Arial"/>
      <w:b/>
      <w:bCs/>
      <w:sz w:val="22"/>
      <w:szCs w:val="22"/>
    </w:rPr>
  </w:style>
  <w:style w:type="character" w:customStyle="1" w:styleId="ng-binding">
    <w:name w:val="ng-binding"/>
    <w:basedOn w:val="Numatytasispastraiposriftas"/>
    <w:rsid w:val="00047768"/>
  </w:style>
  <w:style w:type="paragraph" w:customStyle="1" w:styleId="v1msonormal">
    <w:name w:val="v1msonormal"/>
    <w:basedOn w:val="prastasis"/>
    <w:rsid w:val="00E24232"/>
    <w:pPr>
      <w:suppressAutoHyphens w:val="0"/>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8565">
      <w:bodyDiv w:val="1"/>
      <w:marLeft w:val="0"/>
      <w:marRight w:val="0"/>
      <w:marTop w:val="0"/>
      <w:marBottom w:val="0"/>
      <w:divBdr>
        <w:top w:val="none" w:sz="0" w:space="0" w:color="auto"/>
        <w:left w:val="none" w:sz="0" w:space="0" w:color="auto"/>
        <w:bottom w:val="none" w:sz="0" w:space="0" w:color="auto"/>
        <w:right w:val="none" w:sz="0" w:space="0" w:color="auto"/>
      </w:divBdr>
    </w:div>
    <w:div w:id="250047153">
      <w:bodyDiv w:val="1"/>
      <w:marLeft w:val="0"/>
      <w:marRight w:val="0"/>
      <w:marTop w:val="0"/>
      <w:marBottom w:val="0"/>
      <w:divBdr>
        <w:top w:val="none" w:sz="0" w:space="0" w:color="auto"/>
        <w:left w:val="none" w:sz="0" w:space="0" w:color="auto"/>
        <w:bottom w:val="none" w:sz="0" w:space="0" w:color="auto"/>
        <w:right w:val="none" w:sz="0" w:space="0" w:color="auto"/>
      </w:divBdr>
    </w:div>
    <w:div w:id="1097872747">
      <w:bodyDiv w:val="1"/>
      <w:marLeft w:val="0"/>
      <w:marRight w:val="0"/>
      <w:marTop w:val="0"/>
      <w:marBottom w:val="0"/>
      <w:divBdr>
        <w:top w:val="none" w:sz="0" w:space="0" w:color="auto"/>
        <w:left w:val="none" w:sz="0" w:space="0" w:color="auto"/>
        <w:bottom w:val="none" w:sz="0" w:space="0" w:color="auto"/>
        <w:right w:val="none" w:sz="0" w:space="0" w:color="auto"/>
      </w:divBdr>
    </w:div>
    <w:div w:id="1352150293">
      <w:bodyDiv w:val="1"/>
      <w:marLeft w:val="0"/>
      <w:marRight w:val="0"/>
      <w:marTop w:val="0"/>
      <w:marBottom w:val="0"/>
      <w:divBdr>
        <w:top w:val="none" w:sz="0" w:space="0" w:color="auto"/>
        <w:left w:val="none" w:sz="0" w:space="0" w:color="auto"/>
        <w:bottom w:val="none" w:sz="0" w:space="0" w:color="auto"/>
        <w:right w:val="none" w:sz="0" w:space="0" w:color="auto"/>
      </w:divBdr>
    </w:div>
    <w:div w:id="1437943756">
      <w:bodyDiv w:val="1"/>
      <w:marLeft w:val="0"/>
      <w:marRight w:val="0"/>
      <w:marTop w:val="0"/>
      <w:marBottom w:val="0"/>
      <w:divBdr>
        <w:top w:val="none" w:sz="0" w:space="0" w:color="auto"/>
        <w:left w:val="none" w:sz="0" w:space="0" w:color="auto"/>
        <w:bottom w:val="none" w:sz="0" w:space="0" w:color="auto"/>
        <w:right w:val="none" w:sz="0" w:space="0" w:color="auto"/>
      </w:divBdr>
    </w:div>
    <w:div w:id="1780684936">
      <w:bodyDiv w:val="1"/>
      <w:marLeft w:val="0"/>
      <w:marRight w:val="0"/>
      <w:marTop w:val="0"/>
      <w:marBottom w:val="0"/>
      <w:divBdr>
        <w:top w:val="none" w:sz="0" w:space="0" w:color="auto"/>
        <w:left w:val="none" w:sz="0" w:space="0" w:color="auto"/>
        <w:bottom w:val="none" w:sz="0" w:space="0" w:color="auto"/>
        <w:right w:val="none" w:sz="0" w:space="0" w:color="auto"/>
      </w:divBdr>
    </w:div>
    <w:div w:id="20351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gustina.kuriliene@kpd.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gustina.kuriliene@kpd.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grutoparkas.lt" TargetMode="External"/><Relationship Id="rId4" Type="http://schemas.openxmlformats.org/officeDocument/2006/relationships/settings" Target="settings.xml"/><Relationship Id="rId9" Type="http://schemas.openxmlformats.org/officeDocument/2006/relationships/hyperlink" Target="mailto:grutoparkas1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65389-5371-4539-B7AC-6A39AD1A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6782</Words>
  <Characters>3867</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Raimonda Misevičienė</cp:lastModifiedBy>
  <cp:revision>2</cp:revision>
  <cp:lastPrinted>2020-05-08T09:09:00Z</cp:lastPrinted>
  <dcterms:created xsi:type="dcterms:W3CDTF">2022-07-21T13:36:00Z</dcterms:created>
  <dcterms:modified xsi:type="dcterms:W3CDTF">2022-07-21T13:36:00Z</dcterms:modified>
</cp:coreProperties>
</file>