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507"/>
        <w:gridCol w:w="4253"/>
        <w:gridCol w:w="5386"/>
        <w:gridCol w:w="1560"/>
      </w:tblGrid>
      <w:tr w:rsidR="00123D4F" w:rsidTr="00B634C1">
        <w:trPr>
          <w:trHeight w:val="974"/>
        </w:trPr>
        <w:tc>
          <w:tcPr>
            <w:tcW w:w="570" w:type="dxa"/>
            <w:vMerge w:val="restart"/>
            <w:shd w:val="clear" w:color="auto" w:fill="auto"/>
            <w:vAlign w:val="center"/>
            <w:hideMark/>
          </w:tcPr>
          <w:p w:rsidR="00123D4F" w:rsidRDefault="00123D4F" w:rsidP="00EC74B1">
            <w:pPr>
              <w:jc w:val="center"/>
              <w:rPr>
                <w:b/>
                <w:bCs/>
                <w:color w:val="000000"/>
                <w:szCs w:val="24"/>
              </w:rPr>
            </w:pPr>
            <w:bookmarkStart w:id="0" w:name="_GoBack"/>
            <w:bookmarkEnd w:id="0"/>
            <w:r>
              <w:rPr>
                <w:b/>
                <w:bCs/>
                <w:color w:val="000000"/>
                <w:szCs w:val="24"/>
              </w:rPr>
              <w:t>Eil. Nr.</w:t>
            </w:r>
          </w:p>
        </w:tc>
        <w:tc>
          <w:tcPr>
            <w:tcW w:w="3507" w:type="dxa"/>
            <w:vMerge w:val="restart"/>
            <w:shd w:val="clear" w:color="auto" w:fill="auto"/>
            <w:noWrap/>
            <w:vAlign w:val="center"/>
            <w:hideMark/>
          </w:tcPr>
          <w:p w:rsidR="00123D4F" w:rsidRDefault="00123D4F" w:rsidP="00EC74B1">
            <w:pPr>
              <w:jc w:val="center"/>
              <w:rPr>
                <w:b/>
                <w:bCs/>
                <w:color w:val="000000"/>
                <w:szCs w:val="24"/>
              </w:rPr>
            </w:pPr>
            <w:r>
              <w:rPr>
                <w:b/>
                <w:bCs/>
                <w:color w:val="000000"/>
                <w:szCs w:val="24"/>
              </w:rPr>
              <w:t>Veiklos rezultatų vertinimo rodikliai (toliau – rodiklis)</w:t>
            </w:r>
          </w:p>
        </w:tc>
        <w:tc>
          <w:tcPr>
            <w:tcW w:w="4253" w:type="dxa"/>
            <w:tcBorders>
              <w:top w:val="single" w:sz="4" w:space="0" w:color="auto"/>
            </w:tcBorders>
            <w:shd w:val="clear" w:color="auto" w:fill="auto"/>
            <w:vAlign w:val="center"/>
          </w:tcPr>
          <w:p w:rsidR="00123D4F" w:rsidRDefault="00123D4F" w:rsidP="00BA3DB4">
            <w:pPr>
              <w:jc w:val="center"/>
              <w:rPr>
                <w:b/>
                <w:bCs/>
                <w:color w:val="000000"/>
                <w:szCs w:val="24"/>
              </w:rPr>
            </w:pPr>
            <w:r>
              <w:rPr>
                <w:b/>
                <w:bCs/>
                <w:color w:val="000000"/>
                <w:szCs w:val="24"/>
              </w:rPr>
              <w:t xml:space="preserve">Pirminio lygio asmens sveikatos priežiūros paslaugas teikiančios LNSS viešosios įstaigos </w:t>
            </w:r>
          </w:p>
        </w:tc>
        <w:tc>
          <w:tcPr>
            <w:tcW w:w="5386" w:type="dxa"/>
            <w:tcBorders>
              <w:top w:val="single" w:sz="4" w:space="0" w:color="auto"/>
            </w:tcBorders>
            <w:shd w:val="clear" w:color="auto" w:fill="auto"/>
            <w:vAlign w:val="center"/>
          </w:tcPr>
          <w:p w:rsidR="00123D4F" w:rsidRDefault="00123D4F" w:rsidP="00123D4F">
            <w:pPr>
              <w:ind w:left="39"/>
              <w:jc w:val="center"/>
              <w:rPr>
                <w:b/>
                <w:bCs/>
                <w:color w:val="000000"/>
                <w:szCs w:val="24"/>
              </w:rPr>
            </w:pPr>
            <w:r>
              <w:rPr>
                <w:b/>
                <w:bCs/>
                <w:color w:val="000000"/>
                <w:szCs w:val="24"/>
              </w:rPr>
              <w:t>VšĮ Panevėžio</w:t>
            </w:r>
            <w:r w:rsidR="008A21F8">
              <w:rPr>
                <w:b/>
                <w:bCs/>
                <w:color w:val="000000"/>
                <w:szCs w:val="24"/>
              </w:rPr>
              <w:t xml:space="preserve"> palaikomojo gydymo ir slaugos ligoninė</w:t>
            </w:r>
            <w:r>
              <w:rPr>
                <w:b/>
                <w:bCs/>
                <w:color w:val="000000"/>
                <w:szCs w:val="24"/>
              </w:rPr>
              <w:t xml:space="preserve"> </w:t>
            </w:r>
          </w:p>
        </w:tc>
        <w:tc>
          <w:tcPr>
            <w:tcW w:w="1560" w:type="dxa"/>
            <w:tcBorders>
              <w:top w:val="single" w:sz="4" w:space="0" w:color="auto"/>
              <w:right w:val="single" w:sz="4" w:space="0" w:color="auto"/>
            </w:tcBorders>
            <w:shd w:val="clear" w:color="auto" w:fill="auto"/>
            <w:vAlign w:val="center"/>
          </w:tcPr>
          <w:p w:rsidR="00123D4F" w:rsidRDefault="00123D4F" w:rsidP="00EC74B1">
            <w:pPr>
              <w:jc w:val="center"/>
              <w:rPr>
                <w:b/>
                <w:bCs/>
                <w:color w:val="000000"/>
                <w:szCs w:val="24"/>
              </w:rPr>
            </w:pPr>
            <w:r>
              <w:rPr>
                <w:b/>
                <w:bCs/>
                <w:color w:val="000000"/>
                <w:szCs w:val="24"/>
              </w:rPr>
              <w:t>Surinkta balų</w:t>
            </w:r>
          </w:p>
        </w:tc>
      </w:tr>
      <w:tr w:rsidR="00123D4F" w:rsidTr="00B634C1">
        <w:trPr>
          <w:trHeight w:val="323"/>
        </w:trPr>
        <w:tc>
          <w:tcPr>
            <w:tcW w:w="570" w:type="dxa"/>
            <w:vMerge/>
            <w:shd w:val="clear" w:color="auto" w:fill="auto"/>
            <w:hideMark/>
          </w:tcPr>
          <w:p w:rsidR="00123D4F" w:rsidRDefault="00123D4F" w:rsidP="00EC74B1">
            <w:pPr>
              <w:rPr>
                <w:b/>
                <w:bCs/>
                <w:color w:val="000000"/>
                <w:szCs w:val="24"/>
              </w:rPr>
            </w:pPr>
          </w:p>
        </w:tc>
        <w:tc>
          <w:tcPr>
            <w:tcW w:w="3507" w:type="dxa"/>
            <w:vMerge/>
            <w:shd w:val="clear" w:color="auto" w:fill="auto"/>
            <w:hideMark/>
          </w:tcPr>
          <w:p w:rsidR="00123D4F" w:rsidRDefault="00123D4F" w:rsidP="00EC74B1">
            <w:pPr>
              <w:rPr>
                <w:b/>
                <w:bCs/>
                <w:color w:val="000000"/>
                <w:szCs w:val="24"/>
              </w:rPr>
            </w:pPr>
          </w:p>
        </w:tc>
        <w:tc>
          <w:tcPr>
            <w:tcW w:w="4253" w:type="dxa"/>
            <w:shd w:val="clear" w:color="auto" w:fill="auto"/>
          </w:tcPr>
          <w:p w:rsidR="00123D4F" w:rsidRDefault="00123D4F" w:rsidP="00EC74B1">
            <w:pPr>
              <w:jc w:val="center"/>
              <w:rPr>
                <w:b/>
                <w:bCs/>
                <w:color w:val="000000"/>
                <w:szCs w:val="24"/>
              </w:rPr>
            </w:pPr>
            <w:r>
              <w:rPr>
                <w:b/>
                <w:bCs/>
                <w:color w:val="000000"/>
                <w:szCs w:val="24"/>
              </w:rPr>
              <w:t>Siektina reikšmė</w:t>
            </w:r>
          </w:p>
        </w:tc>
        <w:tc>
          <w:tcPr>
            <w:tcW w:w="5386" w:type="dxa"/>
            <w:shd w:val="clear" w:color="auto" w:fill="auto"/>
          </w:tcPr>
          <w:p w:rsidR="00123D4F" w:rsidRDefault="00123D4F" w:rsidP="00EC74B1">
            <w:pPr>
              <w:jc w:val="center"/>
              <w:rPr>
                <w:b/>
                <w:bCs/>
                <w:color w:val="000000"/>
                <w:szCs w:val="24"/>
              </w:rPr>
            </w:pPr>
            <w:r>
              <w:rPr>
                <w:b/>
                <w:bCs/>
                <w:color w:val="000000"/>
                <w:szCs w:val="24"/>
              </w:rPr>
              <w:t>Pasiekta reikšmė</w:t>
            </w:r>
          </w:p>
        </w:tc>
        <w:tc>
          <w:tcPr>
            <w:tcW w:w="1560" w:type="dxa"/>
            <w:tcBorders>
              <w:right w:val="single" w:sz="4" w:space="0" w:color="auto"/>
            </w:tcBorders>
            <w:shd w:val="clear" w:color="auto" w:fill="auto"/>
            <w:noWrap/>
          </w:tcPr>
          <w:p w:rsidR="00123D4F" w:rsidRDefault="00123D4F" w:rsidP="00EC74B1">
            <w:pPr>
              <w:jc w:val="center"/>
              <w:rPr>
                <w:b/>
                <w:bCs/>
                <w:color w:val="000000"/>
                <w:szCs w:val="24"/>
              </w:rPr>
            </w:pPr>
            <w:r>
              <w:rPr>
                <w:b/>
                <w:bCs/>
                <w:color w:val="000000"/>
                <w:szCs w:val="24"/>
              </w:rPr>
              <w:t>Balas</w:t>
            </w:r>
          </w:p>
        </w:tc>
      </w:tr>
      <w:tr w:rsidR="00123D4F" w:rsidTr="00B634C1">
        <w:trPr>
          <w:trHeight w:val="300"/>
        </w:trPr>
        <w:tc>
          <w:tcPr>
            <w:tcW w:w="570" w:type="dxa"/>
            <w:shd w:val="clear" w:color="auto" w:fill="auto"/>
            <w:noWrap/>
            <w:hideMark/>
          </w:tcPr>
          <w:p w:rsidR="00123D4F" w:rsidRDefault="00123D4F" w:rsidP="00EC74B1">
            <w:pPr>
              <w:jc w:val="center"/>
              <w:rPr>
                <w:i/>
                <w:iCs/>
                <w:color w:val="000000"/>
                <w:szCs w:val="24"/>
              </w:rPr>
            </w:pPr>
            <w:r>
              <w:rPr>
                <w:i/>
                <w:iCs/>
                <w:color w:val="000000"/>
                <w:szCs w:val="24"/>
              </w:rPr>
              <w:t>1</w:t>
            </w:r>
          </w:p>
        </w:tc>
        <w:tc>
          <w:tcPr>
            <w:tcW w:w="3507" w:type="dxa"/>
            <w:shd w:val="clear" w:color="auto" w:fill="auto"/>
            <w:noWrap/>
            <w:hideMark/>
          </w:tcPr>
          <w:p w:rsidR="00123D4F" w:rsidRDefault="00123D4F" w:rsidP="00EC74B1">
            <w:pPr>
              <w:jc w:val="center"/>
              <w:rPr>
                <w:i/>
                <w:iCs/>
                <w:color w:val="000000"/>
                <w:szCs w:val="24"/>
              </w:rPr>
            </w:pPr>
            <w:r>
              <w:rPr>
                <w:i/>
                <w:iCs/>
                <w:color w:val="000000"/>
                <w:szCs w:val="24"/>
              </w:rPr>
              <w:t>2</w:t>
            </w:r>
          </w:p>
        </w:tc>
        <w:tc>
          <w:tcPr>
            <w:tcW w:w="4253" w:type="dxa"/>
            <w:shd w:val="clear" w:color="auto" w:fill="auto"/>
            <w:vAlign w:val="center"/>
          </w:tcPr>
          <w:p w:rsidR="00123D4F" w:rsidRDefault="00123D4F" w:rsidP="00EC74B1">
            <w:pPr>
              <w:jc w:val="center"/>
              <w:rPr>
                <w:i/>
                <w:iCs/>
                <w:color w:val="000000"/>
                <w:szCs w:val="24"/>
              </w:rPr>
            </w:pPr>
            <w:r>
              <w:rPr>
                <w:i/>
                <w:iCs/>
                <w:color w:val="000000"/>
                <w:szCs w:val="24"/>
              </w:rPr>
              <w:t>3</w:t>
            </w:r>
          </w:p>
        </w:tc>
        <w:tc>
          <w:tcPr>
            <w:tcW w:w="5386" w:type="dxa"/>
            <w:shd w:val="clear" w:color="auto" w:fill="auto"/>
            <w:noWrap/>
          </w:tcPr>
          <w:p w:rsidR="00123D4F" w:rsidRDefault="00123D4F" w:rsidP="00EC74B1">
            <w:pPr>
              <w:jc w:val="center"/>
              <w:rPr>
                <w:i/>
                <w:iCs/>
                <w:color w:val="000000"/>
                <w:szCs w:val="24"/>
              </w:rPr>
            </w:pPr>
            <w:r>
              <w:rPr>
                <w:i/>
                <w:iCs/>
                <w:color w:val="000000"/>
                <w:szCs w:val="24"/>
              </w:rPr>
              <w:t>4</w:t>
            </w:r>
          </w:p>
        </w:tc>
        <w:tc>
          <w:tcPr>
            <w:tcW w:w="1560" w:type="dxa"/>
            <w:tcBorders>
              <w:right w:val="single" w:sz="4" w:space="0" w:color="auto"/>
            </w:tcBorders>
            <w:shd w:val="clear" w:color="auto" w:fill="auto"/>
            <w:noWrap/>
          </w:tcPr>
          <w:p w:rsidR="00123D4F" w:rsidRDefault="00123D4F" w:rsidP="00EC74B1">
            <w:pPr>
              <w:jc w:val="center"/>
              <w:rPr>
                <w:i/>
                <w:iCs/>
                <w:color w:val="000000"/>
                <w:szCs w:val="24"/>
              </w:rPr>
            </w:pPr>
            <w:r>
              <w:rPr>
                <w:i/>
                <w:iCs/>
                <w:color w:val="000000"/>
                <w:szCs w:val="24"/>
              </w:rPr>
              <w:t>5</w:t>
            </w:r>
          </w:p>
        </w:tc>
      </w:tr>
      <w:tr w:rsidR="00123D4F" w:rsidTr="00123D4F">
        <w:trPr>
          <w:gridAfter w:val="4"/>
          <w:wAfter w:w="14706" w:type="dxa"/>
          <w:trHeight w:val="300"/>
        </w:trPr>
        <w:tc>
          <w:tcPr>
            <w:tcW w:w="570" w:type="dxa"/>
            <w:tcBorders>
              <w:bottom w:val="single" w:sz="4" w:space="0" w:color="auto"/>
            </w:tcBorders>
            <w:shd w:val="clear" w:color="auto" w:fill="auto"/>
            <w:noWrap/>
          </w:tcPr>
          <w:p w:rsidR="00123D4F" w:rsidRDefault="00123D4F" w:rsidP="00EC74B1">
            <w:pPr>
              <w:jc w:val="center"/>
              <w:rPr>
                <w:i/>
                <w:iCs/>
                <w:color w:val="000000"/>
                <w:szCs w:val="24"/>
              </w:rPr>
            </w:pPr>
            <w:r>
              <w:rPr>
                <w:b/>
                <w:bCs/>
                <w:color w:val="000000"/>
                <w:szCs w:val="24"/>
              </w:rPr>
              <w:t>I</w:t>
            </w:r>
          </w:p>
        </w:tc>
      </w:tr>
      <w:tr w:rsidR="002233E0" w:rsidTr="00B634C1">
        <w:trPr>
          <w:trHeight w:val="1230"/>
        </w:trPr>
        <w:tc>
          <w:tcPr>
            <w:tcW w:w="570" w:type="dxa"/>
            <w:shd w:val="clear" w:color="auto" w:fill="auto"/>
            <w:noWrap/>
            <w:vAlign w:val="center"/>
            <w:hideMark/>
          </w:tcPr>
          <w:p w:rsidR="002233E0" w:rsidRDefault="002233E0" w:rsidP="002233E0">
            <w:pPr>
              <w:jc w:val="center"/>
              <w:rPr>
                <w:color w:val="000000"/>
                <w:szCs w:val="24"/>
              </w:rPr>
            </w:pPr>
            <w:r>
              <w:rPr>
                <w:color w:val="000000"/>
                <w:szCs w:val="24"/>
              </w:rPr>
              <w:t>1.</w:t>
            </w:r>
          </w:p>
        </w:tc>
        <w:tc>
          <w:tcPr>
            <w:tcW w:w="3507" w:type="dxa"/>
            <w:tcBorders>
              <w:bottom w:val="single" w:sz="4" w:space="0" w:color="auto"/>
            </w:tcBorders>
            <w:shd w:val="clear" w:color="auto" w:fill="auto"/>
            <w:vAlign w:val="center"/>
            <w:hideMark/>
          </w:tcPr>
          <w:p w:rsidR="002233E0" w:rsidRDefault="002233E0" w:rsidP="002233E0">
            <w:pPr>
              <w:jc w:val="both"/>
              <w:rPr>
                <w:b/>
                <w:bCs/>
                <w:color w:val="000000"/>
                <w:szCs w:val="24"/>
              </w:rPr>
            </w:pPr>
            <w:r>
              <w:rPr>
                <w:b/>
                <w:bCs/>
                <w:color w:val="000000"/>
                <w:szCs w:val="24"/>
              </w:rPr>
              <w:t>Įstaigos praėjusių metų veiklos rezultatų ataskaitoje nurodytas pajamų ir sąnaudų skirtumas (grynasis perviršis ar deficitas)</w:t>
            </w:r>
          </w:p>
        </w:tc>
        <w:tc>
          <w:tcPr>
            <w:tcW w:w="4253" w:type="dxa"/>
            <w:tcBorders>
              <w:bottom w:val="single" w:sz="4" w:space="0" w:color="auto"/>
            </w:tcBorders>
            <w:shd w:val="clear" w:color="auto" w:fill="auto"/>
            <w:vAlign w:val="center"/>
          </w:tcPr>
          <w:p w:rsidR="002233E0" w:rsidRDefault="002233E0" w:rsidP="002233E0">
            <w:pPr>
              <w:jc w:val="center"/>
              <w:rPr>
                <w:color w:val="000000"/>
                <w:szCs w:val="24"/>
              </w:rPr>
            </w:pPr>
            <w:r>
              <w:rPr>
                <w:color w:val="000000"/>
                <w:szCs w:val="24"/>
              </w:rPr>
              <w:t>Būti nenuostolingai</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DD5F24" w:rsidRDefault="006B6E2A" w:rsidP="002233E0">
            <w:pPr>
              <w:jc w:val="center"/>
              <w:rPr>
                <w:color w:val="000000" w:themeColor="text1"/>
                <w:szCs w:val="24"/>
              </w:rPr>
            </w:pPr>
            <w:r>
              <w:rPr>
                <w:color w:val="000000" w:themeColor="text1"/>
                <w:szCs w:val="24"/>
              </w:rPr>
              <w:t>Perviršis 133 359,53 Eur</w:t>
            </w:r>
          </w:p>
        </w:tc>
        <w:tc>
          <w:tcPr>
            <w:tcW w:w="1560" w:type="dxa"/>
            <w:tcBorders>
              <w:bottom w:val="single" w:sz="4" w:space="0" w:color="auto"/>
              <w:right w:val="single" w:sz="4" w:space="0" w:color="auto"/>
            </w:tcBorders>
            <w:shd w:val="clear" w:color="auto" w:fill="auto"/>
            <w:vAlign w:val="center"/>
          </w:tcPr>
          <w:p w:rsidR="002233E0" w:rsidRDefault="006B6E2A" w:rsidP="002233E0">
            <w:pPr>
              <w:jc w:val="center"/>
              <w:rPr>
                <w:color w:val="000000"/>
                <w:szCs w:val="24"/>
              </w:rPr>
            </w:pPr>
            <w:r>
              <w:rPr>
                <w:color w:val="000000"/>
                <w:szCs w:val="24"/>
              </w:rPr>
              <w:t>10</w:t>
            </w:r>
          </w:p>
        </w:tc>
      </w:tr>
      <w:tr w:rsidR="002233E0" w:rsidTr="00225194">
        <w:tc>
          <w:tcPr>
            <w:tcW w:w="570" w:type="dxa"/>
            <w:shd w:val="clear" w:color="auto" w:fill="auto"/>
            <w:vAlign w:val="center"/>
          </w:tcPr>
          <w:p w:rsidR="002233E0" w:rsidRDefault="002233E0" w:rsidP="002233E0">
            <w:pPr>
              <w:jc w:val="center"/>
              <w:rPr>
                <w:szCs w:val="24"/>
              </w:rPr>
            </w:pPr>
            <w:r>
              <w:rPr>
                <w:szCs w:val="24"/>
              </w:rPr>
              <w:t>2.</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Įstaigos sąnaudų darbo užmokesčiui dalis</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Valstybės institucijoms skyrus papildomų PSDF biudžeto lėšų asmens sveikatos priežiūros paslaugoms apmokėti ir rekomendavus jas nukreipti darbuotojų darbo užmokesčiui didinti, ne mažiau kaip 80 proc. nurodytų lėšų panaudojamos darbo užmokesčiui didinti</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Default="006B6E2A" w:rsidP="00225194">
            <w:pPr>
              <w:jc w:val="center"/>
              <w:rPr>
                <w:color w:val="000000" w:themeColor="text1"/>
                <w:szCs w:val="24"/>
              </w:rPr>
            </w:pPr>
            <w:r>
              <w:rPr>
                <w:color w:val="000000" w:themeColor="text1"/>
                <w:szCs w:val="24"/>
              </w:rPr>
              <w:t>16,29 proc.</w:t>
            </w:r>
          </w:p>
          <w:p w:rsidR="006B6E2A" w:rsidRPr="002233E0" w:rsidRDefault="006B6E2A" w:rsidP="00225194">
            <w:pPr>
              <w:jc w:val="center"/>
              <w:rPr>
                <w:color w:val="000000" w:themeColor="text1"/>
                <w:szCs w:val="24"/>
              </w:rPr>
            </w:pP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6B6E2A" w:rsidP="002233E0">
            <w:pPr>
              <w:jc w:val="center"/>
              <w:rPr>
                <w:szCs w:val="24"/>
              </w:rPr>
            </w:pPr>
            <w:r>
              <w:rPr>
                <w:szCs w:val="24"/>
              </w:rPr>
              <w:t>0</w:t>
            </w:r>
          </w:p>
        </w:tc>
      </w:tr>
      <w:tr w:rsidR="002233E0" w:rsidTr="00F55C46">
        <w:trPr>
          <w:trHeight w:val="1114"/>
        </w:trPr>
        <w:tc>
          <w:tcPr>
            <w:tcW w:w="570" w:type="dxa"/>
            <w:shd w:val="clear" w:color="auto" w:fill="auto"/>
            <w:vAlign w:val="center"/>
          </w:tcPr>
          <w:p w:rsidR="002233E0" w:rsidRDefault="002233E0" w:rsidP="002233E0">
            <w:pPr>
              <w:jc w:val="center"/>
              <w:rPr>
                <w:szCs w:val="24"/>
              </w:rPr>
            </w:pPr>
            <w:r>
              <w:rPr>
                <w:szCs w:val="24"/>
              </w:rPr>
              <w:t>3.</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Įstaigos sąnaudų valdymo išlaidoms dalis</w:t>
            </w:r>
            <w:r>
              <w:rPr>
                <w:b/>
                <w:szCs w:val="24"/>
              </w:rPr>
              <w:tab/>
            </w:r>
            <w:r>
              <w:rPr>
                <w:b/>
                <w:szCs w:val="24"/>
              </w:rPr>
              <w:tab/>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Įstaigos sąnaudų valdymo išlaidoms dalis ne daugiau kaip 7,00 proc.</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4C0761" w:rsidRDefault="006B6E2A" w:rsidP="00F55C46">
            <w:pPr>
              <w:jc w:val="center"/>
              <w:rPr>
                <w:color w:val="00B050"/>
              </w:rPr>
            </w:pPr>
            <w:r w:rsidRPr="006B6E2A">
              <w:t xml:space="preserve">3,48 proc. </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6B6E2A" w:rsidP="002233E0">
            <w:pPr>
              <w:jc w:val="center"/>
              <w:rPr>
                <w:szCs w:val="24"/>
              </w:rPr>
            </w:pPr>
            <w:r>
              <w:rPr>
                <w:szCs w:val="24"/>
              </w:rPr>
              <w:t>10</w:t>
            </w:r>
          </w:p>
        </w:tc>
      </w:tr>
      <w:tr w:rsidR="002233E0" w:rsidTr="00833ACB">
        <w:tc>
          <w:tcPr>
            <w:tcW w:w="570" w:type="dxa"/>
            <w:shd w:val="clear" w:color="auto" w:fill="auto"/>
            <w:vAlign w:val="center"/>
          </w:tcPr>
          <w:p w:rsidR="002233E0" w:rsidRDefault="002233E0" w:rsidP="002233E0">
            <w:pPr>
              <w:jc w:val="center"/>
              <w:rPr>
                <w:szCs w:val="24"/>
              </w:rPr>
            </w:pPr>
            <w:r>
              <w:rPr>
                <w:szCs w:val="24"/>
              </w:rPr>
              <w:t>4.</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Įstaigos finansinių įsipareigojimų dalis nuo metinio įstaigos biudžeto</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Įsipareigojimų koeficientas ne didesnis kaip 0,10</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733D93" w:rsidRDefault="006B6E2A" w:rsidP="00833ACB">
            <w:pPr>
              <w:jc w:val="center"/>
              <w:rPr>
                <w:color w:val="000000" w:themeColor="text1"/>
              </w:rPr>
            </w:pPr>
            <w:r>
              <w:rPr>
                <w:color w:val="000000" w:themeColor="text1"/>
              </w:rPr>
              <w:t>0,06</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6B6E2A" w:rsidP="002233E0">
            <w:pPr>
              <w:jc w:val="center"/>
              <w:rPr>
                <w:szCs w:val="24"/>
              </w:rPr>
            </w:pPr>
            <w:r>
              <w:rPr>
                <w:szCs w:val="24"/>
              </w:rPr>
              <w:t>10</w:t>
            </w:r>
          </w:p>
        </w:tc>
      </w:tr>
      <w:tr w:rsidR="002233E0" w:rsidTr="00225194">
        <w:tc>
          <w:tcPr>
            <w:tcW w:w="570" w:type="dxa"/>
            <w:shd w:val="clear" w:color="auto" w:fill="auto"/>
            <w:vAlign w:val="center"/>
          </w:tcPr>
          <w:p w:rsidR="002233E0" w:rsidRDefault="002233E0" w:rsidP="002233E0">
            <w:pPr>
              <w:jc w:val="center"/>
              <w:rPr>
                <w:szCs w:val="24"/>
              </w:rPr>
            </w:pPr>
            <w:r>
              <w:rPr>
                <w:szCs w:val="24"/>
              </w:rPr>
              <w:t>5.</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Papildomų finansavimo šaltinių pritraukimas</w:t>
            </w:r>
          </w:p>
        </w:tc>
        <w:tc>
          <w:tcPr>
            <w:tcW w:w="4253" w:type="dxa"/>
            <w:tcBorders>
              <w:top w:val="single" w:sz="4" w:space="0" w:color="auto"/>
              <w:bottom w:val="single" w:sz="4" w:space="0" w:color="auto"/>
            </w:tcBorders>
            <w:shd w:val="clear" w:color="auto" w:fill="auto"/>
            <w:vAlign w:val="center"/>
          </w:tcPr>
          <w:p w:rsidR="002233E0" w:rsidRPr="00264F7A" w:rsidRDefault="002233E0" w:rsidP="002233E0">
            <w:pPr>
              <w:jc w:val="center"/>
              <w:rPr>
                <w:szCs w:val="24"/>
              </w:rPr>
            </w:pPr>
            <w:r w:rsidRPr="00264F7A">
              <w:rPr>
                <w:szCs w:val="24"/>
              </w:rPr>
              <w:t>ASPĮ per pastaruosius 3 m. yra pasirašiusi bent vieną sutartį dėl dalyvavimo projekte, iš kurio gauna papildomą finansavimą</w:t>
            </w:r>
          </w:p>
        </w:tc>
        <w:tc>
          <w:tcPr>
            <w:tcW w:w="5386" w:type="dxa"/>
            <w:tcBorders>
              <w:top w:val="single" w:sz="4" w:space="0" w:color="auto"/>
              <w:left w:val="single" w:sz="4" w:space="0" w:color="auto"/>
              <w:bottom w:val="single" w:sz="4" w:space="0" w:color="auto"/>
              <w:right w:val="single" w:sz="4" w:space="0" w:color="auto"/>
            </w:tcBorders>
            <w:vAlign w:val="center"/>
          </w:tcPr>
          <w:p w:rsidR="006B6E2A" w:rsidRPr="00264F7A" w:rsidRDefault="006B6E2A" w:rsidP="00225194">
            <w:pPr>
              <w:jc w:val="center"/>
              <w:rPr>
                <w:color w:val="000000" w:themeColor="text1"/>
                <w:szCs w:val="24"/>
              </w:rPr>
            </w:pPr>
            <w:r w:rsidRPr="00264F7A">
              <w:rPr>
                <w:color w:val="000000" w:themeColor="text1"/>
                <w:szCs w:val="24"/>
              </w:rPr>
              <w:t xml:space="preserve">Įstaiga dalyvavo projektuose, skirtuose personalo mokymams, kurie finansuojami iš ES struktūrinių fondų: 1) Panevėžio m. sav. visuomenės sveikatos biuro mokymai SAFETALK; 2) Lietuvos savivaldybių asociacijos mokymai „“; 3) Panevėžio m. sav. visuomenės sveikatos biuro mokymai </w:t>
            </w:r>
            <w:r w:rsidRPr="00264F7A">
              <w:rPr>
                <w:color w:val="000000" w:themeColor="text1"/>
                <w:szCs w:val="24"/>
              </w:rPr>
              <w:lastRenderedPageBreak/>
              <w:t>„Psichikos sveikatos kompetencijų didinimas įmonių darbuotojams“.</w:t>
            </w:r>
          </w:p>
        </w:tc>
        <w:tc>
          <w:tcPr>
            <w:tcW w:w="1560" w:type="dxa"/>
            <w:tcBorders>
              <w:top w:val="single" w:sz="4" w:space="0" w:color="auto"/>
              <w:bottom w:val="single" w:sz="4" w:space="0" w:color="auto"/>
              <w:right w:val="single" w:sz="4" w:space="0" w:color="auto"/>
            </w:tcBorders>
            <w:shd w:val="clear" w:color="auto" w:fill="auto"/>
            <w:vAlign w:val="center"/>
          </w:tcPr>
          <w:p w:rsidR="002233E0" w:rsidRPr="00264F7A" w:rsidRDefault="00264F7A" w:rsidP="00264F7A">
            <w:pPr>
              <w:jc w:val="center"/>
              <w:rPr>
                <w:szCs w:val="24"/>
              </w:rPr>
            </w:pPr>
            <w:r>
              <w:rPr>
                <w:szCs w:val="24"/>
              </w:rPr>
              <w:lastRenderedPageBreak/>
              <w:t>0</w:t>
            </w:r>
          </w:p>
        </w:tc>
      </w:tr>
      <w:tr w:rsidR="002233E0" w:rsidTr="00123D4F">
        <w:trPr>
          <w:gridAfter w:val="4"/>
          <w:wAfter w:w="14706" w:type="dxa"/>
        </w:trPr>
        <w:tc>
          <w:tcPr>
            <w:tcW w:w="570" w:type="dxa"/>
            <w:shd w:val="clear" w:color="auto" w:fill="auto"/>
            <w:vAlign w:val="center"/>
          </w:tcPr>
          <w:p w:rsidR="002233E0" w:rsidRDefault="002233E0" w:rsidP="002233E0">
            <w:pPr>
              <w:jc w:val="center"/>
              <w:rPr>
                <w:b/>
                <w:szCs w:val="24"/>
              </w:rPr>
            </w:pPr>
            <w:r>
              <w:rPr>
                <w:b/>
                <w:szCs w:val="24"/>
              </w:rPr>
              <w:t>II</w:t>
            </w:r>
          </w:p>
        </w:tc>
      </w:tr>
      <w:tr w:rsidR="002233E0" w:rsidTr="00225194">
        <w:tc>
          <w:tcPr>
            <w:tcW w:w="570" w:type="dxa"/>
            <w:shd w:val="clear" w:color="auto" w:fill="auto"/>
            <w:vAlign w:val="center"/>
          </w:tcPr>
          <w:p w:rsidR="002233E0" w:rsidRDefault="002233E0" w:rsidP="002233E0">
            <w:pPr>
              <w:jc w:val="center"/>
              <w:rPr>
                <w:szCs w:val="24"/>
              </w:rPr>
            </w:pPr>
            <w:r>
              <w:rPr>
                <w:szCs w:val="24"/>
              </w:rPr>
              <w:t>1.</w:t>
            </w:r>
          </w:p>
        </w:tc>
        <w:tc>
          <w:tcPr>
            <w:tcW w:w="3507" w:type="dxa"/>
            <w:tcBorders>
              <w:bottom w:val="single" w:sz="4" w:space="0" w:color="auto"/>
            </w:tcBorders>
            <w:shd w:val="clear" w:color="auto" w:fill="auto"/>
          </w:tcPr>
          <w:p w:rsidR="002233E0" w:rsidRDefault="002233E0" w:rsidP="002233E0">
            <w:pPr>
              <w:jc w:val="both"/>
              <w:rPr>
                <w:b/>
                <w:szCs w:val="24"/>
              </w:rPr>
            </w:pPr>
            <w:r>
              <w:rPr>
                <w:b/>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4253" w:type="dxa"/>
            <w:tcBorders>
              <w:bottom w:val="single" w:sz="4" w:space="0" w:color="auto"/>
            </w:tcBorders>
            <w:shd w:val="clear" w:color="auto" w:fill="auto"/>
            <w:vAlign w:val="center"/>
          </w:tcPr>
          <w:p w:rsidR="002233E0" w:rsidRDefault="002233E0" w:rsidP="002233E0">
            <w:pPr>
              <w:jc w:val="center"/>
              <w:rPr>
                <w:szCs w:val="24"/>
              </w:rPr>
            </w:pPr>
            <w:r>
              <w:rPr>
                <w:szCs w:val="24"/>
              </w:rPr>
              <w:t>Pacientų pasitenkinimo ASPĮ teikiamomis asmens sveikatos priežiūros paslaugomis lygis ne mažiau kaip 0,8 balo</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E603BE" w:rsidRDefault="006B6E2A" w:rsidP="00225194">
            <w:pPr>
              <w:jc w:val="center"/>
              <w:rPr>
                <w:color w:val="000000" w:themeColor="text1"/>
              </w:rPr>
            </w:pPr>
            <w:r>
              <w:rPr>
                <w:color w:val="000000" w:themeColor="text1"/>
              </w:rPr>
              <w:t>Pacientų pasitenkinimo lygis – 1,0</w:t>
            </w:r>
          </w:p>
        </w:tc>
        <w:tc>
          <w:tcPr>
            <w:tcW w:w="1560" w:type="dxa"/>
            <w:tcBorders>
              <w:bottom w:val="single" w:sz="4" w:space="0" w:color="auto"/>
              <w:right w:val="single" w:sz="4" w:space="0" w:color="auto"/>
            </w:tcBorders>
            <w:shd w:val="clear" w:color="auto" w:fill="auto"/>
            <w:vAlign w:val="center"/>
          </w:tcPr>
          <w:p w:rsidR="002233E0" w:rsidRDefault="006B6E2A" w:rsidP="002233E0">
            <w:pPr>
              <w:jc w:val="center"/>
              <w:rPr>
                <w:szCs w:val="24"/>
              </w:rPr>
            </w:pPr>
            <w:r>
              <w:rPr>
                <w:szCs w:val="24"/>
              </w:rPr>
              <w:t>10</w:t>
            </w:r>
          </w:p>
        </w:tc>
      </w:tr>
      <w:tr w:rsidR="002233E0" w:rsidTr="00225194">
        <w:tc>
          <w:tcPr>
            <w:tcW w:w="570" w:type="dxa"/>
            <w:shd w:val="clear" w:color="auto" w:fill="auto"/>
            <w:vAlign w:val="center"/>
          </w:tcPr>
          <w:p w:rsidR="002233E0" w:rsidRDefault="002233E0" w:rsidP="002233E0">
            <w:pPr>
              <w:jc w:val="center"/>
              <w:rPr>
                <w:szCs w:val="24"/>
              </w:rPr>
            </w:pPr>
            <w:r>
              <w:rPr>
                <w:szCs w:val="24"/>
              </w:rPr>
              <w:t>2.</w:t>
            </w:r>
          </w:p>
        </w:tc>
        <w:tc>
          <w:tcPr>
            <w:tcW w:w="3507" w:type="dxa"/>
            <w:shd w:val="clear" w:color="auto" w:fill="auto"/>
            <w:vAlign w:val="center"/>
          </w:tcPr>
          <w:p w:rsidR="002233E0" w:rsidRDefault="002233E0" w:rsidP="002233E0">
            <w:pPr>
              <w:jc w:val="both"/>
              <w:rPr>
                <w:b/>
                <w:szCs w:val="24"/>
              </w:rPr>
            </w:pPr>
            <w:r>
              <w:rPr>
                <w:b/>
                <w:szCs w:val="24"/>
              </w:rPr>
              <w:t>Įstaigoje gautų pacientų skundų dėl įstaigoje suteiktų asmens sveikatos priežiūros paslaugų skaičius per metus ir pagrįstų skundų dalis</w:t>
            </w:r>
          </w:p>
        </w:tc>
        <w:tc>
          <w:tcPr>
            <w:tcW w:w="4253" w:type="dxa"/>
            <w:shd w:val="clear" w:color="auto" w:fill="auto"/>
            <w:vAlign w:val="center"/>
          </w:tcPr>
          <w:p w:rsidR="002233E0" w:rsidRDefault="002233E0" w:rsidP="002233E0">
            <w:pPr>
              <w:jc w:val="center"/>
              <w:rPr>
                <w:szCs w:val="24"/>
              </w:rPr>
            </w:pPr>
            <w:r>
              <w:rPr>
                <w:szCs w:val="24"/>
              </w:rPr>
              <w:t>Nenustatoma</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E603BE" w:rsidRDefault="006B6E2A" w:rsidP="00225194">
            <w:pPr>
              <w:jc w:val="center"/>
              <w:rPr>
                <w:color w:val="000000" w:themeColor="text1"/>
              </w:rPr>
            </w:pPr>
            <w:r>
              <w:rPr>
                <w:color w:val="000000" w:themeColor="text1"/>
              </w:rPr>
              <w:t>-</w:t>
            </w:r>
          </w:p>
        </w:tc>
        <w:tc>
          <w:tcPr>
            <w:tcW w:w="1560" w:type="dxa"/>
            <w:tcBorders>
              <w:right w:val="single" w:sz="4" w:space="0" w:color="auto"/>
            </w:tcBorders>
            <w:shd w:val="clear" w:color="auto" w:fill="auto"/>
            <w:vAlign w:val="center"/>
          </w:tcPr>
          <w:p w:rsidR="002233E0" w:rsidRDefault="006B6E2A" w:rsidP="002233E0">
            <w:pPr>
              <w:jc w:val="center"/>
              <w:rPr>
                <w:szCs w:val="24"/>
              </w:rPr>
            </w:pPr>
            <w:r>
              <w:rPr>
                <w:szCs w:val="24"/>
              </w:rPr>
              <w:t>-</w:t>
            </w:r>
          </w:p>
        </w:tc>
      </w:tr>
      <w:tr w:rsidR="002233E0" w:rsidTr="00225194">
        <w:tc>
          <w:tcPr>
            <w:tcW w:w="570" w:type="dxa"/>
            <w:shd w:val="clear" w:color="auto" w:fill="auto"/>
            <w:vAlign w:val="center"/>
          </w:tcPr>
          <w:p w:rsidR="002233E0" w:rsidRDefault="002233E0" w:rsidP="002233E0">
            <w:pPr>
              <w:jc w:val="center"/>
              <w:rPr>
                <w:szCs w:val="24"/>
              </w:rPr>
            </w:pPr>
            <w:r>
              <w:rPr>
                <w:szCs w:val="24"/>
              </w:rPr>
              <w:t>3.</w:t>
            </w:r>
          </w:p>
        </w:tc>
        <w:tc>
          <w:tcPr>
            <w:tcW w:w="3507" w:type="dxa"/>
            <w:shd w:val="clear" w:color="auto" w:fill="auto"/>
            <w:vAlign w:val="center"/>
          </w:tcPr>
          <w:p w:rsidR="002233E0" w:rsidRDefault="002233E0" w:rsidP="002233E0">
            <w:pPr>
              <w:jc w:val="both"/>
              <w:rPr>
                <w:b/>
                <w:szCs w:val="24"/>
              </w:rPr>
            </w:pPr>
            <w:r>
              <w:rPr>
                <w:b/>
                <w:szCs w:val="24"/>
              </w:rPr>
              <w:t>Įstaigoje gautų pagrįstų skundų dalis nuo visų įstaigoje suteiktų asmens sveikatos priežiūros paslaugų skaičiaus per metus pagal sveikatos apsaugos ministro nustatytas paslaugų grupes</w:t>
            </w:r>
            <w:r>
              <w:rPr>
                <w:b/>
                <w:szCs w:val="24"/>
              </w:rPr>
              <w:tab/>
            </w:r>
          </w:p>
        </w:tc>
        <w:tc>
          <w:tcPr>
            <w:tcW w:w="4253" w:type="dxa"/>
            <w:shd w:val="clear" w:color="auto" w:fill="auto"/>
            <w:vAlign w:val="center"/>
          </w:tcPr>
          <w:p w:rsidR="002233E0" w:rsidRDefault="002233E0" w:rsidP="002233E0">
            <w:pPr>
              <w:jc w:val="center"/>
              <w:rPr>
                <w:szCs w:val="24"/>
              </w:rPr>
            </w:pPr>
            <w:r>
              <w:rPr>
                <w:szCs w:val="24"/>
              </w:rPr>
              <w:t>Nenustatoma</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E603BE" w:rsidRDefault="006B6E2A" w:rsidP="00225194">
            <w:pPr>
              <w:jc w:val="center"/>
              <w:rPr>
                <w:color w:val="000000" w:themeColor="text1"/>
              </w:rPr>
            </w:pPr>
            <w:r>
              <w:rPr>
                <w:color w:val="000000" w:themeColor="text1"/>
              </w:rPr>
              <w:t>-</w:t>
            </w:r>
          </w:p>
        </w:tc>
        <w:tc>
          <w:tcPr>
            <w:tcW w:w="1560" w:type="dxa"/>
            <w:tcBorders>
              <w:right w:val="single" w:sz="4" w:space="0" w:color="auto"/>
            </w:tcBorders>
            <w:shd w:val="clear" w:color="auto" w:fill="auto"/>
            <w:vAlign w:val="center"/>
          </w:tcPr>
          <w:p w:rsidR="002233E0" w:rsidRDefault="006B6E2A" w:rsidP="002233E0">
            <w:pPr>
              <w:jc w:val="center"/>
              <w:rPr>
                <w:szCs w:val="24"/>
              </w:rPr>
            </w:pPr>
            <w:r>
              <w:rPr>
                <w:szCs w:val="24"/>
              </w:rPr>
              <w:t>-</w:t>
            </w:r>
          </w:p>
        </w:tc>
      </w:tr>
      <w:tr w:rsidR="002233E0" w:rsidTr="00225194">
        <w:tc>
          <w:tcPr>
            <w:tcW w:w="570" w:type="dxa"/>
            <w:shd w:val="clear" w:color="auto" w:fill="auto"/>
            <w:vAlign w:val="center"/>
          </w:tcPr>
          <w:p w:rsidR="002233E0" w:rsidRDefault="002233E0" w:rsidP="002233E0">
            <w:pPr>
              <w:jc w:val="center"/>
              <w:rPr>
                <w:szCs w:val="24"/>
              </w:rPr>
            </w:pPr>
            <w:r>
              <w:rPr>
                <w:szCs w:val="24"/>
              </w:rPr>
              <w:t>4.</w:t>
            </w:r>
          </w:p>
        </w:tc>
        <w:tc>
          <w:tcPr>
            <w:tcW w:w="3507" w:type="dxa"/>
            <w:tcBorders>
              <w:bottom w:val="single" w:sz="4" w:space="0" w:color="auto"/>
            </w:tcBorders>
            <w:shd w:val="clear" w:color="auto" w:fill="auto"/>
            <w:vAlign w:val="center"/>
          </w:tcPr>
          <w:p w:rsidR="002233E0" w:rsidRDefault="002233E0" w:rsidP="002233E0">
            <w:pPr>
              <w:jc w:val="both"/>
              <w:rPr>
                <w:b/>
                <w:szCs w:val="24"/>
              </w:rPr>
            </w:pPr>
            <w:r>
              <w:rPr>
                <w:b/>
                <w:szCs w:val="24"/>
              </w:rPr>
              <w:t xml:space="preserve">Įstaigoje taikomos kovos su korupcija priemonės, numatytos sveikatos apsaugos ministro tvirtinamoje Sveikatos priežiūros srities korupcijos </w:t>
            </w:r>
            <w:r>
              <w:rPr>
                <w:b/>
                <w:szCs w:val="24"/>
              </w:rPr>
              <w:lastRenderedPageBreak/>
              <w:t>prevencijos programoje</w:t>
            </w:r>
          </w:p>
        </w:tc>
        <w:tc>
          <w:tcPr>
            <w:tcW w:w="4253" w:type="dxa"/>
            <w:tcBorders>
              <w:bottom w:val="single" w:sz="4" w:space="0" w:color="auto"/>
            </w:tcBorders>
            <w:shd w:val="clear" w:color="auto" w:fill="auto"/>
            <w:vAlign w:val="center"/>
          </w:tcPr>
          <w:p w:rsidR="002233E0" w:rsidRDefault="002233E0" w:rsidP="002233E0">
            <w:pPr>
              <w:jc w:val="center"/>
              <w:rPr>
                <w:b/>
                <w:szCs w:val="24"/>
              </w:rPr>
            </w:pPr>
            <w:r>
              <w:rPr>
                <w:bCs/>
                <w:szCs w:val="24"/>
              </w:rPr>
              <w:lastRenderedPageBreak/>
              <w:t>Asmens sveikatos priežiūros įstaiga įtraukta į Skaidrių asmens sveikatos priežiūros įstaigų sąrašą</w:t>
            </w:r>
          </w:p>
        </w:tc>
        <w:tc>
          <w:tcPr>
            <w:tcW w:w="5386" w:type="dxa"/>
            <w:tcBorders>
              <w:bottom w:val="single" w:sz="4" w:space="0" w:color="auto"/>
            </w:tcBorders>
            <w:vAlign w:val="center"/>
          </w:tcPr>
          <w:p w:rsidR="002233E0" w:rsidRPr="00E603BE" w:rsidRDefault="006B6E2A" w:rsidP="00225194">
            <w:pPr>
              <w:jc w:val="center"/>
              <w:rPr>
                <w:color w:val="000000" w:themeColor="text1"/>
                <w:szCs w:val="24"/>
              </w:rPr>
            </w:pPr>
            <w:r>
              <w:rPr>
                <w:color w:val="000000" w:themeColor="text1"/>
                <w:szCs w:val="24"/>
              </w:rPr>
              <w:t>Įstaigai Panevėžio miesto savivaldybės tarybos 2021 m. balandžio 29 d. sprendimu Nr. 1-162 suteiktas Skaidrios asmens sveikatos priežiūros įstaigos vardas</w:t>
            </w:r>
          </w:p>
        </w:tc>
        <w:tc>
          <w:tcPr>
            <w:tcW w:w="1560" w:type="dxa"/>
            <w:tcBorders>
              <w:bottom w:val="single" w:sz="4" w:space="0" w:color="auto"/>
              <w:right w:val="single" w:sz="4" w:space="0" w:color="auto"/>
            </w:tcBorders>
            <w:shd w:val="clear" w:color="auto" w:fill="auto"/>
            <w:vAlign w:val="center"/>
          </w:tcPr>
          <w:p w:rsidR="002233E0" w:rsidRPr="00B634C1" w:rsidRDefault="006B6E2A" w:rsidP="002233E0">
            <w:pPr>
              <w:jc w:val="center"/>
              <w:rPr>
                <w:szCs w:val="24"/>
              </w:rPr>
            </w:pPr>
            <w:r>
              <w:rPr>
                <w:szCs w:val="24"/>
              </w:rPr>
              <w:t>15</w:t>
            </w:r>
          </w:p>
        </w:tc>
      </w:tr>
      <w:tr w:rsidR="002233E0" w:rsidTr="00B634C1">
        <w:tc>
          <w:tcPr>
            <w:tcW w:w="570"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5.</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Informacinių technologijų diegimo ir plėtros lygis (pacientų elektroninės registracijos sistema, įstaigos interneto svetainės išsamumas, darbuotojų darbo krūvio apskaita, įstaigos dalyvavimo elektroninėje sveikatos sistemoje mastas)</w:t>
            </w:r>
            <w:r>
              <w:rPr>
                <w:b/>
                <w:szCs w:val="24"/>
              </w:rPr>
              <w:tab/>
            </w:r>
          </w:p>
        </w:tc>
        <w:tc>
          <w:tcPr>
            <w:tcW w:w="4253" w:type="dxa"/>
            <w:tcBorders>
              <w:top w:val="single" w:sz="4" w:space="0" w:color="auto"/>
              <w:bottom w:val="single" w:sz="4" w:space="0" w:color="auto"/>
            </w:tcBorders>
            <w:shd w:val="clear" w:color="auto" w:fill="auto"/>
          </w:tcPr>
          <w:p w:rsidR="002233E0" w:rsidRDefault="002233E0" w:rsidP="002233E0">
            <w:pPr>
              <w:ind w:left="360" w:hanging="360"/>
              <w:jc w:val="both"/>
              <w:rPr>
                <w:rFonts w:eastAsia="Calibri"/>
                <w:color w:val="000000"/>
                <w:szCs w:val="24"/>
              </w:rPr>
            </w:pPr>
            <w:r>
              <w:rPr>
                <w:rFonts w:eastAsia="Calibri"/>
                <w:szCs w:val="24"/>
              </w:rPr>
              <w:t>1.</w:t>
            </w:r>
            <w:r>
              <w:rPr>
                <w:rFonts w:eastAsia="Calibri"/>
                <w:szCs w:val="24"/>
              </w:rPr>
              <w:tab/>
            </w:r>
            <w:r>
              <w:rPr>
                <w:rFonts w:eastAsia="Calibri"/>
                <w:color w:val="000000"/>
                <w:szCs w:val="24"/>
              </w:rPr>
              <w:t>ASPĮ, išrašant e. receptus, vaistų sąveikų tikrinimo funkcionalumas naudojamas visa apimtimi.</w:t>
            </w:r>
          </w:p>
          <w:p w:rsidR="002233E0" w:rsidRDefault="002233E0" w:rsidP="002233E0">
            <w:pPr>
              <w:jc w:val="both"/>
              <w:rPr>
                <w:rFonts w:eastAsia="Calibri"/>
                <w:color w:val="000000"/>
                <w:szCs w:val="24"/>
              </w:rPr>
            </w:pPr>
          </w:p>
          <w:p w:rsidR="002233E0" w:rsidRDefault="002233E0" w:rsidP="002233E0">
            <w:pPr>
              <w:ind w:left="360" w:hanging="360"/>
              <w:jc w:val="both"/>
              <w:rPr>
                <w:color w:val="FF0000"/>
                <w:szCs w:val="24"/>
              </w:rPr>
            </w:pPr>
            <w:r>
              <w:rPr>
                <w:szCs w:val="24"/>
              </w:rPr>
              <w:t>2.</w:t>
            </w:r>
            <w:r>
              <w:rPr>
                <w:szCs w:val="24"/>
              </w:rPr>
              <w:tab/>
            </w:r>
            <w:r>
              <w:rPr>
                <w:color w:val="000000"/>
                <w:szCs w:val="24"/>
              </w:rPr>
              <w:t>ASPĮ yra IPR IS dalyvis.</w:t>
            </w:r>
          </w:p>
          <w:p w:rsidR="002233E0" w:rsidRDefault="002233E0" w:rsidP="002233E0">
            <w:pPr>
              <w:ind w:left="720"/>
              <w:jc w:val="both"/>
              <w:rPr>
                <w:rFonts w:ascii="Calibri" w:hAnsi="Calibri"/>
                <w:color w:val="FF0000"/>
                <w:sz w:val="22"/>
                <w:szCs w:val="22"/>
              </w:rPr>
            </w:pPr>
          </w:p>
          <w:p w:rsidR="002233E0" w:rsidRDefault="002233E0" w:rsidP="002233E0">
            <w:pPr>
              <w:ind w:left="360" w:hanging="360"/>
              <w:jc w:val="both"/>
              <w:rPr>
                <w:color w:val="FF0000"/>
                <w:szCs w:val="24"/>
              </w:rPr>
            </w:pPr>
            <w:r>
              <w:rPr>
                <w:szCs w:val="24"/>
              </w:rPr>
              <w:t>3.</w:t>
            </w:r>
            <w:r>
              <w:rPr>
                <w:szCs w:val="24"/>
              </w:rPr>
              <w:tab/>
            </w:r>
            <w:r>
              <w:rPr>
                <w:rFonts w:eastAsia="Calibri"/>
                <w:color w:val="000000"/>
                <w:szCs w:val="24"/>
              </w:rPr>
              <w:t xml:space="preserve">Ne mažiau kaip 98 proc. visų </w:t>
            </w:r>
            <w:r>
              <w:rPr>
                <w:color w:val="000000"/>
                <w:szCs w:val="24"/>
              </w:rPr>
              <w:t>E063</w:t>
            </w:r>
            <w:r>
              <w:rPr>
                <w:rFonts w:eastAsia="Calibri"/>
                <w:color w:val="000000"/>
                <w:szCs w:val="24"/>
              </w:rPr>
              <w:t xml:space="preserve"> išrašoma el. būdu.</w:t>
            </w:r>
          </w:p>
          <w:p w:rsidR="002233E0" w:rsidRDefault="002233E0" w:rsidP="002233E0">
            <w:pPr>
              <w:ind w:left="720"/>
              <w:jc w:val="both"/>
              <w:rPr>
                <w:rFonts w:ascii="Calibri" w:hAnsi="Calibri"/>
                <w:color w:val="FF0000"/>
                <w:sz w:val="22"/>
                <w:szCs w:val="22"/>
              </w:rPr>
            </w:pPr>
          </w:p>
          <w:p w:rsidR="002233E0" w:rsidRDefault="002233E0" w:rsidP="002233E0">
            <w:pPr>
              <w:ind w:left="360" w:hanging="360"/>
              <w:jc w:val="both"/>
              <w:rPr>
                <w:color w:val="FF0000"/>
                <w:szCs w:val="24"/>
              </w:rPr>
            </w:pPr>
            <w:r>
              <w:rPr>
                <w:szCs w:val="24"/>
              </w:rPr>
              <w:t>4.</w:t>
            </w:r>
            <w:r>
              <w:rPr>
                <w:szCs w:val="24"/>
              </w:rPr>
              <w:tab/>
            </w:r>
            <w:r>
              <w:rPr>
                <w:color w:val="000000"/>
                <w:szCs w:val="24"/>
              </w:rPr>
              <w:t xml:space="preserve">Patvirtinta ASPĮ naudojamos </w:t>
            </w:r>
            <w:r>
              <w:rPr>
                <w:rFonts w:eastAsia="Calibri"/>
                <w:color w:val="000000"/>
                <w:szCs w:val="24"/>
              </w:rPr>
              <w:t>informacinės sistemos infrastruktūros saugumo dokumentacija.</w:t>
            </w:r>
          </w:p>
          <w:p w:rsidR="002233E0" w:rsidRDefault="002233E0" w:rsidP="002233E0">
            <w:pPr>
              <w:ind w:left="360" w:hanging="360"/>
              <w:jc w:val="both"/>
              <w:rPr>
                <w:rFonts w:eastAsia="Calibri"/>
                <w:color w:val="000000"/>
                <w:szCs w:val="24"/>
              </w:rPr>
            </w:pPr>
          </w:p>
        </w:tc>
        <w:tc>
          <w:tcPr>
            <w:tcW w:w="5386" w:type="dxa"/>
            <w:tcBorders>
              <w:top w:val="single" w:sz="4" w:space="0" w:color="auto"/>
              <w:left w:val="single" w:sz="4" w:space="0" w:color="auto"/>
              <w:bottom w:val="single" w:sz="4" w:space="0" w:color="auto"/>
              <w:right w:val="single" w:sz="4" w:space="0" w:color="auto"/>
            </w:tcBorders>
          </w:tcPr>
          <w:p w:rsidR="002233E0" w:rsidRDefault="006B6E2A" w:rsidP="00B634C1">
            <w:pPr>
              <w:autoSpaceDE w:val="0"/>
              <w:autoSpaceDN w:val="0"/>
              <w:jc w:val="both"/>
              <w:rPr>
                <w:color w:val="000000" w:themeColor="text1"/>
                <w:szCs w:val="24"/>
              </w:rPr>
            </w:pPr>
            <w:r>
              <w:rPr>
                <w:color w:val="000000" w:themeColor="text1"/>
                <w:szCs w:val="24"/>
              </w:rPr>
              <w:t xml:space="preserve">1. Vaistų sąveikų tikrinimo funkcionalumas išnaudojamas pilna apimtimi. </w:t>
            </w:r>
          </w:p>
          <w:p w:rsidR="006B6E2A" w:rsidRDefault="006B6E2A" w:rsidP="00B634C1">
            <w:pPr>
              <w:autoSpaceDE w:val="0"/>
              <w:autoSpaceDN w:val="0"/>
              <w:jc w:val="both"/>
              <w:rPr>
                <w:color w:val="000000" w:themeColor="text1"/>
                <w:szCs w:val="24"/>
              </w:rPr>
            </w:pPr>
          </w:p>
          <w:p w:rsidR="006B6E2A" w:rsidRDefault="006B6E2A" w:rsidP="00B634C1">
            <w:pPr>
              <w:autoSpaceDE w:val="0"/>
              <w:autoSpaceDN w:val="0"/>
              <w:jc w:val="both"/>
              <w:rPr>
                <w:color w:val="000000" w:themeColor="text1"/>
                <w:szCs w:val="24"/>
              </w:rPr>
            </w:pPr>
            <w:r>
              <w:rPr>
                <w:color w:val="000000" w:themeColor="text1"/>
                <w:szCs w:val="24"/>
              </w:rPr>
              <w:t xml:space="preserve">2. Įstaiga yra IPR IS dalyvis. </w:t>
            </w:r>
          </w:p>
          <w:p w:rsidR="006B6E2A" w:rsidRDefault="006B6E2A" w:rsidP="00B634C1">
            <w:pPr>
              <w:autoSpaceDE w:val="0"/>
              <w:autoSpaceDN w:val="0"/>
              <w:jc w:val="both"/>
              <w:rPr>
                <w:color w:val="000000" w:themeColor="text1"/>
                <w:szCs w:val="24"/>
              </w:rPr>
            </w:pPr>
          </w:p>
          <w:p w:rsidR="006B6E2A" w:rsidRDefault="006B6E2A" w:rsidP="00B634C1">
            <w:pPr>
              <w:autoSpaceDE w:val="0"/>
              <w:autoSpaceDN w:val="0"/>
              <w:jc w:val="both"/>
              <w:rPr>
                <w:color w:val="000000" w:themeColor="text1"/>
                <w:szCs w:val="24"/>
              </w:rPr>
            </w:pPr>
            <w:r>
              <w:rPr>
                <w:color w:val="000000" w:themeColor="text1"/>
                <w:szCs w:val="24"/>
              </w:rPr>
              <w:t xml:space="preserve">3. Ligoninėje visų paskiepytų pacientų duomenys suvedami į ESPB IS. </w:t>
            </w:r>
          </w:p>
          <w:p w:rsidR="006B6E2A" w:rsidRDefault="006B6E2A" w:rsidP="00B634C1">
            <w:pPr>
              <w:autoSpaceDE w:val="0"/>
              <w:autoSpaceDN w:val="0"/>
              <w:jc w:val="both"/>
              <w:rPr>
                <w:color w:val="000000" w:themeColor="text1"/>
                <w:szCs w:val="24"/>
              </w:rPr>
            </w:pPr>
          </w:p>
          <w:p w:rsidR="006B6E2A" w:rsidRPr="00E603BE" w:rsidRDefault="006B6E2A" w:rsidP="00B634C1">
            <w:pPr>
              <w:autoSpaceDE w:val="0"/>
              <w:autoSpaceDN w:val="0"/>
              <w:jc w:val="both"/>
              <w:rPr>
                <w:color w:val="000000" w:themeColor="text1"/>
                <w:szCs w:val="24"/>
              </w:rPr>
            </w:pPr>
            <w:r>
              <w:rPr>
                <w:color w:val="000000" w:themeColor="text1"/>
                <w:szCs w:val="24"/>
              </w:rPr>
              <w:t xml:space="preserve">4. Ligoninė neturi autonominės informacinės sistemos, nes yra tiesioginė ESPBI IS naudotoja. </w:t>
            </w:r>
          </w:p>
        </w:tc>
        <w:tc>
          <w:tcPr>
            <w:tcW w:w="1560" w:type="dxa"/>
            <w:tcBorders>
              <w:top w:val="single" w:sz="4" w:space="0" w:color="auto"/>
              <w:bottom w:val="single" w:sz="4" w:space="0" w:color="auto"/>
              <w:right w:val="single" w:sz="4" w:space="0" w:color="auto"/>
            </w:tcBorders>
            <w:shd w:val="clear" w:color="auto" w:fill="auto"/>
          </w:tcPr>
          <w:p w:rsidR="00D106AB" w:rsidRDefault="009E142F" w:rsidP="0090043D">
            <w:pPr>
              <w:ind w:left="360" w:hanging="360"/>
              <w:jc w:val="center"/>
              <w:rPr>
                <w:szCs w:val="24"/>
              </w:rPr>
            </w:pPr>
            <w:r>
              <w:rPr>
                <w:szCs w:val="24"/>
              </w:rPr>
              <w:t>10</w:t>
            </w:r>
          </w:p>
          <w:p w:rsidR="00B634C1" w:rsidRDefault="00D106AB" w:rsidP="0090043D">
            <w:pPr>
              <w:ind w:left="360" w:hanging="360"/>
              <w:jc w:val="center"/>
              <w:rPr>
                <w:szCs w:val="24"/>
              </w:rPr>
            </w:pPr>
            <w:r>
              <w:rPr>
                <w:szCs w:val="24"/>
              </w:rPr>
              <w:t>(30/</w:t>
            </w:r>
            <w:r w:rsidR="009E142F">
              <w:rPr>
                <w:szCs w:val="24"/>
              </w:rPr>
              <w:t>3</w:t>
            </w:r>
            <w:r>
              <w:rPr>
                <w:szCs w:val="24"/>
              </w:rPr>
              <w:t>)</w:t>
            </w:r>
          </w:p>
        </w:tc>
      </w:tr>
      <w:tr w:rsidR="002233E0" w:rsidTr="00225194">
        <w:tc>
          <w:tcPr>
            <w:tcW w:w="570" w:type="dxa"/>
            <w:shd w:val="clear" w:color="auto" w:fill="auto"/>
            <w:vAlign w:val="center"/>
          </w:tcPr>
          <w:p w:rsidR="002233E0" w:rsidRDefault="002233E0" w:rsidP="002233E0">
            <w:pPr>
              <w:jc w:val="center"/>
              <w:rPr>
                <w:szCs w:val="24"/>
              </w:rPr>
            </w:pPr>
            <w:r>
              <w:rPr>
                <w:szCs w:val="24"/>
              </w:rPr>
              <w:t>.</w:t>
            </w:r>
          </w:p>
        </w:tc>
        <w:tc>
          <w:tcPr>
            <w:tcW w:w="3507" w:type="dxa"/>
            <w:tcBorders>
              <w:top w:val="single" w:sz="4" w:space="0" w:color="auto"/>
            </w:tcBorders>
            <w:shd w:val="clear" w:color="auto" w:fill="auto"/>
            <w:vAlign w:val="center"/>
          </w:tcPr>
          <w:p w:rsidR="002233E0" w:rsidRDefault="002233E0" w:rsidP="002233E0">
            <w:pPr>
              <w:jc w:val="both"/>
              <w:rPr>
                <w:b/>
                <w:szCs w:val="24"/>
              </w:rPr>
            </w:pPr>
            <w:r>
              <w:rPr>
                <w:b/>
                <w:szCs w:val="24"/>
              </w:rPr>
              <w:t>Įstaigoje suteiktų asmens sveikatos priežiūros paslaugų skaičius per ketvirtį ir per metus pagal sveikatos apsaugos ministro nustatytas paslaugų grupes</w:t>
            </w:r>
          </w:p>
        </w:tc>
        <w:tc>
          <w:tcPr>
            <w:tcW w:w="4253" w:type="dxa"/>
            <w:tcBorders>
              <w:top w:val="single" w:sz="4" w:space="0" w:color="auto"/>
            </w:tcBorders>
            <w:shd w:val="clear" w:color="auto" w:fill="auto"/>
            <w:vAlign w:val="center"/>
          </w:tcPr>
          <w:p w:rsidR="002233E0" w:rsidRDefault="002233E0" w:rsidP="002233E0">
            <w:pPr>
              <w:jc w:val="center"/>
              <w:rPr>
                <w:szCs w:val="24"/>
              </w:rPr>
            </w:pPr>
            <w:r>
              <w:rPr>
                <w:szCs w:val="24"/>
              </w:rPr>
              <w:t>Nenustatoma</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E603BE" w:rsidRDefault="00D106AB" w:rsidP="00225194">
            <w:pPr>
              <w:jc w:val="center"/>
              <w:rPr>
                <w:color w:val="000000" w:themeColor="text1"/>
              </w:rPr>
            </w:pPr>
            <w:r>
              <w:rPr>
                <w:color w:val="000000" w:themeColor="text1"/>
              </w:rPr>
              <w:t>-</w:t>
            </w:r>
          </w:p>
        </w:tc>
        <w:tc>
          <w:tcPr>
            <w:tcW w:w="1560" w:type="dxa"/>
            <w:tcBorders>
              <w:top w:val="single" w:sz="4" w:space="0" w:color="auto"/>
              <w:right w:val="single" w:sz="4" w:space="0" w:color="auto"/>
            </w:tcBorders>
            <w:shd w:val="clear" w:color="auto" w:fill="auto"/>
            <w:vAlign w:val="center"/>
          </w:tcPr>
          <w:p w:rsidR="002233E0" w:rsidRDefault="00D106AB" w:rsidP="002233E0">
            <w:pPr>
              <w:jc w:val="center"/>
              <w:rPr>
                <w:szCs w:val="24"/>
              </w:rPr>
            </w:pPr>
            <w:r>
              <w:rPr>
                <w:szCs w:val="24"/>
              </w:rPr>
              <w:t>-</w:t>
            </w:r>
          </w:p>
        </w:tc>
      </w:tr>
      <w:tr w:rsidR="002233E0" w:rsidTr="00225194">
        <w:tc>
          <w:tcPr>
            <w:tcW w:w="570" w:type="dxa"/>
            <w:shd w:val="clear" w:color="auto" w:fill="auto"/>
            <w:vAlign w:val="center"/>
          </w:tcPr>
          <w:p w:rsidR="002233E0" w:rsidRDefault="002233E0" w:rsidP="002233E0">
            <w:pPr>
              <w:jc w:val="center"/>
              <w:rPr>
                <w:szCs w:val="24"/>
              </w:rPr>
            </w:pPr>
            <w:r>
              <w:rPr>
                <w:szCs w:val="24"/>
              </w:rPr>
              <w:t>7.</w:t>
            </w:r>
          </w:p>
        </w:tc>
        <w:tc>
          <w:tcPr>
            <w:tcW w:w="3507" w:type="dxa"/>
            <w:shd w:val="clear" w:color="auto" w:fill="auto"/>
          </w:tcPr>
          <w:p w:rsidR="002233E0" w:rsidRDefault="002233E0" w:rsidP="002233E0">
            <w:pPr>
              <w:jc w:val="both"/>
              <w:rPr>
                <w:b/>
                <w:szCs w:val="24"/>
              </w:rPr>
            </w:pPr>
            <w:r>
              <w:rPr>
                <w:b/>
                <w:szCs w:val="24"/>
              </w:rPr>
              <w:t>Vidutinis laikas nuo paciento kreipimosi į įstaigą dėl asmens sveikatos priežiūros paslaugos suteikimo momento iki paskirto paslaugos gavimo laiko pagal sveikatos apsaugos ministro nustatytas paslaugų grupes</w:t>
            </w:r>
          </w:p>
        </w:tc>
        <w:tc>
          <w:tcPr>
            <w:tcW w:w="4253" w:type="dxa"/>
            <w:shd w:val="clear" w:color="auto" w:fill="auto"/>
            <w:vAlign w:val="center"/>
          </w:tcPr>
          <w:p w:rsidR="002233E0" w:rsidRDefault="002233E0" w:rsidP="002233E0">
            <w:pPr>
              <w:jc w:val="center"/>
              <w:rPr>
                <w:szCs w:val="24"/>
              </w:rPr>
            </w:pPr>
            <w:r>
              <w:rPr>
                <w:szCs w:val="24"/>
              </w:rPr>
              <w:t>Nenustatoma</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E603BE" w:rsidRDefault="00D106AB" w:rsidP="00225194">
            <w:pPr>
              <w:jc w:val="center"/>
              <w:rPr>
                <w:color w:val="000000" w:themeColor="text1"/>
              </w:rPr>
            </w:pPr>
            <w:r>
              <w:rPr>
                <w:color w:val="000000" w:themeColor="text1"/>
              </w:rPr>
              <w:t>-</w:t>
            </w:r>
          </w:p>
        </w:tc>
        <w:tc>
          <w:tcPr>
            <w:tcW w:w="1560" w:type="dxa"/>
            <w:tcBorders>
              <w:right w:val="single" w:sz="4" w:space="0" w:color="auto"/>
            </w:tcBorders>
            <w:shd w:val="clear" w:color="auto" w:fill="auto"/>
            <w:vAlign w:val="center"/>
          </w:tcPr>
          <w:p w:rsidR="002233E0" w:rsidRDefault="00D106AB" w:rsidP="002233E0">
            <w:pPr>
              <w:jc w:val="center"/>
              <w:rPr>
                <w:szCs w:val="24"/>
              </w:rPr>
            </w:pPr>
            <w:r>
              <w:rPr>
                <w:szCs w:val="24"/>
              </w:rPr>
              <w:t>-</w:t>
            </w:r>
          </w:p>
        </w:tc>
      </w:tr>
      <w:tr w:rsidR="002233E0" w:rsidTr="00225194">
        <w:tc>
          <w:tcPr>
            <w:tcW w:w="570" w:type="dxa"/>
            <w:shd w:val="clear" w:color="auto" w:fill="auto"/>
            <w:vAlign w:val="center"/>
          </w:tcPr>
          <w:p w:rsidR="002233E0" w:rsidRDefault="002233E0" w:rsidP="002233E0">
            <w:pPr>
              <w:jc w:val="center"/>
              <w:rPr>
                <w:szCs w:val="24"/>
              </w:rPr>
            </w:pPr>
            <w:r>
              <w:rPr>
                <w:szCs w:val="24"/>
              </w:rPr>
              <w:t>8.</w:t>
            </w:r>
          </w:p>
        </w:tc>
        <w:tc>
          <w:tcPr>
            <w:tcW w:w="3507" w:type="dxa"/>
            <w:shd w:val="clear" w:color="auto" w:fill="auto"/>
          </w:tcPr>
          <w:p w:rsidR="002233E0" w:rsidRDefault="002233E0" w:rsidP="002233E0">
            <w:pPr>
              <w:jc w:val="both"/>
              <w:rPr>
                <w:b/>
                <w:szCs w:val="24"/>
              </w:rPr>
            </w:pPr>
            <w:r>
              <w:rPr>
                <w:b/>
                <w:szCs w:val="24"/>
              </w:rPr>
              <w:t xml:space="preserve">Įstaigoje dirbančių darbuotojų ir etatų skaičius ir įstaigoje suteiktų asmens sveikatos priežiūros paslaugų skaičius </w:t>
            </w:r>
            <w:r>
              <w:rPr>
                <w:b/>
                <w:szCs w:val="24"/>
              </w:rPr>
              <w:lastRenderedPageBreak/>
              <w:t>per metus</w:t>
            </w:r>
          </w:p>
        </w:tc>
        <w:tc>
          <w:tcPr>
            <w:tcW w:w="4253" w:type="dxa"/>
            <w:shd w:val="clear" w:color="auto" w:fill="auto"/>
            <w:vAlign w:val="center"/>
          </w:tcPr>
          <w:p w:rsidR="002233E0" w:rsidRDefault="002233E0" w:rsidP="002233E0">
            <w:pPr>
              <w:jc w:val="center"/>
              <w:rPr>
                <w:szCs w:val="24"/>
              </w:rPr>
            </w:pPr>
            <w:r>
              <w:rPr>
                <w:szCs w:val="24"/>
              </w:rPr>
              <w:lastRenderedPageBreak/>
              <w:t>Nenustatoma</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E603BE" w:rsidRDefault="00D106AB" w:rsidP="00225194">
            <w:pPr>
              <w:jc w:val="center"/>
              <w:rPr>
                <w:color w:val="000000" w:themeColor="text1"/>
              </w:rPr>
            </w:pPr>
            <w:r>
              <w:rPr>
                <w:color w:val="000000" w:themeColor="text1"/>
              </w:rPr>
              <w:t>-</w:t>
            </w:r>
          </w:p>
        </w:tc>
        <w:tc>
          <w:tcPr>
            <w:tcW w:w="1560" w:type="dxa"/>
            <w:tcBorders>
              <w:right w:val="single" w:sz="4" w:space="0" w:color="auto"/>
            </w:tcBorders>
            <w:shd w:val="clear" w:color="auto" w:fill="auto"/>
            <w:vAlign w:val="center"/>
          </w:tcPr>
          <w:p w:rsidR="002233E0" w:rsidRDefault="00D106AB" w:rsidP="002233E0">
            <w:pPr>
              <w:jc w:val="center"/>
              <w:rPr>
                <w:szCs w:val="24"/>
              </w:rPr>
            </w:pPr>
            <w:r>
              <w:rPr>
                <w:szCs w:val="24"/>
              </w:rPr>
              <w:t>-</w:t>
            </w:r>
          </w:p>
        </w:tc>
      </w:tr>
      <w:tr w:rsidR="002233E0" w:rsidTr="00225194">
        <w:trPr>
          <w:trHeight w:val="2208"/>
        </w:trPr>
        <w:tc>
          <w:tcPr>
            <w:tcW w:w="570" w:type="dxa"/>
            <w:shd w:val="clear" w:color="auto" w:fill="auto"/>
            <w:vAlign w:val="center"/>
          </w:tcPr>
          <w:p w:rsidR="002233E0" w:rsidRDefault="002233E0" w:rsidP="002233E0">
            <w:pPr>
              <w:jc w:val="center"/>
              <w:rPr>
                <w:szCs w:val="24"/>
              </w:rPr>
            </w:pPr>
            <w:r>
              <w:rPr>
                <w:szCs w:val="24"/>
              </w:rPr>
              <w:t>9.</w:t>
            </w:r>
          </w:p>
        </w:tc>
        <w:tc>
          <w:tcPr>
            <w:tcW w:w="3507" w:type="dxa"/>
            <w:shd w:val="clear" w:color="auto" w:fill="auto"/>
            <w:vAlign w:val="center"/>
          </w:tcPr>
          <w:p w:rsidR="002233E0" w:rsidRDefault="002233E0" w:rsidP="002233E0">
            <w:pPr>
              <w:jc w:val="both"/>
              <w:rPr>
                <w:b/>
                <w:szCs w:val="24"/>
              </w:rPr>
            </w:pPr>
            <w:r>
              <w:rPr>
                <w:b/>
                <w:szCs w:val="24"/>
              </w:rPr>
              <w:t>Vidutinė hospitalizuotų pacientų gydymo trukmė įstaigoje pagal sveikatos apsaugos ministro nustatytas paslaugų grupes (taikoma tik antrinio ir tretinio lygio asmens sveikatos priežiūros paslaugas teikiančioms įstaigoms)</w:t>
            </w:r>
          </w:p>
        </w:tc>
        <w:tc>
          <w:tcPr>
            <w:tcW w:w="4253" w:type="dxa"/>
            <w:shd w:val="clear" w:color="auto" w:fill="auto"/>
            <w:vAlign w:val="center"/>
          </w:tcPr>
          <w:p w:rsidR="002233E0" w:rsidRDefault="002233E0" w:rsidP="002233E0">
            <w:pPr>
              <w:jc w:val="center"/>
              <w:rPr>
                <w:b/>
                <w:szCs w:val="24"/>
              </w:rPr>
            </w:pPr>
            <w:r>
              <w:rPr>
                <w:b/>
                <w:szCs w:val="24"/>
              </w:rPr>
              <w:t>-</w:t>
            </w:r>
          </w:p>
        </w:tc>
        <w:tc>
          <w:tcPr>
            <w:tcW w:w="5386" w:type="dxa"/>
            <w:shd w:val="clear" w:color="auto" w:fill="auto"/>
            <w:vAlign w:val="center"/>
          </w:tcPr>
          <w:p w:rsidR="002233E0" w:rsidRDefault="00D106AB" w:rsidP="00225194">
            <w:pPr>
              <w:jc w:val="center"/>
              <w:rPr>
                <w:b/>
                <w:szCs w:val="24"/>
              </w:rPr>
            </w:pPr>
            <w:r>
              <w:rPr>
                <w:b/>
                <w:szCs w:val="24"/>
              </w:rPr>
              <w:t>-</w:t>
            </w:r>
          </w:p>
        </w:tc>
        <w:tc>
          <w:tcPr>
            <w:tcW w:w="1560" w:type="dxa"/>
            <w:tcBorders>
              <w:right w:val="single" w:sz="4" w:space="0" w:color="auto"/>
            </w:tcBorders>
            <w:shd w:val="clear" w:color="auto" w:fill="auto"/>
            <w:vAlign w:val="center"/>
          </w:tcPr>
          <w:p w:rsidR="002233E0" w:rsidRDefault="00D106AB" w:rsidP="002233E0">
            <w:pPr>
              <w:jc w:val="center"/>
              <w:rPr>
                <w:b/>
                <w:szCs w:val="24"/>
              </w:rPr>
            </w:pPr>
            <w:r>
              <w:rPr>
                <w:b/>
                <w:szCs w:val="24"/>
              </w:rPr>
              <w:t>-</w:t>
            </w:r>
          </w:p>
        </w:tc>
      </w:tr>
      <w:tr w:rsidR="002233E0" w:rsidTr="00225194">
        <w:tc>
          <w:tcPr>
            <w:tcW w:w="570" w:type="dxa"/>
            <w:shd w:val="clear" w:color="auto" w:fill="auto"/>
            <w:vAlign w:val="center"/>
          </w:tcPr>
          <w:p w:rsidR="002233E0" w:rsidRDefault="002233E0" w:rsidP="002233E0">
            <w:pPr>
              <w:jc w:val="center"/>
              <w:rPr>
                <w:szCs w:val="24"/>
              </w:rPr>
            </w:pPr>
            <w:r>
              <w:rPr>
                <w:szCs w:val="24"/>
              </w:rPr>
              <w:t>10.</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Lovos užimtumo rodiklis įstaigoje pagal sveikatos apsaugos ministro nustatytas paslaugų grupes (taikoma tik antrinio ir tretinio lygio asmens sveikatos priežiūros paslaugas teikiančioms įstaigoms)</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5386" w:type="dxa"/>
            <w:tcBorders>
              <w:top w:val="single" w:sz="4" w:space="0" w:color="auto"/>
              <w:bottom w:val="single" w:sz="4" w:space="0" w:color="auto"/>
            </w:tcBorders>
            <w:shd w:val="clear" w:color="auto" w:fill="auto"/>
            <w:vAlign w:val="center"/>
          </w:tcPr>
          <w:p w:rsidR="002233E0" w:rsidRDefault="00D106AB" w:rsidP="00225194">
            <w:pPr>
              <w:jc w:val="center"/>
              <w:rPr>
                <w:szCs w:val="24"/>
              </w:rPr>
            </w:pPr>
            <w:r>
              <w:rPr>
                <w:szCs w:val="24"/>
              </w:rPr>
              <w:t>-</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D106AB" w:rsidP="002233E0">
            <w:pPr>
              <w:jc w:val="center"/>
              <w:rPr>
                <w:szCs w:val="24"/>
              </w:rPr>
            </w:pPr>
            <w:r>
              <w:rPr>
                <w:szCs w:val="24"/>
              </w:rPr>
              <w:t>-</w:t>
            </w:r>
          </w:p>
        </w:tc>
      </w:tr>
      <w:tr w:rsidR="002233E0" w:rsidTr="00225194">
        <w:trPr>
          <w:trHeight w:val="1874"/>
        </w:trPr>
        <w:tc>
          <w:tcPr>
            <w:tcW w:w="570" w:type="dxa"/>
            <w:vMerge w:val="restart"/>
            <w:shd w:val="clear" w:color="auto" w:fill="auto"/>
            <w:vAlign w:val="center"/>
          </w:tcPr>
          <w:p w:rsidR="002233E0" w:rsidRDefault="002233E0" w:rsidP="002233E0">
            <w:pPr>
              <w:jc w:val="center"/>
              <w:rPr>
                <w:szCs w:val="24"/>
              </w:rPr>
            </w:pPr>
            <w:r>
              <w:rPr>
                <w:szCs w:val="24"/>
              </w:rPr>
              <w:t>11.</w:t>
            </w:r>
          </w:p>
        </w:tc>
        <w:tc>
          <w:tcPr>
            <w:tcW w:w="3507" w:type="dxa"/>
            <w:vMerge w:val="restart"/>
            <w:tcBorders>
              <w:top w:val="single" w:sz="4" w:space="0" w:color="auto"/>
            </w:tcBorders>
            <w:shd w:val="clear" w:color="auto" w:fill="auto"/>
          </w:tcPr>
          <w:p w:rsidR="002233E0" w:rsidRDefault="002233E0" w:rsidP="002233E0">
            <w:pPr>
              <w:jc w:val="both"/>
              <w:rPr>
                <w:b/>
                <w:szCs w:val="24"/>
              </w:rPr>
            </w:pPr>
            <w:r>
              <w:rPr>
                <w:b/>
                <w:szCs w:val="24"/>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5386" w:type="dxa"/>
            <w:tcBorders>
              <w:top w:val="single" w:sz="4" w:space="0" w:color="auto"/>
              <w:bottom w:val="single" w:sz="4" w:space="0" w:color="auto"/>
            </w:tcBorders>
            <w:shd w:val="clear" w:color="auto" w:fill="auto"/>
            <w:vAlign w:val="center"/>
          </w:tcPr>
          <w:p w:rsidR="002233E0" w:rsidRDefault="00D106AB" w:rsidP="00225194">
            <w:pPr>
              <w:jc w:val="center"/>
              <w:rPr>
                <w:szCs w:val="24"/>
              </w:rPr>
            </w:pPr>
            <w:r>
              <w:rPr>
                <w:szCs w:val="24"/>
              </w:rPr>
              <w:t>-</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D106AB" w:rsidP="002233E0">
            <w:pPr>
              <w:jc w:val="center"/>
              <w:rPr>
                <w:szCs w:val="24"/>
              </w:rPr>
            </w:pPr>
            <w:r>
              <w:rPr>
                <w:szCs w:val="24"/>
              </w:rPr>
              <w:t>-</w:t>
            </w:r>
          </w:p>
        </w:tc>
      </w:tr>
      <w:tr w:rsidR="002233E0" w:rsidTr="00225194">
        <w:trPr>
          <w:trHeight w:val="703"/>
        </w:trPr>
        <w:tc>
          <w:tcPr>
            <w:tcW w:w="570" w:type="dxa"/>
            <w:vMerge/>
            <w:shd w:val="clear" w:color="auto" w:fill="auto"/>
            <w:vAlign w:val="center"/>
          </w:tcPr>
          <w:p w:rsidR="002233E0" w:rsidRDefault="002233E0" w:rsidP="002233E0">
            <w:pPr>
              <w:jc w:val="center"/>
              <w:rPr>
                <w:szCs w:val="24"/>
              </w:rPr>
            </w:pPr>
          </w:p>
        </w:tc>
        <w:tc>
          <w:tcPr>
            <w:tcW w:w="3507" w:type="dxa"/>
            <w:vMerge/>
            <w:tcBorders>
              <w:bottom w:val="single" w:sz="4" w:space="0" w:color="auto"/>
            </w:tcBorders>
            <w:shd w:val="clear" w:color="auto" w:fill="auto"/>
          </w:tcPr>
          <w:p w:rsidR="002233E0" w:rsidRDefault="002233E0" w:rsidP="002233E0">
            <w:pPr>
              <w:jc w:val="both"/>
              <w:rPr>
                <w:b/>
                <w:szCs w:val="24"/>
              </w:rPr>
            </w:pP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5386" w:type="dxa"/>
            <w:tcBorders>
              <w:top w:val="single" w:sz="4" w:space="0" w:color="auto"/>
              <w:bottom w:val="single" w:sz="4" w:space="0" w:color="auto"/>
            </w:tcBorders>
            <w:shd w:val="clear" w:color="auto" w:fill="auto"/>
            <w:vAlign w:val="center"/>
          </w:tcPr>
          <w:p w:rsidR="002233E0" w:rsidRDefault="00D106AB" w:rsidP="00225194">
            <w:pPr>
              <w:jc w:val="center"/>
              <w:rPr>
                <w:szCs w:val="24"/>
              </w:rPr>
            </w:pPr>
            <w:r>
              <w:rPr>
                <w:szCs w:val="24"/>
              </w:rPr>
              <w:t>-</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D106AB" w:rsidP="002233E0">
            <w:pPr>
              <w:jc w:val="center"/>
              <w:rPr>
                <w:szCs w:val="24"/>
              </w:rPr>
            </w:pPr>
            <w:r>
              <w:rPr>
                <w:szCs w:val="24"/>
              </w:rPr>
              <w:t>-</w:t>
            </w:r>
          </w:p>
        </w:tc>
      </w:tr>
      <w:tr w:rsidR="002233E0" w:rsidTr="00123D4F">
        <w:trPr>
          <w:gridAfter w:val="4"/>
          <w:wAfter w:w="14706" w:type="dxa"/>
        </w:trPr>
        <w:tc>
          <w:tcPr>
            <w:tcW w:w="570" w:type="dxa"/>
            <w:tcBorders>
              <w:right w:val="single" w:sz="4" w:space="0" w:color="auto"/>
            </w:tcBorders>
            <w:shd w:val="clear" w:color="auto" w:fill="auto"/>
            <w:vAlign w:val="center"/>
          </w:tcPr>
          <w:p w:rsidR="002233E0" w:rsidRDefault="002233E0" w:rsidP="002233E0">
            <w:pPr>
              <w:jc w:val="center"/>
              <w:rPr>
                <w:b/>
                <w:szCs w:val="24"/>
              </w:rPr>
            </w:pPr>
            <w:r>
              <w:rPr>
                <w:b/>
                <w:szCs w:val="24"/>
              </w:rPr>
              <w:t>III</w:t>
            </w:r>
          </w:p>
        </w:tc>
      </w:tr>
      <w:tr w:rsidR="002233E0" w:rsidTr="00B634C1">
        <w:tc>
          <w:tcPr>
            <w:tcW w:w="570" w:type="dxa"/>
            <w:tcBorders>
              <w:right w:val="single" w:sz="4" w:space="0" w:color="auto"/>
            </w:tcBorders>
            <w:shd w:val="clear" w:color="auto" w:fill="auto"/>
            <w:vAlign w:val="center"/>
          </w:tcPr>
          <w:p w:rsidR="002233E0" w:rsidRDefault="002233E0" w:rsidP="002233E0">
            <w:pPr>
              <w:jc w:val="center"/>
              <w:rPr>
                <w:szCs w:val="24"/>
              </w:rPr>
            </w:pPr>
            <w:r>
              <w:rPr>
                <w:szCs w:val="24"/>
              </w:rPr>
              <w:t>1.</w:t>
            </w:r>
          </w:p>
        </w:tc>
        <w:tc>
          <w:tcPr>
            <w:tcW w:w="3507" w:type="dxa"/>
            <w:tcBorders>
              <w:top w:val="single" w:sz="4" w:space="0" w:color="auto"/>
              <w:left w:val="single" w:sz="4" w:space="0" w:color="auto"/>
              <w:bottom w:val="single" w:sz="4" w:space="0" w:color="auto"/>
              <w:right w:val="single" w:sz="4" w:space="0" w:color="auto"/>
            </w:tcBorders>
            <w:shd w:val="clear" w:color="auto" w:fill="auto"/>
          </w:tcPr>
          <w:p w:rsidR="002233E0" w:rsidRDefault="002233E0" w:rsidP="002233E0">
            <w:pPr>
              <w:jc w:val="both"/>
              <w:rPr>
                <w:b/>
                <w:szCs w:val="24"/>
              </w:rPr>
            </w:pPr>
            <w:r>
              <w:rPr>
                <w:b/>
                <w:szCs w:val="24"/>
              </w:rPr>
              <w:t>Kritinis likvidumo rodiklis</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szCs w:val="24"/>
              </w:rPr>
              <w:t>Ne mažiau kaip 0,8</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D106AB" w:rsidP="002233E0">
            <w:pPr>
              <w:jc w:val="center"/>
              <w:rPr>
                <w:szCs w:val="24"/>
              </w:rPr>
            </w:pPr>
            <w:r>
              <w:rPr>
                <w:szCs w:val="24"/>
              </w:rPr>
              <w:t>15,25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D106AB" w:rsidP="002233E0">
            <w:pPr>
              <w:jc w:val="center"/>
              <w:rPr>
                <w:szCs w:val="24"/>
              </w:rPr>
            </w:pPr>
            <w:r>
              <w:rPr>
                <w:szCs w:val="24"/>
              </w:rPr>
              <w:t>10</w:t>
            </w:r>
          </w:p>
        </w:tc>
      </w:tr>
      <w:tr w:rsidR="002233E0" w:rsidTr="00B634C1">
        <w:trPr>
          <w:trHeight w:val="1191"/>
        </w:trPr>
        <w:tc>
          <w:tcPr>
            <w:tcW w:w="570" w:type="dxa"/>
            <w:tcBorders>
              <w:right w:val="single" w:sz="4" w:space="0" w:color="auto"/>
            </w:tcBorders>
            <w:shd w:val="clear" w:color="auto" w:fill="auto"/>
            <w:vAlign w:val="center"/>
          </w:tcPr>
          <w:p w:rsidR="002233E0" w:rsidRDefault="002233E0" w:rsidP="002233E0">
            <w:pPr>
              <w:jc w:val="center"/>
              <w:rPr>
                <w:szCs w:val="24"/>
              </w:rPr>
            </w:pPr>
            <w:r>
              <w:rPr>
                <w:szCs w:val="24"/>
              </w:rPr>
              <w:lastRenderedPageBreak/>
              <w:t>2.</w:t>
            </w:r>
          </w:p>
        </w:tc>
        <w:tc>
          <w:tcPr>
            <w:tcW w:w="3507"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2233E0" w:rsidP="002233E0">
            <w:pPr>
              <w:jc w:val="both"/>
              <w:rPr>
                <w:b/>
                <w:szCs w:val="24"/>
              </w:rPr>
            </w:pPr>
            <w:r>
              <w:rPr>
                <w:b/>
                <w:szCs w:val="24"/>
              </w:rPr>
              <w:t>Konsoliduotų viešųjų pirkimų skaičius</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color w:val="000000"/>
                <w:szCs w:val="24"/>
                <w:lang w:eastAsia="en-GB"/>
              </w:rPr>
              <w:t>Ne mažiau kaip 1</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D106AB" w:rsidP="002233E0">
            <w:pPr>
              <w:jc w:val="center"/>
              <w:rPr>
                <w:szCs w:val="24"/>
              </w:rPr>
            </w:pPr>
            <w:r>
              <w:rPr>
                <w:szCs w:val="24"/>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D106AB" w:rsidP="002233E0">
            <w:pPr>
              <w:jc w:val="center"/>
              <w:rPr>
                <w:szCs w:val="24"/>
              </w:rPr>
            </w:pPr>
            <w:r>
              <w:rPr>
                <w:szCs w:val="24"/>
              </w:rPr>
              <w:t>10</w:t>
            </w:r>
          </w:p>
        </w:tc>
      </w:tr>
    </w:tbl>
    <w:p w:rsidR="001A1A0F" w:rsidRDefault="00B634C1">
      <w:pPr>
        <w:rPr>
          <w:b/>
        </w:rPr>
      </w:pPr>
      <w:r>
        <w:tab/>
      </w:r>
      <w:r>
        <w:tab/>
      </w:r>
      <w:r>
        <w:tab/>
      </w:r>
      <w:r>
        <w:tab/>
      </w:r>
      <w:r>
        <w:tab/>
      </w:r>
      <w:r>
        <w:tab/>
      </w:r>
      <w:r>
        <w:tab/>
      </w:r>
      <w:r>
        <w:tab/>
      </w:r>
      <w:r>
        <w:tab/>
      </w:r>
      <w:r>
        <w:tab/>
      </w:r>
      <w:r>
        <w:tab/>
      </w:r>
      <w:r>
        <w:tab/>
      </w:r>
      <w:r>
        <w:tab/>
      </w:r>
      <w:r>
        <w:tab/>
      </w:r>
      <w:r>
        <w:tab/>
      </w:r>
      <w:r>
        <w:tab/>
      </w:r>
      <w:r>
        <w:tab/>
      </w:r>
      <w:r>
        <w:tab/>
      </w:r>
      <w:r w:rsidRPr="00264F7A">
        <w:rPr>
          <w:b/>
        </w:rPr>
        <w:t>VISO:</w:t>
      </w:r>
      <w:r w:rsidRPr="00264F7A">
        <w:rPr>
          <w:b/>
        </w:rPr>
        <w:tab/>
      </w:r>
      <w:r w:rsidR="00FE1BDD" w:rsidRPr="00264F7A">
        <w:rPr>
          <w:b/>
        </w:rPr>
        <w:t xml:space="preserve">  </w:t>
      </w:r>
      <w:r w:rsidR="00264F7A">
        <w:rPr>
          <w:b/>
        </w:rPr>
        <w:t xml:space="preserve">       </w:t>
      </w:r>
      <w:r w:rsidR="009E142F">
        <w:rPr>
          <w:b/>
        </w:rPr>
        <w:t>85</w:t>
      </w:r>
    </w:p>
    <w:p w:rsidR="007C559C" w:rsidRDefault="007C559C">
      <w:pPr>
        <w:rPr>
          <w:b/>
        </w:rPr>
      </w:pPr>
    </w:p>
    <w:p w:rsidR="00D21AF9" w:rsidRPr="00BB27C9" w:rsidRDefault="00D21AF9" w:rsidP="00D21AF9">
      <w:pPr>
        <w:spacing w:line="276" w:lineRule="auto"/>
        <w:ind w:firstLine="709"/>
        <w:jc w:val="both"/>
        <w:rPr>
          <w:sz w:val="22"/>
          <w:szCs w:val="22"/>
        </w:rPr>
      </w:pPr>
      <w:r w:rsidRPr="00BB27C9">
        <w:rPr>
          <w:sz w:val="22"/>
          <w:szCs w:val="22"/>
        </w:rPr>
        <w:t xml:space="preserve">Vertinimas atliktas vadovaujantis </w:t>
      </w:r>
      <w:r w:rsidRPr="00BB27C9">
        <w:rPr>
          <w:color w:val="000000"/>
          <w:sz w:val="22"/>
          <w:szCs w:val="22"/>
        </w:rPr>
        <w:t>Lietuvos nacionalinės sveikatos sistemos</w:t>
      </w:r>
      <w:r w:rsidRPr="00BB27C9">
        <w:rPr>
          <w:caps/>
          <w:color w:val="000000"/>
          <w:sz w:val="22"/>
          <w:szCs w:val="22"/>
        </w:rPr>
        <w:t xml:space="preserve"> </w:t>
      </w:r>
      <w:r w:rsidRPr="00BB27C9">
        <w:rPr>
          <w:color w:val="000000"/>
          <w:sz w:val="22"/>
          <w:szCs w:val="22"/>
        </w:rPr>
        <w:t>viešųjų įstaigų</w:t>
      </w:r>
      <w:r w:rsidRPr="00BB27C9">
        <w:rPr>
          <w:caps/>
          <w:color w:val="000000"/>
          <w:sz w:val="22"/>
          <w:szCs w:val="22"/>
        </w:rPr>
        <w:t xml:space="preserve"> </w:t>
      </w:r>
      <w:r w:rsidRPr="00BB27C9">
        <w:rPr>
          <w:color w:val="000000"/>
          <w:sz w:val="22"/>
          <w:szCs w:val="22"/>
        </w:rPr>
        <w:t xml:space="preserve">vadovų ir jų pavaduotojų mėnesinės algos kintamosios dalies dydžio nustatymo tvarkos aprašu, patvirtintu </w:t>
      </w:r>
      <w:r w:rsidRPr="00BB27C9">
        <w:rPr>
          <w:sz w:val="22"/>
          <w:szCs w:val="22"/>
          <w:lang w:eastAsia="lt-LT"/>
        </w:rPr>
        <w:t>Lietuvos Respublikos sveikatos apsaugos ministro 2022 m. kovo 10 d. įsakymu Nr. V-520</w:t>
      </w:r>
      <w:hyperlink r:id="rId8" w:history="1">
        <w:r w:rsidRPr="00BB27C9">
          <w:rPr>
            <w:rStyle w:val="Hipersaitas"/>
            <w:sz w:val="22"/>
            <w:szCs w:val="22"/>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Pr="00BB27C9">
        <w:rPr>
          <w:sz w:val="22"/>
          <w:szCs w:val="22"/>
        </w:rPr>
        <w:t xml:space="preserve">, </w:t>
      </w:r>
      <w:r w:rsidRPr="00BB27C9">
        <w:rPr>
          <w:sz w:val="22"/>
          <w:szCs w:val="22"/>
          <w:lang w:eastAsia="lt-LT"/>
        </w:rPr>
        <w:t xml:space="preserve">vertinant </w:t>
      </w:r>
      <w:r w:rsidRPr="00BB27C9">
        <w:rPr>
          <w:sz w:val="22"/>
          <w:szCs w:val="22"/>
        </w:rPr>
        <w:t xml:space="preserve"> Lietuvos Respublikos sveikatos apsaugos ministro 2021 m. rugpjūčio 30 d. įsakymu Nr. V-1964 „</w:t>
      </w:r>
      <w:hyperlink r:id="rId9" w:history="1">
        <w:r w:rsidRPr="00BB27C9">
          <w:rPr>
            <w:rStyle w:val="Hipersaitas"/>
            <w:sz w:val="22"/>
            <w:szCs w:val="22"/>
          </w:rPr>
          <w:t>Dėl Lietuvos nacionalinės sveikatos sistemos viešųjų ir biudžetinių įstaigų, teikiančių asmens sveikatos priežiūros paslaugas, veiklos rezultatų vertinimo rodiklių 2021 metų siektinų reikšmių patvirtinimo</w:t>
        </w:r>
      </w:hyperlink>
      <w:r w:rsidRPr="00BB27C9">
        <w:rPr>
          <w:sz w:val="22"/>
          <w:szCs w:val="22"/>
        </w:rPr>
        <w:t>“ nustatytų reikšmių pasiekimą.</w:t>
      </w:r>
    </w:p>
    <w:p w:rsidR="00D21AF9" w:rsidRPr="00306615" w:rsidRDefault="00D21AF9">
      <w:pPr>
        <w:rPr>
          <w:b/>
        </w:rPr>
      </w:pPr>
    </w:p>
    <w:sectPr w:rsidR="00D21AF9" w:rsidRPr="00306615">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701" w:right="851" w:bottom="567" w:left="1134" w:header="1134" w:footer="113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F6D" w:rsidRDefault="00605F6D">
      <w:pPr>
        <w:rPr>
          <w:szCs w:val="24"/>
        </w:rPr>
      </w:pPr>
      <w:r>
        <w:rPr>
          <w:szCs w:val="24"/>
        </w:rPr>
        <w:separator/>
      </w:r>
    </w:p>
  </w:endnote>
  <w:endnote w:type="continuationSeparator" w:id="0">
    <w:p w:rsidR="00605F6D" w:rsidRDefault="00605F6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F6D" w:rsidRDefault="00605F6D">
      <w:pPr>
        <w:rPr>
          <w:szCs w:val="24"/>
        </w:rPr>
      </w:pPr>
      <w:r>
        <w:rPr>
          <w:szCs w:val="24"/>
        </w:rPr>
        <w:separator/>
      </w:r>
    </w:p>
  </w:footnote>
  <w:footnote w:type="continuationSeparator" w:id="0">
    <w:p w:rsidR="00605F6D" w:rsidRDefault="00605F6D">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83643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end"/>
    </w:r>
  </w:p>
  <w:p w:rsidR="001A1A0F" w:rsidRDefault="001A1A0F">
    <w:pPr>
      <w:tabs>
        <w:tab w:val="center" w:pos="4153"/>
        <w:tab w:val="right" w:pos="8306"/>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83643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sidR="00502538">
      <w:rPr>
        <w:noProof/>
        <w:szCs w:val="24"/>
      </w:rPr>
      <w:t>4</w:t>
    </w:r>
    <w:r>
      <w:rPr>
        <w:szCs w:val="24"/>
      </w:rPr>
      <w:fldChar w:fldCharType="end"/>
    </w:r>
  </w:p>
  <w:p w:rsidR="001A1A0F" w:rsidRDefault="001A1A0F">
    <w:pPr>
      <w:tabs>
        <w:tab w:val="center" w:pos="4153"/>
        <w:tab w:val="right" w:pos="8306"/>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7D4E61"/>
    <w:multiLevelType w:val="multilevel"/>
    <w:tmpl w:val="AA2E47B8"/>
    <w:lvl w:ilvl="0">
      <w:start w:val="1"/>
      <w:numFmt w:val="decimal"/>
      <w:lvlText w:val="%1."/>
      <w:lvlJc w:val="left"/>
      <w:pPr>
        <w:ind w:left="360" w:hanging="360"/>
      </w:pPr>
      <w:rPr>
        <w:color w:val="auto"/>
      </w:rPr>
    </w:lvl>
    <w:lvl w:ilvl="1">
      <w:start w:val="1"/>
      <w:numFmt w:val="decimal"/>
      <w:lvlText w:val="%2."/>
      <w:lvlJc w:val="left"/>
      <w:pPr>
        <w:ind w:left="360" w:hanging="360"/>
      </w:pPr>
      <w:rPr>
        <w:rFonts w:ascii="Times New Roman" w:eastAsia="Calibri"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9E"/>
    <w:rsid w:val="00027F03"/>
    <w:rsid w:val="00123D4F"/>
    <w:rsid w:val="001A1A0F"/>
    <w:rsid w:val="002233E0"/>
    <w:rsid w:val="00225194"/>
    <w:rsid w:val="00264F7A"/>
    <w:rsid w:val="00306615"/>
    <w:rsid w:val="00365B7C"/>
    <w:rsid w:val="00425E7B"/>
    <w:rsid w:val="0044755F"/>
    <w:rsid w:val="004C444C"/>
    <w:rsid w:val="00502538"/>
    <w:rsid w:val="00605F6D"/>
    <w:rsid w:val="00697F9F"/>
    <w:rsid w:val="006B6E2A"/>
    <w:rsid w:val="00724959"/>
    <w:rsid w:val="007C18D7"/>
    <w:rsid w:val="007C559C"/>
    <w:rsid w:val="007F2CCD"/>
    <w:rsid w:val="00811ED8"/>
    <w:rsid w:val="00833ACB"/>
    <w:rsid w:val="00836435"/>
    <w:rsid w:val="008A21F8"/>
    <w:rsid w:val="0090043D"/>
    <w:rsid w:val="009E142F"/>
    <w:rsid w:val="00AF605C"/>
    <w:rsid w:val="00B634C1"/>
    <w:rsid w:val="00BA3DB4"/>
    <w:rsid w:val="00D106AB"/>
    <w:rsid w:val="00D21AF9"/>
    <w:rsid w:val="00DA02C3"/>
    <w:rsid w:val="00DF4F5D"/>
    <w:rsid w:val="00EC74B1"/>
    <w:rsid w:val="00F55C46"/>
    <w:rsid w:val="00F6071A"/>
    <w:rsid w:val="00FD109E"/>
    <w:rsid w:val="00FE1BD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56947C"/>
  <w15:docId w15:val="{C4821400-66A0-48E3-A623-7F36920B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123D4F"/>
    <w:pPr>
      <w:spacing w:after="200" w:line="276" w:lineRule="auto"/>
      <w:ind w:left="720"/>
      <w:contextualSpacing/>
    </w:pPr>
    <w:rPr>
      <w:rFonts w:ascii="Calibri" w:eastAsia="Calibri" w:hAnsi="Calibri"/>
      <w:sz w:val="22"/>
      <w:szCs w:val="22"/>
    </w:rPr>
  </w:style>
  <w:style w:type="paragraph" w:customStyle="1" w:styleId="Default">
    <w:name w:val="Default"/>
    <w:basedOn w:val="prastasis"/>
    <w:rsid w:val="00123D4F"/>
    <w:pPr>
      <w:autoSpaceDE w:val="0"/>
      <w:autoSpaceDN w:val="0"/>
    </w:pPr>
    <w:rPr>
      <w:rFonts w:eastAsia="Calibri"/>
      <w:color w:val="000000"/>
      <w:szCs w:val="24"/>
    </w:rPr>
  </w:style>
  <w:style w:type="character" w:styleId="Hipersaitas">
    <w:name w:val="Hyperlink"/>
    <w:basedOn w:val="Numatytasispastraiposriftas"/>
    <w:unhideWhenUsed/>
    <w:rsid w:val="00D21A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1014">
      <w:bodyDiv w:val="1"/>
      <w:marLeft w:val="0"/>
      <w:marRight w:val="0"/>
      <w:marTop w:val="0"/>
      <w:marBottom w:val="0"/>
      <w:divBdr>
        <w:top w:val="none" w:sz="0" w:space="0" w:color="auto"/>
        <w:left w:val="none" w:sz="0" w:space="0" w:color="auto"/>
        <w:bottom w:val="none" w:sz="0" w:space="0" w:color="auto"/>
        <w:right w:val="none" w:sz="0" w:space="0" w:color="auto"/>
      </w:divBdr>
    </w:div>
    <w:div w:id="117918166">
      <w:bodyDiv w:val="1"/>
      <w:marLeft w:val="0"/>
      <w:marRight w:val="0"/>
      <w:marTop w:val="0"/>
      <w:marBottom w:val="0"/>
      <w:divBdr>
        <w:top w:val="none" w:sz="0" w:space="0" w:color="auto"/>
        <w:left w:val="none" w:sz="0" w:space="0" w:color="auto"/>
        <w:bottom w:val="none" w:sz="0" w:space="0" w:color="auto"/>
        <w:right w:val="none" w:sz="0" w:space="0" w:color="auto"/>
      </w:divBdr>
    </w:div>
    <w:div w:id="177235051">
      <w:bodyDiv w:val="1"/>
      <w:marLeft w:val="0"/>
      <w:marRight w:val="0"/>
      <w:marTop w:val="0"/>
      <w:marBottom w:val="0"/>
      <w:divBdr>
        <w:top w:val="none" w:sz="0" w:space="0" w:color="auto"/>
        <w:left w:val="none" w:sz="0" w:space="0" w:color="auto"/>
        <w:bottom w:val="none" w:sz="0" w:space="0" w:color="auto"/>
        <w:right w:val="none" w:sz="0" w:space="0" w:color="auto"/>
      </w:divBdr>
    </w:div>
    <w:div w:id="182742846">
      <w:bodyDiv w:val="1"/>
      <w:marLeft w:val="0"/>
      <w:marRight w:val="0"/>
      <w:marTop w:val="0"/>
      <w:marBottom w:val="0"/>
      <w:divBdr>
        <w:top w:val="none" w:sz="0" w:space="0" w:color="auto"/>
        <w:left w:val="none" w:sz="0" w:space="0" w:color="auto"/>
        <w:bottom w:val="none" w:sz="0" w:space="0" w:color="auto"/>
        <w:right w:val="none" w:sz="0" w:space="0" w:color="auto"/>
      </w:divBdr>
    </w:div>
    <w:div w:id="226040467">
      <w:bodyDiv w:val="1"/>
      <w:marLeft w:val="0"/>
      <w:marRight w:val="0"/>
      <w:marTop w:val="0"/>
      <w:marBottom w:val="0"/>
      <w:divBdr>
        <w:top w:val="none" w:sz="0" w:space="0" w:color="auto"/>
        <w:left w:val="none" w:sz="0" w:space="0" w:color="auto"/>
        <w:bottom w:val="none" w:sz="0" w:space="0" w:color="auto"/>
        <w:right w:val="none" w:sz="0" w:space="0" w:color="auto"/>
      </w:divBdr>
    </w:div>
    <w:div w:id="267202645">
      <w:bodyDiv w:val="1"/>
      <w:marLeft w:val="0"/>
      <w:marRight w:val="0"/>
      <w:marTop w:val="0"/>
      <w:marBottom w:val="0"/>
      <w:divBdr>
        <w:top w:val="none" w:sz="0" w:space="0" w:color="auto"/>
        <w:left w:val="none" w:sz="0" w:space="0" w:color="auto"/>
        <w:bottom w:val="none" w:sz="0" w:space="0" w:color="auto"/>
        <w:right w:val="none" w:sz="0" w:space="0" w:color="auto"/>
      </w:divBdr>
    </w:div>
    <w:div w:id="303782550">
      <w:bodyDiv w:val="1"/>
      <w:marLeft w:val="0"/>
      <w:marRight w:val="0"/>
      <w:marTop w:val="0"/>
      <w:marBottom w:val="0"/>
      <w:divBdr>
        <w:top w:val="none" w:sz="0" w:space="0" w:color="auto"/>
        <w:left w:val="none" w:sz="0" w:space="0" w:color="auto"/>
        <w:bottom w:val="none" w:sz="0" w:space="0" w:color="auto"/>
        <w:right w:val="none" w:sz="0" w:space="0" w:color="auto"/>
      </w:divBdr>
    </w:div>
    <w:div w:id="320235612">
      <w:bodyDiv w:val="1"/>
      <w:marLeft w:val="0"/>
      <w:marRight w:val="0"/>
      <w:marTop w:val="0"/>
      <w:marBottom w:val="0"/>
      <w:divBdr>
        <w:top w:val="none" w:sz="0" w:space="0" w:color="auto"/>
        <w:left w:val="none" w:sz="0" w:space="0" w:color="auto"/>
        <w:bottom w:val="none" w:sz="0" w:space="0" w:color="auto"/>
        <w:right w:val="none" w:sz="0" w:space="0" w:color="auto"/>
      </w:divBdr>
    </w:div>
    <w:div w:id="333340845">
      <w:bodyDiv w:val="1"/>
      <w:marLeft w:val="0"/>
      <w:marRight w:val="0"/>
      <w:marTop w:val="0"/>
      <w:marBottom w:val="0"/>
      <w:divBdr>
        <w:top w:val="none" w:sz="0" w:space="0" w:color="auto"/>
        <w:left w:val="none" w:sz="0" w:space="0" w:color="auto"/>
        <w:bottom w:val="none" w:sz="0" w:space="0" w:color="auto"/>
        <w:right w:val="none" w:sz="0" w:space="0" w:color="auto"/>
      </w:divBdr>
    </w:div>
    <w:div w:id="356737734">
      <w:bodyDiv w:val="1"/>
      <w:marLeft w:val="0"/>
      <w:marRight w:val="0"/>
      <w:marTop w:val="0"/>
      <w:marBottom w:val="0"/>
      <w:divBdr>
        <w:top w:val="none" w:sz="0" w:space="0" w:color="auto"/>
        <w:left w:val="none" w:sz="0" w:space="0" w:color="auto"/>
        <w:bottom w:val="none" w:sz="0" w:space="0" w:color="auto"/>
        <w:right w:val="none" w:sz="0" w:space="0" w:color="auto"/>
      </w:divBdr>
    </w:div>
    <w:div w:id="357245085">
      <w:bodyDiv w:val="1"/>
      <w:marLeft w:val="0"/>
      <w:marRight w:val="0"/>
      <w:marTop w:val="0"/>
      <w:marBottom w:val="0"/>
      <w:divBdr>
        <w:top w:val="none" w:sz="0" w:space="0" w:color="auto"/>
        <w:left w:val="none" w:sz="0" w:space="0" w:color="auto"/>
        <w:bottom w:val="none" w:sz="0" w:space="0" w:color="auto"/>
        <w:right w:val="none" w:sz="0" w:space="0" w:color="auto"/>
      </w:divBdr>
    </w:div>
    <w:div w:id="415634710">
      <w:bodyDiv w:val="1"/>
      <w:marLeft w:val="0"/>
      <w:marRight w:val="0"/>
      <w:marTop w:val="0"/>
      <w:marBottom w:val="0"/>
      <w:divBdr>
        <w:top w:val="none" w:sz="0" w:space="0" w:color="auto"/>
        <w:left w:val="none" w:sz="0" w:space="0" w:color="auto"/>
        <w:bottom w:val="none" w:sz="0" w:space="0" w:color="auto"/>
        <w:right w:val="none" w:sz="0" w:space="0" w:color="auto"/>
      </w:divBdr>
    </w:div>
    <w:div w:id="452940354">
      <w:bodyDiv w:val="1"/>
      <w:marLeft w:val="0"/>
      <w:marRight w:val="0"/>
      <w:marTop w:val="0"/>
      <w:marBottom w:val="0"/>
      <w:divBdr>
        <w:top w:val="none" w:sz="0" w:space="0" w:color="auto"/>
        <w:left w:val="none" w:sz="0" w:space="0" w:color="auto"/>
        <w:bottom w:val="none" w:sz="0" w:space="0" w:color="auto"/>
        <w:right w:val="none" w:sz="0" w:space="0" w:color="auto"/>
      </w:divBdr>
    </w:div>
    <w:div w:id="618990922">
      <w:bodyDiv w:val="1"/>
      <w:marLeft w:val="0"/>
      <w:marRight w:val="0"/>
      <w:marTop w:val="0"/>
      <w:marBottom w:val="0"/>
      <w:divBdr>
        <w:top w:val="none" w:sz="0" w:space="0" w:color="auto"/>
        <w:left w:val="none" w:sz="0" w:space="0" w:color="auto"/>
        <w:bottom w:val="none" w:sz="0" w:space="0" w:color="auto"/>
        <w:right w:val="none" w:sz="0" w:space="0" w:color="auto"/>
      </w:divBdr>
    </w:div>
    <w:div w:id="631792954">
      <w:bodyDiv w:val="1"/>
      <w:marLeft w:val="0"/>
      <w:marRight w:val="0"/>
      <w:marTop w:val="0"/>
      <w:marBottom w:val="0"/>
      <w:divBdr>
        <w:top w:val="none" w:sz="0" w:space="0" w:color="auto"/>
        <w:left w:val="none" w:sz="0" w:space="0" w:color="auto"/>
        <w:bottom w:val="none" w:sz="0" w:space="0" w:color="auto"/>
        <w:right w:val="none" w:sz="0" w:space="0" w:color="auto"/>
      </w:divBdr>
    </w:div>
    <w:div w:id="665130863">
      <w:bodyDiv w:val="1"/>
      <w:marLeft w:val="0"/>
      <w:marRight w:val="0"/>
      <w:marTop w:val="0"/>
      <w:marBottom w:val="0"/>
      <w:divBdr>
        <w:top w:val="none" w:sz="0" w:space="0" w:color="auto"/>
        <w:left w:val="none" w:sz="0" w:space="0" w:color="auto"/>
        <w:bottom w:val="none" w:sz="0" w:space="0" w:color="auto"/>
        <w:right w:val="none" w:sz="0" w:space="0" w:color="auto"/>
      </w:divBdr>
    </w:div>
    <w:div w:id="728069591">
      <w:bodyDiv w:val="1"/>
      <w:marLeft w:val="0"/>
      <w:marRight w:val="0"/>
      <w:marTop w:val="0"/>
      <w:marBottom w:val="0"/>
      <w:divBdr>
        <w:top w:val="none" w:sz="0" w:space="0" w:color="auto"/>
        <w:left w:val="none" w:sz="0" w:space="0" w:color="auto"/>
        <w:bottom w:val="none" w:sz="0" w:space="0" w:color="auto"/>
        <w:right w:val="none" w:sz="0" w:space="0" w:color="auto"/>
      </w:divBdr>
    </w:div>
    <w:div w:id="742682762">
      <w:bodyDiv w:val="1"/>
      <w:marLeft w:val="0"/>
      <w:marRight w:val="0"/>
      <w:marTop w:val="0"/>
      <w:marBottom w:val="0"/>
      <w:divBdr>
        <w:top w:val="none" w:sz="0" w:space="0" w:color="auto"/>
        <w:left w:val="none" w:sz="0" w:space="0" w:color="auto"/>
        <w:bottom w:val="none" w:sz="0" w:space="0" w:color="auto"/>
        <w:right w:val="none" w:sz="0" w:space="0" w:color="auto"/>
      </w:divBdr>
    </w:div>
    <w:div w:id="748815659">
      <w:bodyDiv w:val="1"/>
      <w:marLeft w:val="0"/>
      <w:marRight w:val="0"/>
      <w:marTop w:val="0"/>
      <w:marBottom w:val="0"/>
      <w:divBdr>
        <w:top w:val="none" w:sz="0" w:space="0" w:color="auto"/>
        <w:left w:val="none" w:sz="0" w:space="0" w:color="auto"/>
        <w:bottom w:val="none" w:sz="0" w:space="0" w:color="auto"/>
        <w:right w:val="none" w:sz="0" w:space="0" w:color="auto"/>
      </w:divBdr>
    </w:div>
    <w:div w:id="860246297">
      <w:bodyDiv w:val="1"/>
      <w:marLeft w:val="0"/>
      <w:marRight w:val="0"/>
      <w:marTop w:val="0"/>
      <w:marBottom w:val="0"/>
      <w:divBdr>
        <w:top w:val="none" w:sz="0" w:space="0" w:color="auto"/>
        <w:left w:val="none" w:sz="0" w:space="0" w:color="auto"/>
        <w:bottom w:val="none" w:sz="0" w:space="0" w:color="auto"/>
        <w:right w:val="none" w:sz="0" w:space="0" w:color="auto"/>
      </w:divBdr>
    </w:div>
    <w:div w:id="868419436">
      <w:bodyDiv w:val="1"/>
      <w:marLeft w:val="0"/>
      <w:marRight w:val="0"/>
      <w:marTop w:val="0"/>
      <w:marBottom w:val="0"/>
      <w:divBdr>
        <w:top w:val="none" w:sz="0" w:space="0" w:color="auto"/>
        <w:left w:val="none" w:sz="0" w:space="0" w:color="auto"/>
        <w:bottom w:val="none" w:sz="0" w:space="0" w:color="auto"/>
        <w:right w:val="none" w:sz="0" w:space="0" w:color="auto"/>
      </w:divBdr>
    </w:div>
    <w:div w:id="881094203">
      <w:bodyDiv w:val="1"/>
      <w:marLeft w:val="0"/>
      <w:marRight w:val="0"/>
      <w:marTop w:val="0"/>
      <w:marBottom w:val="0"/>
      <w:divBdr>
        <w:top w:val="none" w:sz="0" w:space="0" w:color="auto"/>
        <w:left w:val="none" w:sz="0" w:space="0" w:color="auto"/>
        <w:bottom w:val="none" w:sz="0" w:space="0" w:color="auto"/>
        <w:right w:val="none" w:sz="0" w:space="0" w:color="auto"/>
      </w:divBdr>
    </w:div>
    <w:div w:id="889149898">
      <w:bodyDiv w:val="1"/>
      <w:marLeft w:val="0"/>
      <w:marRight w:val="0"/>
      <w:marTop w:val="0"/>
      <w:marBottom w:val="0"/>
      <w:divBdr>
        <w:top w:val="none" w:sz="0" w:space="0" w:color="auto"/>
        <w:left w:val="none" w:sz="0" w:space="0" w:color="auto"/>
        <w:bottom w:val="none" w:sz="0" w:space="0" w:color="auto"/>
        <w:right w:val="none" w:sz="0" w:space="0" w:color="auto"/>
      </w:divBdr>
    </w:div>
    <w:div w:id="913202375">
      <w:bodyDiv w:val="1"/>
      <w:marLeft w:val="0"/>
      <w:marRight w:val="0"/>
      <w:marTop w:val="0"/>
      <w:marBottom w:val="0"/>
      <w:divBdr>
        <w:top w:val="none" w:sz="0" w:space="0" w:color="auto"/>
        <w:left w:val="none" w:sz="0" w:space="0" w:color="auto"/>
        <w:bottom w:val="none" w:sz="0" w:space="0" w:color="auto"/>
        <w:right w:val="none" w:sz="0" w:space="0" w:color="auto"/>
      </w:divBdr>
      <w:divsChild>
        <w:div w:id="426315575">
          <w:marLeft w:val="0"/>
          <w:marRight w:val="0"/>
          <w:marTop w:val="0"/>
          <w:marBottom w:val="0"/>
          <w:divBdr>
            <w:top w:val="none" w:sz="0" w:space="0" w:color="auto"/>
            <w:left w:val="none" w:sz="0" w:space="0" w:color="auto"/>
            <w:bottom w:val="none" w:sz="0" w:space="0" w:color="auto"/>
            <w:right w:val="none" w:sz="0" w:space="0" w:color="auto"/>
          </w:divBdr>
        </w:div>
      </w:divsChild>
    </w:div>
    <w:div w:id="968052818">
      <w:bodyDiv w:val="1"/>
      <w:marLeft w:val="0"/>
      <w:marRight w:val="0"/>
      <w:marTop w:val="0"/>
      <w:marBottom w:val="0"/>
      <w:divBdr>
        <w:top w:val="none" w:sz="0" w:space="0" w:color="auto"/>
        <w:left w:val="none" w:sz="0" w:space="0" w:color="auto"/>
        <w:bottom w:val="none" w:sz="0" w:space="0" w:color="auto"/>
        <w:right w:val="none" w:sz="0" w:space="0" w:color="auto"/>
      </w:divBdr>
    </w:div>
    <w:div w:id="1009990104">
      <w:bodyDiv w:val="1"/>
      <w:marLeft w:val="0"/>
      <w:marRight w:val="0"/>
      <w:marTop w:val="0"/>
      <w:marBottom w:val="0"/>
      <w:divBdr>
        <w:top w:val="none" w:sz="0" w:space="0" w:color="auto"/>
        <w:left w:val="none" w:sz="0" w:space="0" w:color="auto"/>
        <w:bottom w:val="none" w:sz="0" w:space="0" w:color="auto"/>
        <w:right w:val="none" w:sz="0" w:space="0" w:color="auto"/>
      </w:divBdr>
    </w:div>
    <w:div w:id="1068964630">
      <w:bodyDiv w:val="1"/>
      <w:marLeft w:val="0"/>
      <w:marRight w:val="0"/>
      <w:marTop w:val="0"/>
      <w:marBottom w:val="0"/>
      <w:divBdr>
        <w:top w:val="none" w:sz="0" w:space="0" w:color="auto"/>
        <w:left w:val="none" w:sz="0" w:space="0" w:color="auto"/>
        <w:bottom w:val="none" w:sz="0" w:space="0" w:color="auto"/>
        <w:right w:val="none" w:sz="0" w:space="0" w:color="auto"/>
      </w:divBdr>
    </w:div>
    <w:div w:id="1327856247">
      <w:bodyDiv w:val="1"/>
      <w:marLeft w:val="0"/>
      <w:marRight w:val="0"/>
      <w:marTop w:val="0"/>
      <w:marBottom w:val="0"/>
      <w:divBdr>
        <w:top w:val="none" w:sz="0" w:space="0" w:color="auto"/>
        <w:left w:val="none" w:sz="0" w:space="0" w:color="auto"/>
        <w:bottom w:val="none" w:sz="0" w:space="0" w:color="auto"/>
        <w:right w:val="none" w:sz="0" w:space="0" w:color="auto"/>
      </w:divBdr>
    </w:div>
    <w:div w:id="1438789343">
      <w:bodyDiv w:val="1"/>
      <w:marLeft w:val="0"/>
      <w:marRight w:val="0"/>
      <w:marTop w:val="0"/>
      <w:marBottom w:val="0"/>
      <w:divBdr>
        <w:top w:val="none" w:sz="0" w:space="0" w:color="auto"/>
        <w:left w:val="none" w:sz="0" w:space="0" w:color="auto"/>
        <w:bottom w:val="none" w:sz="0" w:space="0" w:color="auto"/>
        <w:right w:val="none" w:sz="0" w:space="0" w:color="auto"/>
      </w:divBdr>
    </w:div>
    <w:div w:id="1459759661">
      <w:bodyDiv w:val="1"/>
      <w:marLeft w:val="0"/>
      <w:marRight w:val="0"/>
      <w:marTop w:val="0"/>
      <w:marBottom w:val="0"/>
      <w:divBdr>
        <w:top w:val="none" w:sz="0" w:space="0" w:color="auto"/>
        <w:left w:val="none" w:sz="0" w:space="0" w:color="auto"/>
        <w:bottom w:val="none" w:sz="0" w:space="0" w:color="auto"/>
        <w:right w:val="none" w:sz="0" w:space="0" w:color="auto"/>
      </w:divBdr>
    </w:div>
    <w:div w:id="1463617561">
      <w:bodyDiv w:val="1"/>
      <w:marLeft w:val="0"/>
      <w:marRight w:val="0"/>
      <w:marTop w:val="0"/>
      <w:marBottom w:val="0"/>
      <w:divBdr>
        <w:top w:val="none" w:sz="0" w:space="0" w:color="auto"/>
        <w:left w:val="none" w:sz="0" w:space="0" w:color="auto"/>
        <w:bottom w:val="none" w:sz="0" w:space="0" w:color="auto"/>
        <w:right w:val="none" w:sz="0" w:space="0" w:color="auto"/>
      </w:divBdr>
    </w:div>
    <w:div w:id="1464302385">
      <w:bodyDiv w:val="1"/>
      <w:marLeft w:val="0"/>
      <w:marRight w:val="0"/>
      <w:marTop w:val="0"/>
      <w:marBottom w:val="0"/>
      <w:divBdr>
        <w:top w:val="none" w:sz="0" w:space="0" w:color="auto"/>
        <w:left w:val="none" w:sz="0" w:space="0" w:color="auto"/>
        <w:bottom w:val="none" w:sz="0" w:space="0" w:color="auto"/>
        <w:right w:val="none" w:sz="0" w:space="0" w:color="auto"/>
      </w:divBdr>
    </w:div>
    <w:div w:id="1644236922">
      <w:bodyDiv w:val="1"/>
      <w:marLeft w:val="0"/>
      <w:marRight w:val="0"/>
      <w:marTop w:val="0"/>
      <w:marBottom w:val="0"/>
      <w:divBdr>
        <w:top w:val="none" w:sz="0" w:space="0" w:color="auto"/>
        <w:left w:val="none" w:sz="0" w:space="0" w:color="auto"/>
        <w:bottom w:val="none" w:sz="0" w:space="0" w:color="auto"/>
        <w:right w:val="none" w:sz="0" w:space="0" w:color="auto"/>
      </w:divBdr>
    </w:div>
    <w:div w:id="1649821494">
      <w:bodyDiv w:val="1"/>
      <w:marLeft w:val="0"/>
      <w:marRight w:val="0"/>
      <w:marTop w:val="0"/>
      <w:marBottom w:val="0"/>
      <w:divBdr>
        <w:top w:val="none" w:sz="0" w:space="0" w:color="auto"/>
        <w:left w:val="none" w:sz="0" w:space="0" w:color="auto"/>
        <w:bottom w:val="none" w:sz="0" w:space="0" w:color="auto"/>
        <w:right w:val="none" w:sz="0" w:space="0" w:color="auto"/>
      </w:divBdr>
    </w:div>
    <w:div w:id="1756439494">
      <w:bodyDiv w:val="1"/>
      <w:marLeft w:val="0"/>
      <w:marRight w:val="0"/>
      <w:marTop w:val="0"/>
      <w:marBottom w:val="0"/>
      <w:divBdr>
        <w:top w:val="none" w:sz="0" w:space="0" w:color="auto"/>
        <w:left w:val="none" w:sz="0" w:space="0" w:color="auto"/>
        <w:bottom w:val="none" w:sz="0" w:space="0" w:color="auto"/>
        <w:right w:val="none" w:sz="0" w:space="0" w:color="auto"/>
      </w:divBdr>
    </w:div>
    <w:div w:id="1779983223">
      <w:bodyDiv w:val="1"/>
      <w:marLeft w:val="0"/>
      <w:marRight w:val="0"/>
      <w:marTop w:val="0"/>
      <w:marBottom w:val="0"/>
      <w:divBdr>
        <w:top w:val="none" w:sz="0" w:space="0" w:color="auto"/>
        <w:left w:val="none" w:sz="0" w:space="0" w:color="auto"/>
        <w:bottom w:val="none" w:sz="0" w:space="0" w:color="auto"/>
        <w:right w:val="none" w:sz="0" w:space="0" w:color="auto"/>
      </w:divBdr>
    </w:div>
    <w:div w:id="1804345566">
      <w:bodyDiv w:val="1"/>
      <w:marLeft w:val="0"/>
      <w:marRight w:val="0"/>
      <w:marTop w:val="0"/>
      <w:marBottom w:val="0"/>
      <w:divBdr>
        <w:top w:val="none" w:sz="0" w:space="0" w:color="auto"/>
        <w:left w:val="none" w:sz="0" w:space="0" w:color="auto"/>
        <w:bottom w:val="none" w:sz="0" w:space="0" w:color="auto"/>
        <w:right w:val="none" w:sz="0" w:space="0" w:color="auto"/>
      </w:divBdr>
    </w:div>
    <w:div w:id="1980261028">
      <w:bodyDiv w:val="1"/>
      <w:marLeft w:val="0"/>
      <w:marRight w:val="0"/>
      <w:marTop w:val="0"/>
      <w:marBottom w:val="0"/>
      <w:divBdr>
        <w:top w:val="none" w:sz="0" w:space="0" w:color="auto"/>
        <w:left w:val="none" w:sz="0" w:space="0" w:color="auto"/>
        <w:bottom w:val="none" w:sz="0" w:space="0" w:color="auto"/>
        <w:right w:val="none" w:sz="0" w:space="0" w:color="auto"/>
      </w:divBdr>
    </w:div>
    <w:div w:id="2112315210">
      <w:bodyDiv w:val="1"/>
      <w:marLeft w:val="0"/>
      <w:marRight w:val="0"/>
      <w:marTop w:val="0"/>
      <w:marBottom w:val="0"/>
      <w:divBdr>
        <w:top w:val="none" w:sz="0" w:space="0" w:color="auto"/>
        <w:left w:val="none" w:sz="0" w:space="0" w:color="auto"/>
        <w:bottom w:val="none" w:sz="0" w:space="0" w:color="auto"/>
        <w:right w:val="none" w:sz="0" w:space="0" w:color="auto"/>
      </w:divBdr>
    </w:div>
    <w:div w:id="213321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450f02c0a08c11ec966fd5047f7e709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D/4036f4f409ca11ecb4af84e751d2e0c9?positionInSearchResults=0&amp;searchModelUUID=220c9789-fabb-479b-abc8-518ea5601f31"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16C01-CB94-4729-927F-28586BBBE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4002</Words>
  <Characters>2282</Characters>
  <Application>Microsoft Office Word</Application>
  <DocSecurity>4</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2001-05-00</vt:lpstr>
      <vt:lpstr>2001-05-00</vt:lpstr>
    </vt:vector>
  </TitlesOfParts>
  <Company>Sveikatos apsaugos ministerija</Company>
  <LinksUpToDate>false</LinksUpToDate>
  <CharactersWithSpaces>6272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2001-05-00</dc:title>
  <dc:creator>loginovic</dc:creator>
  <cp:lastModifiedBy>Diana Brazdžiunienė</cp:lastModifiedBy>
  <cp:revision>2</cp:revision>
  <cp:lastPrinted>2019-05-09T07:37:00Z</cp:lastPrinted>
  <dcterms:created xsi:type="dcterms:W3CDTF">2022-04-13T07:58:00Z</dcterms:created>
  <dcterms:modified xsi:type="dcterms:W3CDTF">2022-04-13T07:58:00Z</dcterms:modified>
</cp:coreProperties>
</file>