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13CE3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A613CE4" w14:textId="77777777" w:rsidR="007C5AF9" w:rsidRPr="007C5AF9" w:rsidRDefault="007C5AF9" w:rsidP="007C5AF9">
      <w:pPr>
        <w:rPr>
          <w:szCs w:val="24"/>
        </w:rPr>
      </w:pPr>
    </w:p>
    <w:p w14:paraId="6A613CE5" w14:textId="77777777" w:rsidR="007957F5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bookmarkStart w:id="0" w:name="Pavadinimas"/>
      <w:r w:rsidR="007957F5" w:rsidRPr="007957F5">
        <w:rPr>
          <w:b/>
          <w:i/>
          <w:szCs w:val="24"/>
        </w:rPr>
        <w:t>Panevėžio miesto savivaldybės tarybos sprendim</w:t>
      </w:r>
      <w:r w:rsidR="00126BB5">
        <w:rPr>
          <w:b/>
          <w:i/>
          <w:szCs w:val="24"/>
        </w:rPr>
        <w:t>o</w:t>
      </w:r>
      <w:r w:rsidR="007957F5" w:rsidRPr="007957F5">
        <w:rPr>
          <w:b/>
          <w:i/>
          <w:szCs w:val="24"/>
        </w:rPr>
        <w:t xml:space="preserve"> </w:t>
      </w:r>
      <w:r w:rsidR="00931B45">
        <w:rPr>
          <w:b/>
          <w:i/>
          <w:szCs w:val="24"/>
        </w:rPr>
        <w:t xml:space="preserve">„Dėl </w:t>
      </w:r>
      <w:r w:rsidR="00C619DA">
        <w:rPr>
          <w:b/>
          <w:i/>
          <w:szCs w:val="24"/>
        </w:rPr>
        <w:t>S</w:t>
      </w:r>
      <w:r w:rsidR="00353B98">
        <w:rPr>
          <w:b/>
          <w:i/>
          <w:szCs w:val="24"/>
        </w:rPr>
        <w:t>avivaldybės tarybos  2018 m. rugsėjo 27 d. sprendimo Nr.1-282 „Dėl m</w:t>
      </w:r>
      <w:r w:rsidR="007957F5">
        <w:rPr>
          <w:b/>
          <w:i/>
          <w:szCs w:val="24"/>
        </w:rPr>
        <w:t>okymo lėšų apskaičiavimo, paskirstymo ir panaudojimo tvarkos aprašo patvirtinimo“</w:t>
      </w:r>
      <w:r w:rsidR="00353B98">
        <w:rPr>
          <w:b/>
          <w:i/>
          <w:szCs w:val="24"/>
        </w:rPr>
        <w:t xml:space="preserve"> pakeitimo“</w:t>
      </w:r>
      <w:r w:rsidR="00126BB5">
        <w:rPr>
          <w:b/>
          <w:i/>
          <w:szCs w:val="24"/>
        </w:rPr>
        <w:t xml:space="preserve"> projektas. </w:t>
      </w:r>
      <w:r w:rsidR="007957F5">
        <w:rPr>
          <w:b/>
          <w:i/>
          <w:szCs w:val="24"/>
        </w:rPr>
        <w:t xml:space="preserve"> </w:t>
      </w:r>
    </w:p>
    <w:bookmarkEnd w:id="0"/>
    <w:p w14:paraId="6A613CE6" w14:textId="77777777" w:rsidR="007C5AF9" w:rsidRDefault="007C5AF9" w:rsidP="00A63E26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>administracijos</w:t>
      </w:r>
      <w:r w:rsidR="00EC7E58">
        <w:rPr>
          <w:b/>
          <w:i/>
          <w:szCs w:val="24"/>
        </w:rPr>
        <w:t xml:space="preserve"> </w:t>
      </w:r>
      <w:r w:rsidR="00A63E26" w:rsidRPr="00A63E26">
        <w:rPr>
          <w:b/>
          <w:i/>
          <w:szCs w:val="24"/>
        </w:rPr>
        <w:t>strateginio planavimo ir finansų skyri</w:t>
      </w:r>
      <w:r w:rsidR="00A63E26">
        <w:rPr>
          <w:b/>
          <w:i/>
          <w:szCs w:val="24"/>
        </w:rPr>
        <w:t>a</w:t>
      </w:r>
      <w:r w:rsidR="00A63E26" w:rsidRPr="00A63E26">
        <w:rPr>
          <w:b/>
          <w:i/>
          <w:szCs w:val="24"/>
        </w:rPr>
        <w:t>us</w:t>
      </w:r>
      <w:r w:rsidR="00791C35">
        <w:rPr>
          <w:b/>
          <w:i/>
          <w:szCs w:val="24"/>
        </w:rPr>
        <w:t xml:space="preserve"> </w:t>
      </w:r>
      <w:bookmarkStart w:id="1" w:name="_Hlk525195042"/>
      <w:r w:rsidR="007957F5">
        <w:rPr>
          <w:b/>
          <w:i/>
          <w:szCs w:val="24"/>
        </w:rPr>
        <w:t xml:space="preserve">vyriausioji specialistė Irena </w:t>
      </w:r>
      <w:proofErr w:type="spellStart"/>
      <w:r w:rsidR="007957F5">
        <w:rPr>
          <w:b/>
          <w:i/>
          <w:szCs w:val="24"/>
        </w:rPr>
        <w:t>Vaitelienė</w:t>
      </w:r>
      <w:proofErr w:type="spellEnd"/>
      <w:r w:rsidR="00357E2F">
        <w:rPr>
          <w:b/>
          <w:i/>
          <w:szCs w:val="24"/>
        </w:rPr>
        <w:t xml:space="preserve">; </w:t>
      </w:r>
      <w:bookmarkEnd w:id="1"/>
    </w:p>
    <w:p w14:paraId="6A613C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6A613CE8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A613CE9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6A613CEF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6A613CEA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613CEB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613CEC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613CE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A613CE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A613CF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CF0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A613CF1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613CF2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613CF3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A613CF4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6A613CF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CF6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6A613CF7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6A613CF8" w14:textId="77777777" w:rsidR="00CD3370" w:rsidRPr="000A4C3D" w:rsidRDefault="004272BD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  <w:r w:rsidR="00151237" w:rsidRPr="0015123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A613CF9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CFA" w14:textId="77777777" w:rsidR="00CD3370" w:rsidRPr="00CB4326" w:rsidRDefault="00803304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D3370" w:rsidRPr="00CB4326">
              <w:rPr>
                <w:sz w:val="22"/>
                <w:szCs w:val="22"/>
              </w:rPr>
              <w:t xml:space="preserve"> tenkina</w:t>
            </w:r>
          </w:p>
          <w:p w14:paraId="6A613CFB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6A613D0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CFD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A613CFE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6A613CFF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6A613D00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01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A613D02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0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04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6A613D0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6A613D06" w14:textId="77777777" w:rsidR="000A51BB" w:rsidRPr="000A4C3D" w:rsidRDefault="00E414C7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07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08" w14:textId="77777777" w:rsidR="000A51BB" w:rsidRPr="00CB4326" w:rsidRDefault="00E414C7" w:rsidP="000A51BB">
            <w:pPr>
              <w:rPr>
                <w:sz w:val="22"/>
                <w:szCs w:val="22"/>
              </w:rPr>
            </w:pPr>
            <w:r w:rsidRPr="00E414C7">
              <w:rPr>
                <w:sz w:val="22"/>
                <w:szCs w:val="22"/>
              </w:rPr>
              <w:t>□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6A613D0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1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0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A613D0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6A613D0D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A613D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0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6A613D1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1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12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6A613D1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6A613D14" w14:textId="77777777" w:rsidR="000A51BB" w:rsidRPr="000A4C3D" w:rsidRDefault="008033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„M</w:t>
            </w:r>
            <w:r w:rsidRPr="00803304">
              <w:rPr>
                <w:i/>
                <w:sz w:val="22"/>
                <w:szCs w:val="22"/>
              </w:rPr>
              <w:t>okymo lėšų apskaičiavimo, paskirstymo ir panaudojimo tvarkos aprašo</w:t>
            </w:r>
            <w:r>
              <w:rPr>
                <w:i/>
                <w:sz w:val="22"/>
                <w:szCs w:val="22"/>
              </w:rPr>
              <w:t>“ 8.6. papunktyje</w:t>
            </w:r>
          </w:p>
        </w:tc>
        <w:tc>
          <w:tcPr>
            <w:tcW w:w="3827" w:type="dxa"/>
            <w:shd w:val="clear" w:color="auto" w:fill="auto"/>
          </w:tcPr>
          <w:p w14:paraId="6A613D1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16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6A613D1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1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1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6A613D1A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A613D1B" w14:textId="77777777" w:rsidR="000A51BB" w:rsidRPr="000A4C3D" w:rsidRDefault="00D310D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A613D1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1D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1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2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20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6A613D2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A613D22" w14:textId="77777777" w:rsidR="000A51BB" w:rsidRPr="000A4C3D" w:rsidRDefault="008033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2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24" w14:textId="77777777" w:rsidR="000A51BB" w:rsidRPr="00CB4326" w:rsidRDefault="00803304" w:rsidP="000A51BB">
            <w:pPr>
              <w:rPr>
                <w:sz w:val="22"/>
                <w:szCs w:val="22"/>
              </w:rPr>
            </w:pPr>
            <w:r w:rsidRPr="0080330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2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2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6A613D2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A613D29" w14:textId="77777777" w:rsidR="000A51BB" w:rsidRPr="000A4C3D" w:rsidRDefault="008033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2A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2B" w14:textId="77777777" w:rsidR="000A51BB" w:rsidRPr="00CB4326" w:rsidRDefault="00803304" w:rsidP="000A51BB">
            <w:pPr>
              <w:rPr>
                <w:sz w:val="22"/>
                <w:szCs w:val="22"/>
              </w:rPr>
            </w:pPr>
            <w:r w:rsidRPr="0080330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2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3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2E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6A613D2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6A613D30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6A613D31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6A613D3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6A613D3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A613D34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6A613D3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613D36" w14:textId="77777777" w:rsidR="00883846" w:rsidRPr="000A4C3D" w:rsidRDefault="00201D96" w:rsidP="00201D96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37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38" w14:textId="77777777"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14:paraId="6A613D3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4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3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6A613D3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A613D3D" w14:textId="77777777" w:rsidR="000A51BB" w:rsidRPr="000A4C3D" w:rsidRDefault="008033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3E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3F" w14:textId="77777777" w:rsidR="000A51BB" w:rsidRPr="00CB4326" w:rsidRDefault="00803304" w:rsidP="000A51BB">
            <w:pPr>
              <w:rPr>
                <w:sz w:val="22"/>
                <w:szCs w:val="22"/>
              </w:rPr>
            </w:pPr>
            <w:r w:rsidRPr="0080330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4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4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42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6A613D43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A613D44" w14:textId="77777777" w:rsidR="000A51BB" w:rsidRPr="000A4C3D" w:rsidRDefault="00803304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45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46" w14:textId="77777777" w:rsidR="000A51BB" w:rsidRPr="00CB4326" w:rsidRDefault="00803304" w:rsidP="000A51BB">
            <w:pPr>
              <w:keepNext/>
              <w:rPr>
                <w:sz w:val="22"/>
                <w:szCs w:val="22"/>
              </w:rPr>
            </w:pPr>
            <w:r w:rsidRPr="0080330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47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4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4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6A613D4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6A613D4B" w14:textId="77777777" w:rsidR="000A51BB" w:rsidRPr="000A4C3D" w:rsidRDefault="008033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2 punkte </w:t>
            </w:r>
          </w:p>
        </w:tc>
        <w:tc>
          <w:tcPr>
            <w:tcW w:w="3827" w:type="dxa"/>
            <w:shd w:val="clear" w:color="auto" w:fill="auto"/>
          </w:tcPr>
          <w:p w14:paraId="6A613D4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4D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4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5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50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6A613D5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Pr="00CB4326">
              <w:rPr>
                <w:sz w:val="22"/>
                <w:szCs w:val="22"/>
              </w:rPr>
              <w:lastRenderedPageBreak/>
              <w:t>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6A613D52" w14:textId="77777777" w:rsidR="000A51BB" w:rsidRPr="000A4C3D" w:rsidRDefault="008033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5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54" w14:textId="77777777" w:rsidR="000A51BB" w:rsidRPr="00CB4326" w:rsidRDefault="00803304" w:rsidP="000A51BB">
            <w:pPr>
              <w:rPr>
                <w:sz w:val="22"/>
                <w:szCs w:val="22"/>
              </w:rPr>
            </w:pPr>
            <w:r w:rsidRPr="0080330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5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□ netenkina</w:t>
            </w:r>
          </w:p>
        </w:tc>
      </w:tr>
      <w:tr w:rsidR="000A51BB" w:rsidRPr="007C5AF9" w14:paraId="6A613D5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5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14:paraId="6A613D5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6A613D59" w14:textId="77777777" w:rsidR="000A51BB" w:rsidRPr="000A4C3D" w:rsidRDefault="008033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5A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5B" w14:textId="77777777" w:rsidR="000A51BB" w:rsidRPr="00CB4326" w:rsidRDefault="00803304" w:rsidP="000A51BB">
            <w:pPr>
              <w:rPr>
                <w:sz w:val="22"/>
                <w:szCs w:val="22"/>
              </w:rPr>
            </w:pPr>
            <w:r w:rsidRPr="0080330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5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6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5E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6A613D5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6A613D60" w14:textId="77777777" w:rsidR="000A51BB" w:rsidRPr="000A4C3D" w:rsidRDefault="008033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6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62" w14:textId="77777777" w:rsidR="000A51BB" w:rsidRPr="00CB4326" w:rsidRDefault="00803304" w:rsidP="000A51BB">
            <w:pPr>
              <w:rPr>
                <w:sz w:val="22"/>
                <w:szCs w:val="22"/>
              </w:rPr>
            </w:pPr>
            <w:r w:rsidRPr="0080330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6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6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6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A613D6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A613D67" w14:textId="77777777" w:rsidR="000A51BB" w:rsidRPr="000A4C3D" w:rsidRDefault="008033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68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69" w14:textId="77777777" w:rsidR="000A51BB" w:rsidRPr="00CB4326" w:rsidRDefault="00803304" w:rsidP="000A51BB">
            <w:pPr>
              <w:rPr>
                <w:sz w:val="22"/>
                <w:szCs w:val="22"/>
              </w:rPr>
            </w:pPr>
            <w:r w:rsidRPr="0080330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6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6C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A613D6D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A613D6E" w14:textId="77777777" w:rsidR="000A51BB" w:rsidRPr="000A4C3D" w:rsidRDefault="00151CB9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6F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70" w14:textId="77777777" w:rsidR="000A51BB" w:rsidRPr="00CB4326" w:rsidRDefault="00151CB9" w:rsidP="000A51BB">
            <w:pPr>
              <w:keepNext/>
              <w:rPr>
                <w:sz w:val="22"/>
                <w:szCs w:val="22"/>
              </w:rPr>
            </w:pPr>
            <w:r w:rsidRPr="00151CB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71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7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7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A613D7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</w:t>
            </w:r>
            <w:r w:rsidRPr="00CB4326">
              <w:rPr>
                <w:sz w:val="22"/>
                <w:szCs w:val="22"/>
              </w:rPr>
              <w:lastRenderedPageBreak/>
              <w:t>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A613D75" w14:textId="77777777" w:rsidR="000A51BB" w:rsidRPr="000A4C3D" w:rsidRDefault="008033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A613D7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77" w14:textId="77777777" w:rsidR="000A51BB" w:rsidRPr="00CB4326" w:rsidRDefault="00803304" w:rsidP="000A51BB">
            <w:pPr>
              <w:rPr>
                <w:sz w:val="22"/>
                <w:szCs w:val="22"/>
              </w:rPr>
            </w:pPr>
            <w:r w:rsidRPr="00803304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7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A613D8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A613D7A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6A613D7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6A613D7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6A613D7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613D7E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A613D7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6A613D81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A613D82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A613D83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A613D84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6A613D85" w14:textId="77777777" w:rsidR="00201D96" w:rsidRPr="000A4C3D" w:rsidRDefault="000F781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S</w:t>
      </w:r>
      <w:r w:rsidRPr="000F781A">
        <w:rPr>
          <w:color w:val="000000"/>
        </w:rPr>
        <w:t>trateginio planavimo ir finansų skyriaus</w:t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>
        <w:rPr>
          <w:i/>
          <w:color w:val="000000"/>
        </w:rPr>
        <w:tab/>
      </w:r>
      <w:r w:rsidR="00737B3A"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6A613D86" w14:textId="77777777" w:rsidR="00334602" w:rsidRPr="000A4C3D" w:rsidRDefault="007957F5" w:rsidP="00334602">
      <w:pPr>
        <w:pStyle w:val="Antrats"/>
        <w:tabs>
          <w:tab w:val="left" w:pos="6237"/>
        </w:tabs>
        <w:rPr>
          <w:color w:val="000000"/>
        </w:rPr>
      </w:pPr>
      <w:r w:rsidRPr="007957F5">
        <w:rPr>
          <w:color w:val="000000"/>
        </w:rPr>
        <w:t xml:space="preserve">vyriausioji specialistė Irena </w:t>
      </w:r>
      <w:proofErr w:type="spellStart"/>
      <w:r w:rsidRPr="007957F5">
        <w:rPr>
          <w:color w:val="000000"/>
        </w:rPr>
        <w:t>Vaitelienė</w:t>
      </w:r>
      <w:proofErr w:type="spellEnd"/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6A613D87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6A613D88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6A613D89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13D8C" w14:textId="77777777" w:rsidR="005E2474" w:rsidRDefault="005E2474">
      <w:r>
        <w:separator/>
      </w:r>
    </w:p>
  </w:endnote>
  <w:endnote w:type="continuationSeparator" w:id="0">
    <w:p w14:paraId="6A613D8D" w14:textId="77777777" w:rsidR="005E2474" w:rsidRDefault="005E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13D8A" w14:textId="77777777" w:rsidR="005E2474" w:rsidRDefault="005E2474">
      <w:r>
        <w:separator/>
      </w:r>
    </w:p>
  </w:footnote>
  <w:footnote w:type="continuationSeparator" w:id="0">
    <w:p w14:paraId="6A613D8B" w14:textId="77777777" w:rsidR="005E2474" w:rsidRDefault="005E2474">
      <w:r>
        <w:continuationSeparator/>
      </w:r>
    </w:p>
  </w:footnote>
  <w:footnote w:id="1">
    <w:p w14:paraId="6A613D94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6A613D95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13D8E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613D8F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13D90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E70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613D91" w14:textId="77777777" w:rsidR="00D6129E" w:rsidRDefault="00D6129E">
    <w:pPr>
      <w:pStyle w:val="Antrats"/>
    </w:pPr>
  </w:p>
  <w:p w14:paraId="6A613D92" w14:textId="77777777" w:rsidR="00D6129E" w:rsidRDefault="00D6129E" w:rsidP="004A0AD8">
    <w:pPr>
      <w:pStyle w:val="Antrats"/>
      <w:jc w:val="center"/>
    </w:pPr>
  </w:p>
  <w:p w14:paraId="6A613D93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7A50"/>
    <w:rsid w:val="00097EC7"/>
    <w:rsid w:val="000A4C3D"/>
    <w:rsid w:val="000A51BB"/>
    <w:rsid w:val="000A620D"/>
    <w:rsid w:val="000A6572"/>
    <w:rsid w:val="000B6A65"/>
    <w:rsid w:val="000C564A"/>
    <w:rsid w:val="000D161B"/>
    <w:rsid w:val="000D47C2"/>
    <w:rsid w:val="000E1490"/>
    <w:rsid w:val="000E1B35"/>
    <w:rsid w:val="000E1CAC"/>
    <w:rsid w:val="000E479B"/>
    <w:rsid w:val="000E5567"/>
    <w:rsid w:val="000E6350"/>
    <w:rsid w:val="000F00E3"/>
    <w:rsid w:val="000F12E8"/>
    <w:rsid w:val="000F3691"/>
    <w:rsid w:val="000F4DAE"/>
    <w:rsid w:val="000F52F1"/>
    <w:rsid w:val="000F6849"/>
    <w:rsid w:val="000F781A"/>
    <w:rsid w:val="001012B2"/>
    <w:rsid w:val="00106032"/>
    <w:rsid w:val="001079FB"/>
    <w:rsid w:val="001130BB"/>
    <w:rsid w:val="0011343E"/>
    <w:rsid w:val="00113B36"/>
    <w:rsid w:val="00121668"/>
    <w:rsid w:val="00126BB5"/>
    <w:rsid w:val="001272CA"/>
    <w:rsid w:val="00130979"/>
    <w:rsid w:val="0013687E"/>
    <w:rsid w:val="00136AFB"/>
    <w:rsid w:val="00136E81"/>
    <w:rsid w:val="00144257"/>
    <w:rsid w:val="00144BD5"/>
    <w:rsid w:val="001461B7"/>
    <w:rsid w:val="00151237"/>
    <w:rsid w:val="00151CB9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B02"/>
    <w:rsid w:val="001E5FA9"/>
    <w:rsid w:val="001E7F42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0A9"/>
    <w:rsid w:val="002F48E1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3B98"/>
    <w:rsid w:val="003548DA"/>
    <w:rsid w:val="00357E2F"/>
    <w:rsid w:val="003673CF"/>
    <w:rsid w:val="00377BCA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15853"/>
    <w:rsid w:val="00421D88"/>
    <w:rsid w:val="004220C8"/>
    <w:rsid w:val="004272BD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87629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474"/>
    <w:rsid w:val="005E3E9F"/>
    <w:rsid w:val="005E56B6"/>
    <w:rsid w:val="005E7DD4"/>
    <w:rsid w:val="005F0031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583"/>
    <w:rsid w:val="006579C1"/>
    <w:rsid w:val="00665225"/>
    <w:rsid w:val="00666ACD"/>
    <w:rsid w:val="00670213"/>
    <w:rsid w:val="00672980"/>
    <w:rsid w:val="00672A7F"/>
    <w:rsid w:val="006775A0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1C35"/>
    <w:rsid w:val="007932A1"/>
    <w:rsid w:val="007942ED"/>
    <w:rsid w:val="007957F5"/>
    <w:rsid w:val="007A39E8"/>
    <w:rsid w:val="007A3E8D"/>
    <w:rsid w:val="007A5B23"/>
    <w:rsid w:val="007A7E39"/>
    <w:rsid w:val="007B2E69"/>
    <w:rsid w:val="007B7C73"/>
    <w:rsid w:val="007C13F1"/>
    <w:rsid w:val="007C1C24"/>
    <w:rsid w:val="007C2FAF"/>
    <w:rsid w:val="007C5707"/>
    <w:rsid w:val="007C5AF9"/>
    <w:rsid w:val="007D48AE"/>
    <w:rsid w:val="007D6E06"/>
    <w:rsid w:val="007E44C9"/>
    <w:rsid w:val="007E46ED"/>
    <w:rsid w:val="007F27AF"/>
    <w:rsid w:val="007F78DC"/>
    <w:rsid w:val="007F7E4C"/>
    <w:rsid w:val="00803304"/>
    <w:rsid w:val="00814D28"/>
    <w:rsid w:val="00820C8E"/>
    <w:rsid w:val="008216F9"/>
    <w:rsid w:val="00822697"/>
    <w:rsid w:val="0082375A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A6020"/>
    <w:rsid w:val="008C051C"/>
    <w:rsid w:val="008C095C"/>
    <w:rsid w:val="008C1B5F"/>
    <w:rsid w:val="008C5723"/>
    <w:rsid w:val="008C5C61"/>
    <w:rsid w:val="008C5E17"/>
    <w:rsid w:val="008C6FAE"/>
    <w:rsid w:val="008D1B5B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1B45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0BAE"/>
    <w:rsid w:val="009840EF"/>
    <w:rsid w:val="009848FC"/>
    <w:rsid w:val="009927AF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9F6AF7"/>
    <w:rsid w:val="009F7946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3E26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E70B3"/>
    <w:rsid w:val="00AF2DBD"/>
    <w:rsid w:val="00AF4619"/>
    <w:rsid w:val="00AF7D79"/>
    <w:rsid w:val="00B04295"/>
    <w:rsid w:val="00B109AE"/>
    <w:rsid w:val="00B16079"/>
    <w:rsid w:val="00B1730B"/>
    <w:rsid w:val="00B2060A"/>
    <w:rsid w:val="00B214FB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31E4"/>
    <w:rsid w:val="00BA4F2E"/>
    <w:rsid w:val="00BB2555"/>
    <w:rsid w:val="00BC1F64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55A71"/>
    <w:rsid w:val="00C619DA"/>
    <w:rsid w:val="00C658E2"/>
    <w:rsid w:val="00C775A0"/>
    <w:rsid w:val="00C80CD4"/>
    <w:rsid w:val="00C845B7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042B"/>
    <w:rsid w:val="00CD2DBA"/>
    <w:rsid w:val="00CD3370"/>
    <w:rsid w:val="00CD61DE"/>
    <w:rsid w:val="00CD6BF7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10DA"/>
    <w:rsid w:val="00D33019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14C7"/>
    <w:rsid w:val="00E44E34"/>
    <w:rsid w:val="00E56001"/>
    <w:rsid w:val="00E5628E"/>
    <w:rsid w:val="00E74020"/>
    <w:rsid w:val="00E81A0A"/>
    <w:rsid w:val="00E8268B"/>
    <w:rsid w:val="00E854D8"/>
    <w:rsid w:val="00E87D4F"/>
    <w:rsid w:val="00E93CF4"/>
    <w:rsid w:val="00E963E3"/>
    <w:rsid w:val="00EA5325"/>
    <w:rsid w:val="00EA6659"/>
    <w:rsid w:val="00EB190A"/>
    <w:rsid w:val="00EB71C6"/>
    <w:rsid w:val="00EC4947"/>
    <w:rsid w:val="00EC53DD"/>
    <w:rsid w:val="00EC57A1"/>
    <w:rsid w:val="00EC739C"/>
    <w:rsid w:val="00EC7E58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0AAF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13CE3"/>
  <w15:docId w15:val="{E2666432-1211-4B96-9320-9E66B540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2A06-08B4-4FD9-8C21-830A08C7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3684</Words>
  <Characters>2100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Mantas Navaruckis</cp:lastModifiedBy>
  <cp:revision>2</cp:revision>
  <cp:lastPrinted>2017-03-17T10:58:00Z</cp:lastPrinted>
  <dcterms:created xsi:type="dcterms:W3CDTF">2020-10-16T06:07:00Z</dcterms:created>
  <dcterms:modified xsi:type="dcterms:W3CDTF">2020-10-16T06:07:00Z</dcterms:modified>
</cp:coreProperties>
</file>