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DC5D9" w14:textId="77777777" w:rsidR="0063645A" w:rsidRDefault="0063645A" w:rsidP="0063645A">
      <w:pPr>
        <w:jc w:val="center"/>
        <w:rPr>
          <w:b/>
          <w:bCs/>
          <w:szCs w:val="24"/>
        </w:rPr>
      </w:pPr>
      <w:bookmarkStart w:id="0" w:name="_GoBack"/>
      <w:bookmarkEnd w:id="0"/>
      <w:r>
        <w:rPr>
          <w:b/>
          <w:bCs/>
          <w:szCs w:val="24"/>
        </w:rPr>
        <w:t xml:space="preserve">POVEIKIO KONKURENCIJAI IR ATITIKTIES VALSTYBĖS PAGALBOS REIKALAVIMAMS VERTINIMO </w:t>
      </w:r>
    </w:p>
    <w:p w14:paraId="100DC5DA" w14:textId="77777777" w:rsidR="0063645A" w:rsidRDefault="0063645A" w:rsidP="0063645A">
      <w:pPr>
        <w:jc w:val="center"/>
        <w:rPr>
          <w:b/>
          <w:bCs/>
          <w:szCs w:val="24"/>
        </w:rPr>
      </w:pPr>
      <w:r>
        <w:rPr>
          <w:b/>
          <w:bCs/>
          <w:szCs w:val="24"/>
        </w:rPr>
        <w:t>KLAUSIMYNAS</w:t>
      </w:r>
    </w:p>
    <w:p w14:paraId="100DC5DB" w14:textId="77777777" w:rsidR="0063645A" w:rsidRDefault="0063645A" w:rsidP="0063645A">
      <w:pPr>
        <w:jc w:val="center"/>
        <w:rPr>
          <w:szCs w:val="24"/>
        </w:rPr>
      </w:pPr>
    </w:p>
    <w:p w14:paraId="100DC5DC" w14:textId="77777777" w:rsidR="0063645A" w:rsidRDefault="00123775" w:rsidP="0063645A">
      <w:pPr>
        <w:jc w:val="center"/>
        <w:rPr>
          <w:szCs w:val="24"/>
        </w:rPr>
      </w:pPr>
      <w:r>
        <w:rPr>
          <w:szCs w:val="24"/>
        </w:rPr>
        <w:t>2020-08-11</w:t>
      </w:r>
      <w:r w:rsidR="0063645A">
        <w:rPr>
          <w:szCs w:val="24"/>
        </w:rPr>
        <w:t xml:space="preserve"> Nr. ____________</w:t>
      </w:r>
    </w:p>
    <w:p w14:paraId="100DC5DD" w14:textId="77777777" w:rsidR="0063645A" w:rsidRDefault="0063645A" w:rsidP="0063645A">
      <w:pPr>
        <w:jc w:val="center"/>
        <w:rPr>
          <w:rFonts w:eastAsia="Malgun Gothic"/>
          <w:szCs w:val="24"/>
        </w:rPr>
      </w:pPr>
    </w:p>
    <w:p w14:paraId="100DC5DE" w14:textId="77777777" w:rsidR="0063645A" w:rsidRDefault="0063645A" w:rsidP="0063645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63645A" w14:paraId="100DC5E1"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00DC5DF" w14:textId="77777777" w:rsidR="0063645A" w:rsidRDefault="0063645A" w:rsidP="00382BD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100DC5E0" w14:textId="77777777" w:rsidR="0063645A" w:rsidRPr="0063645A" w:rsidRDefault="0063645A" w:rsidP="00382BD6">
            <w:pPr>
              <w:jc w:val="both"/>
              <w:rPr>
                <w:rFonts w:eastAsia="Malgun Gothic"/>
                <w:iCs/>
                <w:szCs w:val="24"/>
              </w:rPr>
            </w:pPr>
            <w:r w:rsidRPr="0063645A">
              <w:rPr>
                <w:iCs/>
                <w:szCs w:val="24"/>
              </w:rPr>
              <w:t>Panevėžio miesto savivaldybės administracija, 288724610</w:t>
            </w:r>
          </w:p>
        </w:tc>
      </w:tr>
      <w:tr w:rsidR="0063645A" w14:paraId="100DC5E6"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00DC5E2" w14:textId="77777777" w:rsidR="0063645A" w:rsidRDefault="0063645A" w:rsidP="00382BD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100DC5E3" w14:textId="77777777" w:rsidR="0063645A" w:rsidRDefault="00123775" w:rsidP="00123775">
            <w:pPr>
              <w:jc w:val="both"/>
            </w:pPr>
            <w:r>
              <w:t xml:space="preserve">Nekilnojamasis turtas, esantis Rožių g. 19:         1. </w:t>
            </w:r>
            <w:r>
              <w:rPr>
                <w:szCs w:val="24"/>
              </w:rPr>
              <w:t>pastatas - šeimos centras, bendras plotas – 423,25 kv. m, p</w:t>
            </w:r>
            <w:r>
              <w:t>agrindinė naudojimo paskirtis – kita;</w:t>
            </w:r>
          </w:p>
          <w:p w14:paraId="100DC5E4" w14:textId="77777777" w:rsidR="00123775" w:rsidRDefault="00123775" w:rsidP="00123775">
            <w:pPr>
              <w:jc w:val="both"/>
            </w:pPr>
            <w:r>
              <w:t xml:space="preserve">2. </w:t>
            </w:r>
            <w:r>
              <w:rPr>
                <w:szCs w:val="24"/>
              </w:rPr>
              <w:t>pastatas - ūkinis pastatas, užstatytas plotas – 68,00 kv. m, p</w:t>
            </w:r>
            <w:r>
              <w:t>agrindinė naudojimo paskirtis – pagalbinio ūkio;</w:t>
            </w:r>
          </w:p>
          <w:p w14:paraId="100DC5E5" w14:textId="77777777" w:rsidR="00123775" w:rsidRDefault="00123775" w:rsidP="00123775">
            <w:pPr>
              <w:jc w:val="both"/>
              <w:rPr>
                <w:rFonts w:eastAsia="Malgun Gothic"/>
                <w:sz w:val="20"/>
              </w:rPr>
            </w:pPr>
            <w:r>
              <w:t>3. kiti inžineriniai statiniai- kiemo statiniai.</w:t>
            </w:r>
          </w:p>
        </w:tc>
      </w:tr>
      <w:tr w:rsidR="0063645A" w14:paraId="100DC5E9" w14:textId="77777777" w:rsidTr="00382BD6">
        <w:tc>
          <w:tcPr>
            <w:tcW w:w="5094" w:type="dxa"/>
            <w:tcBorders>
              <w:top w:val="single" w:sz="4" w:space="0" w:color="auto"/>
              <w:left w:val="single" w:sz="4" w:space="0" w:color="auto"/>
              <w:bottom w:val="single" w:sz="4" w:space="0" w:color="auto"/>
              <w:right w:val="single" w:sz="4" w:space="0" w:color="auto"/>
            </w:tcBorders>
            <w:hideMark/>
          </w:tcPr>
          <w:p w14:paraId="100DC5E7" w14:textId="77777777" w:rsidR="0063645A" w:rsidRDefault="0063645A" w:rsidP="00382BD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100DC5E8" w14:textId="77777777" w:rsidR="0063645A" w:rsidRDefault="00123775" w:rsidP="00123775">
            <w:pPr>
              <w:jc w:val="both"/>
              <w:rPr>
                <w:rFonts w:eastAsia="Malgun Gothic"/>
                <w:i/>
                <w:sz w:val="20"/>
              </w:rPr>
            </w:pPr>
            <w:r>
              <w:rPr>
                <w:szCs w:val="24"/>
              </w:rPr>
              <w:t>Lietuvos agentūros „SOS vaikai“ Panevėžio skyrius. K</w:t>
            </w:r>
            <w:r w:rsidRPr="0015521B">
              <w:rPr>
                <w:szCs w:val="24"/>
              </w:rPr>
              <w:t>o</w:t>
            </w:r>
            <w:r>
              <w:rPr>
                <w:szCs w:val="24"/>
              </w:rPr>
              <w:t>das 290864530.</w:t>
            </w:r>
          </w:p>
        </w:tc>
      </w:tr>
      <w:tr w:rsidR="0063645A" w14:paraId="100DC5EC" w14:textId="77777777" w:rsidTr="00382BD6">
        <w:trPr>
          <w:trHeight w:val="60"/>
        </w:trPr>
        <w:tc>
          <w:tcPr>
            <w:tcW w:w="5094" w:type="dxa"/>
            <w:tcBorders>
              <w:top w:val="single" w:sz="4" w:space="0" w:color="auto"/>
              <w:left w:val="single" w:sz="4" w:space="0" w:color="auto"/>
              <w:bottom w:val="single" w:sz="4" w:space="0" w:color="auto"/>
              <w:right w:val="single" w:sz="4" w:space="0" w:color="auto"/>
            </w:tcBorders>
            <w:hideMark/>
          </w:tcPr>
          <w:p w14:paraId="100DC5EA" w14:textId="77777777" w:rsidR="0063645A" w:rsidRDefault="0063645A" w:rsidP="00382BD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100DC5EB" w14:textId="77777777" w:rsidR="0063645A" w:rsidRPr="0063645A" w:rsidRDefault="00031C30" w:rsidP="00382BD6">
            <w:pPr>
              <w:jc w:val="both"/>
              <w:rPr>
                <w:rFonts w:eastAsia="Malgun Gothic"/>
                <w:szCs w:val="24"/>
              </w:rPr>
            </w:pPr>
            <w:r>
              <w:rPr>
                <w:bCs/>
                <w:szCs w:val="24"/>
              </w:rPr>
              <w:t>Asociacijos</w:t>
            </w:r>
            <w:r w:rsidR="0063645A" w:rsidRPr="0063645A">
              <w:rPr>
                <w:bCs/>
                <w:szCs w:val="24"/>
              </w:rPr>
              <w:t xml:space="preserve"> veiklai vykdyti</w:t>
            </w:r>
            <w:r>
              <w:rPr>
                <w:bCs/>
                <w:szCs w:val="24"/>
              </w:rPr>
              <w:t>.</w:t>
            </w:r>
          </w:p>
        </w:tc>
      </w:tr>
    </w:tbl>
    <w:p w14:paraId="100DC5ED" w14:textId="77777777" w:rsidR="0063645A" w:rsidRDefault="0063645A" w:rsidP="0063645A">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63645A" w14:paraId="100DC5EF"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00DC5EE" w14:textId="77777777" w:rsidR="0063645A" w:rsidRDefault="0063645A" w:rsidP="00382BD6">
            <w:pPr>
              <w:ind w:left="720"/>
              <w:rPr>
                <w:rFonts w:eastAsia="Malgun Gothic"/>
                <w:b/>
                <w:szCs w:val="24"/>
              </w:rPr>
            </w:pPr>
            <w:r>
              <w:rPr>
                <w:rFonts w:eastAsia="Malgun Gothic"/>
                <w:b/>
                <w:szCs w:val="24"/>
              </w:rPr>
              <w:t xml:space="preserve">I dalis. Perduodamo turto panaudojimo ūkinei veiklai vykdyti požymių nustatymas </w:t>
            </w:r>
          </w:p>
        </w:tc>
      </w:tr>
      <w:tr w:rsidR="0063645A" w14:paraId="100DC5F6" w14:textId="77777777" w:rsidTr="00382BD6">
        <w:tc>
          <w:tcPr>
            <w:tcW w:w="362" w:type="pct"/>
            <w:tcBorders>
              <w:top w:val="single" w:sz="4" w:space="0" w:color="auto"/>
              <w:left w:val="single" w:sz="4" w:space="0" w:color="auto"/>
              <w:bottom w:val="single" w:sz="4" w:space="0" w:color="auto"/>
              <w:right w:val="single" w:sz="4" w:space="0" w:color="auto"/>
            </w:tcBorders>
          </w:tcPr>
          <w:p w14:paraId="100DC5F0" w14:textId="77777777" w:rsidR="0063645A" w:rsidRDefault="0063645A" w:rsidP="00382BD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00DC5F1" w14:textId="77777777" w:rsidR="0063645A" w:rsidRDefault="0063645A" w:rsidP="00382BD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100DC5F2" w14:textId="77777777" w:rsidR="0063645A" w:rsidRDefault="0063645A" w:rsidP="00382BD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100DC5F3"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5F4" w14:textId="77777777" w:rsidR="0063645A" w:rsidRDefault="0063645A" w:rsidP="00382BD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5A3B1A">
              <w:rPr>
                <w:szCs w:val="24"/>
              </w:rPr>
            </w:r>
            <w:r w:rsidR="005A3B1A">
              <w:rPr>
                <w:szCs w:val="24"/>
              </w:rPr>
              <w:fldChar w:fldCharType="separate"/>
            </w:r>
            <w:r>
              <w:rPr>
                <w:szCs w:val="24"/>
              </w:rPr>
              <w:fldChar w:fldCharType="end"/>
            </w:r>
            <w:bookmarkEnd w:id="1"/>
            <w:r>
              <w:rPr>
                <w:b/>
                <w:bCs/>
                <w:szCs w:val="24"/>
              </w:rPr>
              <w:t>Ne</w:t>
            </w:r>
          </w:p>
          <w:p w14:paraId="100DC5F5" w14:textId="77777777" w:rsidR="0063645A" w:rsidRDefault="0063645A" w:rsidP="00382BD6">
            <w:pPr>
              <w:rPr>
                <w:rFonts w:eastAsia="Malgun Gothic"/>
                <w:szCs w:val="24"/>
              </w:rPr>
            </w:pPr>
          </w:p>
        </w:tc>
      </w:tr>
      <w:tr w:rsidR="0063645A" w14:paraId="100DC5F8"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5F7" w14:textId="77777777" w:rsidR="0063645A" w:rsidRDefault="0063645A" w:rsidP="00382BD6">
            <w:pPr>
              <w:jc w:val="center"/>
              <w:rPr>
                <w:rFonts w:eastAsia="Malgun Gothic"/>
                <w:b/>
                <w:szCs w:val="24"/>
              </w:rPr>
            </w:pPr>
            <w:r>
              <w:rPr>
                <w:b/>
                <w:szCs w:val="24"/>
              </w:rPr>
              <w:t>Atsakymo pagrindimas</w:t>
            </w:r>
          </w:p>
        </w:tc>
      </w:tr>
      <w:tr w:rsidR="0063645A" w14:paraId="100DC5FA"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5F9" w14:textId="77777777" w:rsidR="0063645A" w:rsidRPr="003B227B" w:rsidRDefault="0063645A" w:rsidP="004C3181">
            <w:pPr>
              <w:ind w:firstLine="561"/>
              <w:jc w:val="both"/>
              <w:rPr>
                <w:rFonts w:eastAsia="Malgun Gothic"/>
                <w:iCs/>
                <w:szCs w:val="24"/>
              </w:rPr>
            </w:pPr>
            <w:r w:rsidRPr="003B227B">
              <w:rPr>
                <w:iCs/>
                <w:szCs w:val="24"/>
              </w:rPr>
              <w:t xml:space="preserve">Panaudos subjektas </w:t>
            </w:r>
            <w:r w:rsidR="004C3181">
              <w:rPr>
                <w:iCs/>
                <w:szCs w:val="24"/>
              </w:rPr>
              <w:t xml:space="preserve">prisideda prie medicininės ir socialinės reintegracijos. </w:t>
            </w:r>
            <w:r w:rsidR="004C3181">
              <w:t xml:space="preserve">Draugijoje veikia AA grupė, kuri </w:t>
            </w:r>
            <w:r w:rsidR="004C3181" w:rsidRPr="008B23CF">
              <w:t xml:space="preserve">renkasi į gyvus susitikimus, bendrauja, konsultuojasi.  </w:t>
            </w:r>
            <w:r w:rsidRPr="003B227B">
              <w:rPr>
                <w:iCs/>
                <w:szCs w:val="24"/>
              </w:rPr>
              <w:t xml:space="preserve"> </w:t>
            </w:r>
          </w:p>
        </w:tc>
      </w:tr>
      <w:tr w:rsidR="0063645A" w14:paraId="100DC600" w14:textId="77777777" w:rsidTr="00382BD6">
        <w:tc>
          <w:tcPr>
            <w:tcW w:w="362" w:type="pct"/>
            <w:tcBorders>
              <w:top w:val="single" w:sz="4" w:space="0" w:color="auto"/>
              <w:left w:val="single" w:sz="4" w:space="0" w:color="auto"/>
              <w:bottom w:val="single" w:sz="4" w:space="0" w:color="auto"/>
              <w:right w:val="single" w:sz="4" w:space="0" w:color="auto"/>
            </w:tcBorders>
          </w:tcPr>
          <w:p w14:paraId="100DC5FB" w14:textId="77777777" w:rsidR="0063645A" w:rsidRDefault="0063645A" w:rsidP="00382BD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00DC5FC" w14:textId="77777777" w:rsidR="0063645A" w:rsidRDefault="0063645A" w:rsidP="00382BD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100DC5FD"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5FE" w14:textId="77777777" w:rsidR="0063645A" w:rsidRDefault="003B227B" w:rsidP="00382BD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sidR="0063645A">
              <w:rPr>
                <w:b/>
                <w:bCs/>
                <w:szCs w:val="24"/>
              </w:rPr>
              <w:t>Ne</w:t>
            </w:r>
          </w:p>
          <w:p w14:paraId="100DC5FF" w14:textId="77777777" w:rsidR="0063645A" w:rsidRDefault="0063645A" w:rsidP="00382BD6">
            <w:pPr>
              <w:rPr>
                <w:rFonts w:eastAsia="Malgun Gothic"/>
                <w:szCs w:val="24"/>
              </w:rPr>
            </w:pPr>
          </w:p>
        </w:tc>
      </w:tr>
      <w:tr w:rsidR="0063645A" w14:paraId="100DC602"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01" w14:textId="77777777" w:rsidR="0063645A" w:rsidRDefault="0063645A" w:rsidP="00382BD6">
            <w:pPr>
              <w:jc w:val="center"/>
              <w:rPr>
                <w:rFonts w:eastAsia="Malgun Gothic"/>
                <w:b/>
                <w:szCs w:val="24"/>
              </w:rPr>
            </w:pPr>
            <w:r>
              <w:rPr>
                <w:b/>
                <w:szCs w:val="24"/>
              </w:rPr>
              <w:t>Atsakymo pagrindimas</w:t>
            </w:r>
          </w:p>
        </w:tc>
      </w:tr>
      <w:tr w:rsidR="0063645A" w14:paraId="100DC604"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03" w14:textId="77777777" w:rsidR="0063645A" w:rsidRDefault="0063645A" w:rsidP="00382BD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63645A" w14:paraId="100DC60A" w14:textId="77777777" w:rsidTr="00382BD6">
        <w:tc>
          <w:tcPr>
            <w:tcW w:w="362" w:type="pct"/>
            <w:tcBorders>
              <w:top w:val="single" w:sz="4" w:space="0" w:color="auto"/>
              <w:left w:val="single" w:sz="4" w:space="0" w:color="auto"/>
              <w:bottom w:val="single" w:sz="4" w:space="0" w:color="auto"/>
              <w:right w:val="single" w:sz="4" w:space="0" w:color="auto"/>
            </w:tcBorders>
          </w:tcPr>
          <w:p w14:paraId="100DC605" w14:textId="77777777" w:rsidR="0063645A" w:rsidRDefault="0063645A" w:rsidP="00382BD6">
            <w:pPr>
              <w:ind w:left="360" w:hanging="360"/>
              <w:rPr>
                <w:b/>
                <w:szCs w:val="24"/>
              </w:rPr>
            </w:pPr>
            <w:r>
              <w:rPr>
                <w:rFonts w:eastAsia="Malgun Gothic"/>
                <w:b/>
                <w:szCs w:val="24"/>
              </w:rPr>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00DC606" w14:textId="77777777" w:rsidR="0063645A" w:rsidRDefault="0063645A" w:rsidP="00382BD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100DC607"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608"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Ne</w:t>
            </w:r>
          </w:p>
          <w:p w14:paraId="100DC609" w14:textId="77777777" w:rsidR="0063645A" w:rsidRDefault="0063645A" w:rsidP="00382BD6">
            <w:pPr>
              <w:rPr>
                <w:rFonts w:eastAsia="Malgun Gothic"/>
                <w:szCs w:val="24"/>
              </w:rPr>
            </w:pPr>
          </w:p>
        </w:tc>
      </w:tr>
      <w:tr w:rsidR="0063645A" w14:paraId="100DC60C"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0B" w14:textId="77777777" w:rsidR="0063645A" w:rsidRDefault="0063645A" w:rsidP="00382BD6">
            <w:pPr>
              <w:jc w:val="center"/>
              <w:rPr>
                <w:rFonts w:eastAsia="Malgun Gothic"/>
                <w:szCs w:val="24"/>
              </w:rPr>
            </w:pPr>
            <w:r>
              <w:rPr>
                <w:b/>
                <w:szCs w:val="24"/>
              </w:rPr>
              <w:t>Atsakymo pagrindimas</w:t>
            </w:r>
          </w:p>
        </w:tc>
      </w:tr>
      <w:tr w:rsidR="0063645A" w14:paraId="100DC60E"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0D" w14:textId="77777777" w:rsidR="0063645A" w:rsidRDefault="0063645A" w:rsidP="00382BD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63645A" w14:paraId="100DC610" w14:textId="77777777" w:rsidTr="00382BD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100DC60F" w14:textId="77777777" w:rsidR="0063645A" w:rsidRDefault="0063645A" w:rsidP="00382BD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63645A" w14:paraId="100DC616"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00DC611" w14:textId="77777777" w:rsidR="0063645A" w:rsidRDefault="0063645A" w:rsidP="00382BD6">
            <w:pPr>
              <w:ind w:left="357"/>
              <w:rPr>
                <w:rFonts w:eastAsia="Malgun Gothic"/>
                <w:b/>
                <w:bCs/>
                <w:szCs w:val="24"/>
              </w:rPr>
            </w:pPr>
            <w:r>
              <w:rPr>
                <w:b/>
                <w:bCs/>
                <w:szCs w:val="24"/>
              </w:rPr>
              <w:lastRenderedPageBreak/>
              <w:t>1.</w:t>
            </w:r>
          </w:p>
        </w:tc>
        <w:tc>
          <w:tcPr>
            <w:tcW w:w="2288" w:type="pct"/>
            <w:tcBorders>
              <w:top w:val="single" w:sz="4" w:space="0" w:color="auto"/>
              <w:left w:val="single" w:sz="4" w:space="0" w:color="auto"/>
              <w:bottom w:val="single" w:sz="4" w:space="0" w:color="auto"/>
              <w:right w:val="single" w:sz="4" w:space="0" w:color="auto"/>
            </w:tcBorders>
            <w:hideMark/>
          </w:tcPr>
          <w:p w14:paraId="100DC612" w14:textId="77777777" w:rsidR="0063645A" w:rsidRDefault="0063645A" w:rsidP="00382BD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100DC613"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614"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Ne</w:t>
            </w:r>
          </w:p>
          <w:p w14:paraId="100DC615" w14:textId="77777777" w:rsidR="0063645A" w:rsidRDefault="0063645A" w:rsidP="00382BD6">
            <w:pPr>
              <w:rPr>
                <w:rFonts w:eastAsia="Malgun Gothic"/>
                <w:szCs w:val="24"/>
              </w:rPr>
            </w:pPr>
          </w:p>
        </w:tc>
      </w:tr>
      <w:tr w:rsidR="0063645A" w14:paraId="100DC618"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17" w14:textId="77777777" w:rsidR="0063645A" w:rsidRDefault="0063645A" w:rsidP="00382BD6">
            <w:pPr>
              <w:jc w:val="center"/>
              <w:rPr>
                <w:rFonts w:eastAsia="Malgun Gothic"/>
                <w:szCs w:val="24"/>
              </w:rPr>
            </w:pPr>
            <w:r>
              <w:rPr>
                <w:b/>
                <w:szCs w:val="24"/>
              </w:rPr>
              <w:t>Atsakymo pagrindimas</w:t>
            </w:r>
          </w:p>
        </w:tc>
      </w:tr>
      <w:tr w:rsidR="0063645A" w14:paraId="100DC61A"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19"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00DC620"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00DC61B" w14:textId="77777777" w:rsidR="0063645A" w:rsidRDefault="0063645A" w:rsidP="00382BD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100DC61C" w14:textId="77777777" w:rsidR="0063645A" w:rsidRDefault="0063645A" w:rsidP="00382BD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100DC61D"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61E"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Ne</w:t>
            </w:r>
          </w:p>
          <w:p w14:paraId="100DC61F" w14:textId="77777777" w:rsidR="0063645A" w:rsidRDefault="0063645A" w:rsidP="00382BD6">
            <w:pPr>
              <w:rPr>
                <w:rFonts w:eastAsia="Malgun Gothic"/>
                <w:szCs w:val="24"/>
              </w:rPr>
            </w:pPr>
          </w:p>
        </w:tc>
      </w:tr>
      <w:tr w:rsidR="0063645A" w14:paraId="100DC622"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21" w14:textId="77777777" w:rsidR="0063645A" w:rsidRDefault="0063645A" w:rsidP="00382BD6">
            <w:pPr>
              <w:jc w:val="center"/>
              <w:rPr>
                <w:rFonts w:eastAsia="Malgun Gothic"/>
                <w:b/>
                <w:bCs/>
                <w:szCs w:val="24"/>
              </w:rPr>
            </w:pPr>
            <w:r>
              <w:rPr>
                <w:b/>
                <w:bCs/>
                <w:szCs w:val="24"/>
              </w:rPr>
              <w:t>Atsakymo pagrindimas</w:t>
            </w:r>
          </w:p>
        </w:tc>
      </w:tr>
      <w:tr w:rsidR="0063645A" w14:paraId="100DC624"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23" w14:textId="77777777" w:rsidR="0063645A" w:rsidRDefault="0063645A" w:rsidP="00382BD6">
            <w:pPr>
              <w:jc w:val="both"/>
              <w:rPr>
                <w:rFonts w:eastAsia="Malgun Gothic"/>
                <w:i/>
                <w:sz w:val="20"/>
              </w:rPr>
            </w:pPr>
            <w:r>
              <w:rPr>
                <w:i/>
                <w:sz w:val="20"/>
              </w:rPr>
              <w:t>(Jeigu atsakymas „Ne“, nurodoma, kodėl konkurencija šiuo atveju neegzistuoja. Jeigu atsakymas „Taip“, nurodomi subjektai, su kuriais panaudos subjektas konkuruoja vykdydamas savo veiklą.)</w:t>
            </w:r>
          </w:p>
        </w:tc>
      </w:tr>
      <w:tr w:rsidR="0063645A" w14:paraId="100DC62A" w14:textId="77777777" w:rsidTr="00382BD6">
        <w:tc>
          <w:tcPr>
            <w:tcW w:w="362" w:type="pct"/>
            <w:tcBorders>
              <w:top w:val="single" w:sz="4" w:space="0" w:color="auto"/>
              <w:left w:val="single" w:sz="4" w:space="0" w:color="auto"/>
              <w:bottom w:val="single" w:sz="4" w:space="0" w:color="auto"/>
              <w:right w:val="single" w:sz="4" w:space="0" w:color="auto"/>
            </w:tcBorders>
            <w:hideMark/>
          </w:tcPr>
          <w:p w14:paraId="100DC625" w14:textId="77777777" w:rsidR="0063645A" w:rsidRDefault="0063645A" w:rsidP="00382BD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100DC626" w14:textId="77777777" w:rsidR="0063645A" w:rsidRDefault="0063645A" w:rsidP="00382BD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e minimis</w:t>
            </w:r>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100DC627" w14:textId="77777777" w:rsidR="0063645A" w:rsidRDefault="0063645A" w:rsidP="00382BD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00DC628" w14:textId="77777777" w:rsidR="0063645A" w:rsidRDefault="0063645A" w:rsidP="00382BD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5A3B1A">
              <w:rPr>
                <w:szCs w:val="24"/>
              </w:rPr>
            </w:r>
            <w:r w:rsidR="005A3B1A">
              <w:rPr>
                <w:szCs w:val="24"/>
              </w:rPr>
              <w:fldChar w:fldCharType="separate"/>
            </w:r>
            <w:r>
              <w:rPr>
                <w:szCs w:val="24"/>
              </w:rPr>
              <w:fldChar w:fldCharType="end"/>
            </w:r>
            <w:r>
              <w:rPr>
                <w:b/>
                <w:bCs/>
                <w:szCs w:val="24"/>
              </w:rPr>
              <w:t>Ne</w:t>
            </w:r>
          </w:p>
          <w:p w14:paraId="100DC629" w14:textId="77777777" w:rsidR="0063645A" w:rsidRDefault="0063645A" w:rsidP="00382BD6">
            <w:pPr>
              <w:rPr>
                <w:rFonts w:eastAsia="Malgun Gothic"/>
                <w:szCs w:val="24"/>
              </w:rPr>
            </w:pPr>
          </w:p>
        </w:tc>
      </w:tr>
      <w:tr w:rsidR="0063645A" w14:paraId="100DC62C"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2B" w14:textId="77777777" w:rsidR="0063645A" w:rsidRDefault="0063645A" w:rsidP="00382BD6">
            <w:pPr>
              <w:jc w:val="center"/>
              <w:rPr>
                <w:rFonts w:eastAsia="Malgun Gothic"/>
                <w:szCs w:val="24"/>
              </w:rPr>
            </w:pPr>
            <w:r>
              <w:rPr>
                <w:b/>
                <w:szCs w:val="24"/>
              </w:rPr>
              <w:t>Atsakymo pagrindimas</w:t>
            </w:r>
          </w:p>
        </w:tc>
      </w:tr>
      <w:tr w:rsidR="0063645A" w14:paraId="100DC62E" w14:textId="77777777" w:rsidTr="00382BD6">
        <w:tc>
          <w:tcPr>
            <w:tcW w:w="5000" w:type="pct"/>
            <w:gridSpan w:val="4"/>
            <w:tcBorders>
              <w:top w:val="single" w:sz="4" w:space="0" w:color="auto"/>
              <w:left w:val="single" w:sz="4" w:space="0" w:color="auto"/>
              <w:bottom w:val="single" w:sz="4" w:space="0" w:color="auto"/>
              <w:right w:val="single" w:sz="4" w:space="0" w:color="auto"/>
            </w:tcBorders>
            <w:hideMark/>
          </w:tcPr>
          <w:p w14:paraId="100DC62D" w14:textId="77777777" w:rsidR="0063645A" w:rsidRDefault="0063645A" w:rsidP="00382BD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100DC62F" w14:textId="77777777" w:rsidR="0063645A" w:rsidRDefault="0063645A" w:rsidP="0063645A">
      <w:pPr>
        <w:ind w:firstLine="567"/>
        <w:jc w:val="both"/>
        <w:rPr>
          <w:rFonts w:eastAsia="Malgun Gothic"/>
          <w:szCs w:val="24"/>
        </w:rPr>
      </w:pPr>
      <w:r>
        <w:rPr>
          <w:szCs w:val="24"/>
        </w:rPr>
        <w:t>Pastabos:</w:t>
      </w:r>
    </w:p>
    <w:p w14:paraId="100DC630" w14:textId="77777777" w:rsidR="0063645A" w:rsidRDefault="0063645A" w:rsidP="0063645A">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100DC631" w14:textId="77777777" w:rsidR="0063645A" w:rsidRDefault="0063645A" w:rsidP="0063645A">
      <w:pPr>
        <w:ind w:firstLine="567"/>
        <w:jc w:val="both"/>
        <w:rPr>
          <w:szCs w:val="24"/>
        </w:rPr>
      </w:pPr>
      <w:r>
        <w:rPr>
          <w:bCs/>
          <w:szCs w:val="24"/>
        </w:rPr>
        <w:t xml:space="preserve">Europos Komisijos patvirtintų </w:t>
      </w:r>
      <w:r>
        <w:rPr>
          <w:bCs/>
          <w:i/>
          <w:iCs/>
          <w:szCs w:val="24"/>
        </w:rPr>
        <w:t>de minimis</w:t>
      </w:r>
      <w:r>
        <w:rPr>
          <w:bCs/>
          <w:szCs w:val="24"/>
        </w:rPr>
        <w:t xml:space="preserve"> pagalbos reglamentų sąrašą galima rasti:</w:t>
      </w:r>
    </w:p>
    <w:p w14:paraId="100DC632" w14:textId="77777777" w:rsidR="0063645A" w:rsidRDefault="0063645A" w:rsidP="0063645A">
      <w:pPr>
        <w:ind w:firstLine="567"/>
        <w:jc w:val="both"/>
        <w:rPr>
          <w:szCs w:val="24"/>
        </w:rPr>
      </w:pPr>
      <w:r>
        <w:rPr>
          <w:bCs/>
          <w:szCs w:val="24"/>
        </w:rPr>
        <w:t>http://kt.gov.lt/lt/veiklos-sritys/valstybes-pagalba/susijusi-informacija-2/bendrosios-isimties-reglamentai.</w:t>
      </w:r>
      <w:r>
        <w:rPr>
          <w:szCs w:val="24"/>
        </w:rPr>
        <w:t xml:space="preserve"> </w:t>
      </w:r>
    </w:p>
    <w:p w14:paraId="100DC633" w14:textId="77777777" w:rsidR="0063645A" w:rsidRDefault="0063645A" w:rsidP="0063645A">
      <w:pPr>
        <w:jc w:val="both"/>
        <w:rPr>
          <w:szCs w:val="24"/>
        </w:rPr>
      </w:pPr>
    </w:p>
    <w:p w14:paraId="100DC634" w14:textId="77777777" w:rsidR="0063645A" w:rsidRDefault="0063645A" w:rsidP="0063645A">
      <w:pPr>
        <w:jc w:val="both"/>
        <w:rPr>
          <w:szCs w:val="24"/>
        </w:rPr>
      </w:pPr>
    </w:p>
    <w:p w14:paraId="100DC635" w14:textId="77777777" w:rsidR="0063645A" w:rsidRDefault="00D370E1" w:rsidP="0063645A">
      <w:pPr>
        <w:jc w:val="both"/>
        <w:rPr>
          <w:szCs w:val="24"/>
        </w:rPr>
      </w:pPr>
      <w:r>
        <w:rPr>
          <w:szCs w:val="24"/>
        </w:rPr>
        <w:t>Miesto</w:t>
      </w:r>
      <w:r w:rsidR="0063645A">
        <w:rPr>
          <w:szCs w:val="24"/>
        </w:rPr>
        <w:t xml:space="preserve"> </w:t>
      </w:r>
      <w:r>
        <w:rPr>
          <w:szCs w:val="24"/>
        </w:rPr>
        <w:t>infrastruktūros vyriausiasis specialistas</w:t>
      </w:r>
      <w:r w:rsidR="0063645A">
        <w:rPr>
          <w:szCs w:val="24"/>
        </w:rPr>
        <w:t xml:space="preserve">         </w:t>
      </w:r>
      <w:r>
        <w:rPr>
          <w:szCs w:val="24"/>
        </w:rPr>
        <w:tab/>
      </w:r>
      <w:r>
        <w:rPr>
          <w:szCs w:val="24"/>
        </w:rPr>
        <w:tab/>
        <w:t>Albertas Dragūnas</w:t>
      </w:r>
    </w:p>
    <w:p w14:paraId="100DC636" w14:textId="77777777" w:rsidR="00EB77E8" w:rsidRDefault="00EB77E8"/>
    <w:sectPr w:rsidR="00EB77E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45A"/>
    <w:rsid w:val="00031C30"/>
    <w:rsid w:val="00123775"/>
    <w:rsid w:val="003B227B"/>
    <w:rsid w:val="003B2395"/>
    <w:rsid w:val="004C3181"/>
    <w:rsid w:val="005A3B1A"/>
    <w:rsid w:val="0063645A"/>
    <w:rsid w:val="006C739F"/>
    <w:rsid w:val="00842B00"/>
    <w:rsid w:val="008705D7"/>
    <w:rsid w:val="008C7A59"/>
    <w:rsid w:val="00982E94"/>
    <w:rsid w:val="00D16AF6"/>
    <w:rsid w:val="00D370E1"/>
    <w:rsid w:val="00EB7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C5D9"/>
  <w15:chartTrackingRefBased/>
  <w15:docId w15:val="{1EDCDFB5-48DC-498F-B9DD-382B62D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645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4C3181"/>
    <w:rPr>
      <w:b/>
      <w:bCs/>
      <w:szCs w:val="24"/>
    </w:rPr>
  </w:style>
  <w:style w:type="character" w:customStyle="1" w:styleId="Pagrindinistekstas2Diagrama">
    <w:name w:val="Pagrindinis tekstas 2 Diagrama"/>
    <w:basedOn w:val="Numatytasispastraiposriftas"/>
    <w:link w:val="Pagrindinistekstas2"/>
    <w:rsid w:val="004C318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2473</Words>
  <Characters>1411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PcToGo</dc:creator>
  <cp:lastModifiedBy>Daiva Breivienė</cp:lastModifiedBy>
  <cp:revision>2</cp:revision>
  <dcterms:created xsi:type="dcterms:W3CDTF">2020-08-12T08:20:00Z</dcterms:created>
  <dcterms:modified xsi:type="dcterms:W3CDTF">2020-08-12T08:20:00Z</dcterms:modified>
</cp:coreProperties>
</file>