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7F674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0141C31" wp14:editId="0E8A465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69D20" w14:textId="77777777" w:rsidR="005C41AC" w:rsidRPr="005C41AC" w:rsidRDefault="005C41AC" w:rsidP="005C41AC">
      <w:pPr>
        <w:jc w:val="center"/>
        <w:rPr>
          <w:szCs w:val="24"/>
        </w:rPr>
      </w:pPr>
    </w:p>
    <w:p w14:paraId="14F6BE6D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8F4215B" w14:textId="77777777" w:rsidR="005C41AC" w:rsidRPr="005C41AC" w:rsidRDefault="005C41AC" w:rsidP="00571BF3">
      <w:pPr>
        <w:keepNext/>
        <w:jc w:val="center"/>
        <w:outlineLvl w:val="1"/>
      </w:pPr>
    </w:p>
    <w:p w14:paraId="28B07E05" w14:textId="77777777" w:rsidR="005C41AC" w:rsidRPr="005C41AC" w:rsidRDefault="005C41AC" w:rsidP="00571BF3">
      <w:pPr>
        <w:keepNext/>
        <w:jc w:val="center"/>
        <w:outlineLvl w:val="1"/>
      </w:pPr>
    </w:p>
    <w:p w14:paraId="15DF571E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41DD073" w14:textId="7C56490F" w:rsidR="000530BC" w:rsidRPr="00D2650B" w:rsidRDefault="000530BC" w:rsidP="000530BC">
      <w:pPr>
        <w:jc w:val="center"/>
        <w:rPr>
          <w:b/>
          <w:szCs w:val="24"/>
        </w:rPr>
      </w:pPr>
      <w:r w:rsidRPr="00D2650B">
        <w:rPr>
          <w:b/>
          <w:szCs w:val="24"/>
        </w:rPr>
        <w:t xml:space="preserve">DĖL </w:t>
      </w:r>
      <w:r>
        <w:rPr>
          <w:b/>
          <w:szCs w:val="24"/>
        </w:rPr>
        <w:t xml:space="preserve">PANEVĖŽIO MIESTO </w:t>
      </w:r>
      <w:r w:rsidRPr="00D2650B">
        <w:rPr>
          <w:b/>
          <w:szCs w:val="24"/>
        </w:rPr>
        <w:t>SAVIVALD</w:t>
      </w:r>
      <w:r>
        <w:rPr>
          <w:b/>
          <w:szCs w:val="24"/>
        </w:rPr>
        <w:t xml:space="preserve">YBĖS BIUDŽETINIŲ ĮSTAIGŲ VADOVŲ </w:t>
      </w:r>
      <w:r w:rsidRPr="00D2650B">
        <w:rPr>
          <w:b/>
          <w:szCs w:val="24"/>
        </w:rPr>
        <w:t>DARBO APMOKĖJIMO SISTEMOS</w:t>
      </w:r>
      <w:r>
        <w:rPr>
          <w:b/>
          <w:szCs w:val="24"/>
        </w:rPr>
        <w:t xml:space="preserve">, PATVIRTINTOS SAVIVALDYBĖS TARYBOS </w:t>
      </w:r>
      <w:r w:rsidR="00F510E9">
        <w:rPr>
          <w:b/>
          <w:szCs w:val="24"/>
        </w:rPr>
        <w:br/>
      </w:r>
      <w:r>
        <w:rPr>
          <w:b/>
          <w:szCs w:val="24"/>
        </w:rPr>
        <w:t xml:space="preserve">2018 M. </w:t>
      </w:r>
      <w:r w:rsidR="00227383">
        <w:rPr>
          <w:b/>
          <w:szCs w:val="24"/>
        </w:rPr>
        <w:t>RUGPJŪČIO</w:t>
      </w:r>
      <w:r>
        <w:rPr>
          <w:b/>
          <w:szCs w:val="24"/>
        </w:rPr>
        <w:t xml:space="preserve"> 30 D. SPRENDIMU NR. 1-260, PAKEITIMO</w:t>
      </w:r>
    </w:p>
    <w:p w14:paraId="76D2883E" w14:textId="77777777" w:rsidR="0062551B" w:rsidRDefault="0062551B" w:rsidP="003E58F0">
      <w:pPr>
        <w:jc w:val="center"/>
      </w:pPr>
    </w:p>
    <w:p w14:paraId="05C1A2C5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liepos 11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TSP-275</w:t>
      </w:r>
      <w:r>
        <w:fldChar w:fldCharType="end"/>
      </w:r>
      <w:bookmarkEnd w:id="2"/>
    </w:p>
    <w:p w14:paraId="708E16F0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612D7F2" w14:textId="77777777" w:rsidR="0062551B" w:rsidRDefault="0062551B" w:rsidP="00571BF3">
      <w:pPr>
        <w:jc w:val="both"/>
      </w:pPr>
    </w:p>
    <w:p w14:paraId="6BF321F9" w14:textId="77777777" w:rsidR="0062551B" w:rsidRPr="00A562AA" w:rsidRDefault="0062551B" w:rsidP="005C41AC">
      <w:pPr>
        <w:ind w:firstLine="851"/>
        <w:jc w:val="both"/>
      </w:pPr>
    </w:p>
    <w:p w14:paraId="696B3D19" w14:textId="43BA4434" w:rsidR="000530BC" w:rsidRPr="006905A3" w:rsidRDefault="000530BC" w:rsidP="00060C80">
      <w:pPr>
        <w:spacing w:line="360" w:lineRule="auto"/>
        <w:ind w:firstLine="851"/>
        <w:jc w:val="both"/>
        <w:rPr>
          <w:rFonts w:eastAsia="Calibri"/>
          <w:szCs w:val="24"/>
        </w:rPr>
      </w:pPr>
      <w:r w:rsidRPr="00A562AA">
        <w:rPr>
          <w:szCs w:val="24"/>
        </w:rPr>
        <w:t>Vadovaudamasi</w:t>
      </w:r>
      <w:r w:rsidRPr="006905A3">
        <w:rPr>
          <w:rFonts w:eastAsia="Calibri"/>
          <w:szCs w:val="24"/>
        </w:rPr>
        <w:t xml:space="preserve"> Lietuvos Respublikos vietos savivaldos įstatymo 16 straipsnio 4 dalimi, </w:t>
      </w:r>
      <w:r w:rsidR="00B70091">
        <w:rPr>
          <w:rFonts w:eastAsia="Calibri"/>
          <w:szCs w:val="24"/>
        </w:rPr>
        <w:br/>
      </w:r>
      <w:r w:rsidRPr="006905A3">
        <w:rPr>
          <w:rFonts w:eastAsia="Calibri"/>
          <w:szCs w:val="24"/>
        </w:rPr>
        <w:t>18 straipsnio 1 dalimi, Valstyb</w:t>
      </w:r>
      <w:r>
        <w:rPr>
          <w:rFonts w:eastAsia="Calibri"/>
          <w:szCs w:val="24"/>
        </w:rPr>
        <w:t>ės</w:t>
      </w:r>
      <w:r w:rsidRPr="006905A3">
        <w:rPr>
          <w:rFonts w:eastAsia="Calibri"/>
          <w:szCs w:val="24"/>
        </w:rPr>
        <w:t xml:space="preserve"> ir savivaldybių įstaigų</w:t>
      </w:r>
      <w:r>
        <w:rPr>
          <w:rFonts w:eastAsia="Calibri"/>
          <w:szCs w:val="24"/>
        </w:rPr>
        <w:t xml:space="preserve"> darbuotojų darbo apmokėjimo įstatymo </w:t>
      </w:r>
      <w:r w:rsidR="0032440A">
        <w:rPr>
          <w:rFonts w:eastAsia="Calibri"/>
          <w:szCs w:val="24"/>
        </w:rPr>
        <w:br/>
      </w:r>
      <w:r>
        <w:rPr>
          <w:rFonts w:eastAsia="Calibri"/>
          <w:szCs w:val="24"/>
        </w:rPr>
        <w:t>Nr. XIII-198 9 straipsnio, 1, 2, 3, 4 ir 5 priedų pakeitimo įstatymu</w:t>
      </w:r>
      <w:r w:rsidRPr="006905A3">
        <w:rPr>
          <w:rFonts w:eastAsia="Calibri"/>
          <w:szCs w:val="24"/>
        </w:rPr>
        <w:t xml:space="preserve">, Panevėžio miesto savivaldybės taryba </w:t>
      </w:r>
      <w:r>
        <w:rPr>
          <w:rFonts w:eastAsia="Calibri"/>
          <w:szCs w:val="24"/>
        </w:rPr>
        <w:t xml:space="preserve"> n u s p r e n d ž i a</w:t>
      </w:r>
      <w:r w:rsidR="00060C80">
        <w:rPr>
          <w:rFonts w:eastAsia="Calibri"/>
          <w:szCs w:val="24"/>
        </w:rPr>
        <w:t>:</w:t>
      </w:r>
    </w:p>
    <w:p w14:paraId="5213DACC" w14:textId="1B82DF48" w:rsidR="000530BC" w:rsidRDefault="00060C80" w:rsidP="00060C80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</w:t>
      </w:r>
      <w:r w:rsidR="000530BC" w:rsidRPr="006905A3">
        <w:rPr>
          <w:rFonts w:eastAsia="Calibri"/>
          <w:szCs w:val="24"/>
        </w:rPr>
        <w:t xml:space="preserve">akeisti </w:t>
      </w:r>
      <w:r w:rsidR="000530BC">
        <w:rPr>
          <w:rFonts w:eastAsia="Calibri"/>
          <w:szCs w:val="24"/>
        </w:rPr>
        <w:t xml:space="preserve">Panevėžio miesto savivaldybės biudžetinių įstaigų vadovų darbo apmokėjimo sistemos, patvirtintos </w:t>
      </w:r>
      <w:r>
        <w:rPr>
          <w:rFonts w:eastAsia="Calibri"/>
          <w:szCs w:val="24"/>
        </w:rPr>
        <w:t>Panevėžio miesto s</w:t>
      </w:r>
      <w:r w:rsidR="000530BC" w:rsidRPr="006905A3">
        <w:rPr>
          <w:rFonts w:eastAsia="Calibri"/>
          <w:szCs w:val="24"/>
        </w:rPr>
        <w:t xml:space="preserve">avivaldybės tarybos 2018 m. </w:t>
      </w:r>
      <w:r w:rsidR="000530BC">
        <w:rPr>
          <w:rFonts w:eastAsia="Calibri"/>
          <w:szCs w:val="24"/>
        </w:rPr>
        <w:t xml:space="preserve">rugpjūčio 30 </w:t>
      </w:r>
      <w:r w:rsidR="000530BC" w:rsidRPr="006905A3">
        <w:rPr>
          <w:rFonts w:eastAsia="Calibri"/>
          <w:szCs w:val="24"/>
        </w:rPr>
        <w:t>d. sprend</w:t>
      </w:r>
      <w:r w:rsidR="000530BC">
        <w:rPr>
          <w:rFonts w:eastAsia="Calibri"/>
          <w:szCs w:val="24"/>
        </w:rPr>
        <w:t xml:space="preserve">imu </w:t>
      </w:r>
      <w:r w:rsidR="00B70091">
        <w:rPr>
          <w:rFonts w:eastAsia="Calibri"/>
          <w:szCs w:val="24"/>
        </w:rPr>
        <w:br/>
      </w:r>
      <w:r w:rsidR="000530BC">
        <w:rPr>
          <w:rFonts w:eastAsia="Calibri"/>
          <w:szCs w:val="24"/>
        </w:rPr>
        <w:t>Nr. 1-260</w:t>
      </w:r>
      <w:r>
        <w:rPr>
          <w:rFonts w:eastAsia="Calibri"/>
          <w:szCs w:val="24"/>
        </w:rPr>
        <w:t xml:space="preserve"> „D</w:t>
      </w:r>
      <w:r w:rsidRPr="00060C80">
        <w:rPr>
          <w:rFonts w:eastAsia="Calibri"/>
          <w:szCs w:val="24"/>
        </w:rPr>
        <w:t xml:space="preserve">ėl </w:t>
      </w:r>
      <w:r>
        <w:rPr>
          <w:rFonts w:eastAsia="Calibri"/>
          <w:szCs w:val="24"/>
        </w:rPr>
        <w:t>S</w:t>
      </w:r>
      <w:r w:rsidRPr="00060C80">
        <w:rPr>
          <w:rFonts w:eastAsia="Calibri"/>
          <w:szCs w:val="24"/>
        </w:rPr>
        <w:t xml:space="preserve">avivaldybės biudžetinių įstaigų vadovų darbo apmokėjimo sistemos patvirtinimo ir </w:t>
      </w:r>
      <w:r>
        <w:rPr>
          <w:rFonts w:eastAsia="Calibri"/>
          <w:szCs w:val="24"/>
        </w:rPr>
        <w:t>S</w:t>
      </w:r>
      <w:r w:rsidRPr="00060C80">
        <w:rPr>
          <w:rFonts w:eastAsia="Calibri"/>
          <w:szCs w:val="24"/>
        </w:rPr>
        <w:t xml:space="preserve">avivaldybės tarybos 2017 m. vasario 23 d. sprendimo </w:t>
      </w:r>
      <w:r>
        <w:rPr>
          <w:rFonts w:eastAsia="Calibri"/>
          <w:szCs w:val="24"/>
        </w:rPr>
        <w:t>N</w:t>
      </w:r>
      <w:r w:rsidRPr="00060C80">
        <w:rPr>
          <w:rFonts w:eastAsia="Calibri"/>
          <w:szCs w:val="24"/>
        </w:rPr>
        <w:t>r. 1-31 pripažinimo netekusiu galios</w:t>
      </w:r>
      <w:r>
        <w:rPr>
          <w:rFonts w:eastAsia="Calibri"/>
          <w:szCs w:val="24"/>
        </w:rPr>
        <w:t>“</w:t>
      </w:r>
      <w:r w:rsidR="000530BC">
        <w:rPr>
          <w:rFonts w:eastAsia="Calibri"/>
          <w:szCs w:val="24"/>
        </w:rPr>
        <w:t>:</w:t>
      </w:r>
    </w:p>
    <w:p w14:paraId="5EBDA178" w14:textId="05BB99EA" w:rsidR="000530BC" w:rsidRPr="006905A3" w:rsidRDefault="000530BC" w:rsidP="00060C80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 15.3 papunktį ir</w:t>
      </w:r>
      <w:r w:rsidR="00060C80">
        <w:rPr>
          <w:rFonts w:eastAsia="Calibri"/>
          <w:szCs w:val="24"/>
        </w:rPr>
        <w:t xml:space="preserve"> jį</w:t>
      </w:r>
      <w:r>
        <w:rPr>
          <w:rFonts w:eastAsia="Calibri"/>
          <w:szCs w:val="24"/>
        </w:rPr>
        <w:t xml:space="preserve"> išdėstyti taip:</w:t>
      </w:r>
    </w:p>
    <w:p w14:paraId="2BE85EDF" w14:textId="77777777" w:rsidR="000530BC" w:rsidRDefault="000530BC" w:rsidP="00060C80">
      <w:pPr>
        <w:spacing w:line="360" w:lineRule="auto"/>
        <w:ind w:firstLine="851"/>
        <w:jc w:val="both"/>
        <w:rPr>
          <w:bCs/>
          <w:szCs w:val="24"/>
        </w:rPr>
      </w:pPr>
      <w:r>
        <w:rPr>
          <w:bCs/>
          <w:szCs w:val="24"/>
        </w:rPr>
        <w:t>„</w:t>
      </w:r>
      <w:r w:rsidRPr="00AA0BE9">
        <w:rPr>
          <w:szCs w:val="24"/>
          <w:lang w:eastAsia="lt-LT"/>
        </w:rPr>
        <w:t>15.3. į</w:t>
      </w:r>
      <w:r w:rsidRPr="00AA0BE9">
        <w:rPr>
          <w:szCs w:val="24"/>
        </w:rPr>
        <w:t xml:space="preserve">staigos vadovo pareiginės algos kintamoji dalis gali būti nustatyta priėmimo į darbą metu, atsižvelgiant į vadovo profesinę kvalifikaciją ir jam keliamus uždavinius, tačiau ne didesnė kaip 20 procentų pareiginės algos pastoviosios dalies ir ne ilgiau kaip </w:t>
      </w:r>
      <w:r>
        <w:rPr>
          <w:szCs w:val="24"/>
        </w:rPr>
        <w:t>iki to Įstaigos vadovo kasmetinio vertinimo;</w:t>
      </w:r>
      <w:r>
        <w:rPr>
          <w:bCs/>
          <w:szCs w:val="24"/>
        </w:rPr>
        <w:t>“.</w:t>
      </w:r>
    </w:p>
    <w:p w14:paraId="0C8C6888" w14:textId="4A4114B9" w:rsidR="000530BC" w:rsidRDefault="000530BC" w:rsidP="00060C80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2. 1 priedą ir </w:t>
      </w:r>
      <w:r w:rsidR="00B70091">
        <w:rPr>
          <w:rFonts w:eastAsia="Calibri"/>
          <w:szCs w:val="24"/>
        </w:rPr>
        <w:t xml:space="preserve">jį </w:t>
      </w:r>
      <w:r>
        <w:rPr>
          <w:rFonts w:eastAsia="Calibri"/>
          <w:szCs w:val="24"/>
        </w:rPr>
        <w:t>išdėstyti taip:</w:t>
      </w:r>
    </w:p>
    <w:p w14:paraId="0192E2E1" w14:textId="77777777" w:rsidR="000530BC" w:rsidRPr="00AA0BE9" w:rsidRDefault="000530BC" w:rsidP="000530BC">
      <w:pPr>
        <w:ind w:left="5103"/>
        <w:rPr>
          <w:szCs w:val="24"/>
        </w:rPr>
      </w:pPr>
      <w:r>
        <w:rPr>
          <w:rFonts w:eastAsia="Calibri"/>
          <w:szCs w:val="24"/>
        </w:rPr>
        <w:t>„</w:t>
      </w:r>
      <w:r w:rsidRPr="00AA0BE9">
        <w:rPr>
          <w:szCs w:val="24"/>
        </w:rPr>
        <w:t>Panevėžio miesto savivaldybės biudžetinių įstaigų vadovų darbo apmokėjimo sistemos</w:t>
      </w:r>
    </w:p>
    <w:p w14:paraId="7B16916D" w14:textId="77777777" w:rsidR="000530BC" w:rsidRPr="00AA0BE9" w:rsidRDefault="000530BC" w:rsidP="000530BC">
      <w:pPr>
        <w:ind w:left="5103"/>
        <w:rPr>
          <w:szCs w:val="24"/>
        </w:rPr>
      </w:pPr>
      <w:r w:rsidRPr="00AA0BE9">
        <w:rPr>
          <w:szCs w:val="24"/>
        </w:rPr>
        <w:t>1 priedas</w:t>
      </w:r>
    </w:p>
    <w:p w14:paraId="2BD5EB93" w14:textId="77777777" w:rsidR="000530BC" w:rsidRPr="00AA0BE9" w:rsidRDefault="000530BC" w:rsidP="000530BC">
      <w:pPr>
        <w:ind w:left="5103"/>
        <w:rPr>
          <w:b/>
          <w:szCs w:val="24"/>
        </w:rPr>
      </w:pPr>
    </w:p>
    <w:p w14:paraId="48BB37D9" w14:textId="77777777" w:rsidR="000530BC" w:rsidRPr="00AA0BE9" w:rsidRDefault="000530BC" w:rsidP="000530BC">
      <w:pPr>
        <w:jc w:val="center"/>
        <w:rPr>
          <w:b/>
          <w:szCs w:val="24"/>
        </w:rPr>
      </w:pPr>
      <w:r w:rsidRPr="00AA0BE9">
        <w:rPr>
          <w:b/>
          <w:szCs w:val="24"/>
        </w:rPr>
        <w:t>ĮSTAIGŲ VADOVŲ, IŠSKYRUS MOKYKLŲ VADOVUS, PAREIGINĖS ALGOS PASTOVIOSIOS DALIES KOEFICIENTAI</w:t>
      </w:r>
    </w:p>
    <w:p w14:paraId="515A6AAE" w14:textId="77777777" w:rsidR="000530BC" w:rsidRPr="00AA0BE9" w:rsidRDefault="000530BC" w:rsidP="000530BC">
      <w:pPr>
        <w:jc w:val="center"/>
        <w:rPr>
          <w:b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3434"/>
        <w:gridCol w:w="2972"/>
      </w:tblGrid>
      <w:tr w:rsidR="000530BC" w:rsidRPr="00AA0BE9" w14:paraId="3E8A5725" w14:textId="77777777" w:rsidTr="001678F6">
        <w:trPr>
          <w:trHeight w:val="414"/>
          <w:jc w:val="center"/>
        </w:trPr>
        <w:tc>
          <w:tcPr>
            <w:tcW w:w="1674" w:type="pct"/>
            <w:vMerge w:val="restart"/>
            <w:vAlign w:val="center"/>
          </w:tcPr>
          <w:p w14:paraId="14BB6FCD" w14:textId="77777777" w:rsidR="000530BC" w:rsidRPr="00AA0BE9" w:rsidRDefault="000530BC" w:rsidP="001678F6">
            <w:pPr>
              <w:jc w:val="center"/>
              <w:rPr>
                <w:b/>
                <w:szCs w:val="24"/>
              </w:rPr>
            </w:pPr>
            <w:r w:rsidRPr="00AA0BE9">
              <w:rPr>
                <w:szCs w:val="24"/>
              </w:rPr>
              <w:t>Savivaldybės įstaigos grupė</w:t>
            </w:r>
          </w:p>
        </w:tc>
        <w:tc>
          <w:tcPr>
            <w:tcW w:w="1783" w:type="pct"/>
            <w:vMerge w:val="restart"/>
            <w:vAlign w:val="center"/>
          </w:tcPr>
          <w:p w14:paraId="75BCD619" w14:textId="77777777" w:rsidR="000530BC" w:rsidRPr="00AA0BE9" w:rsidRDefault="000530BC" w:rsidP="001678F6">
            <w:pPr>
              <w:jc w:val="center"/>
              <w:rPr>
                <w:b/>
                <w:szCs w:val="24"/>
              </w:rPr>
            </w:pPr>
            <w:r w:rsidRPr="00AA0BE9">
              <w:rPr>
                <w:szCs w:val="24"/>
              </w:rPr>
              <w:t>Vadovaujamojo darbo</w:t>
            </w:r>
          </w:p>
          <w:p w14:paraId="686E79FC" w14:textId="77777777" w:rsidR="000530BC" w:rsidRPr="00AA0BE9" w:rsidRDefault="000530BC" w:rsidP="001678F6">
            <w:pPr>
              <w:jc w:val="center"/>
              <w:rPr>
                <w:b/>
                <w:szCs w:val="24"/>
              </w:rPr>
            </w:pPr>
            <w:r w:rsidRPr="00AA0BE9">
              <w:rPr>
                <w:szCs w:val="24"/>
              </w:rPr>
              <w:t>patirtis</w:t>
            </w:r>
          </w:p>
          <w:p w14:paraId="714AB0F4" w14:textId="77777777" w:rsidR="000530BC" w:rsidRPr="00AA0BE9" w:rsidRDefault="000530BC" w:rsidP="001678F6">
            <w:pPr>
              <w:jc w:val="center"/>
              <w:rPr>
                <w:b/>
                <w:szCs w:val="24"/>
              </w:rPr>
            </w:pPr>
            <w:r w:rsidRPr="00AA0BE9">
              <w:rPr>
                <w:szCs w:val="24"/>
              </w:rPr>
              <w:t>(metais)</w:t>
            </w:r>
          </w:p>
        </w:tc>
        <w:tc>
          <w:tcPr>
            <w:tcW w:w="1543" w:type="pct"/>
            <w:vMerge w:val="restart"/>
            <w:vAlign w:val="center"/>
          </w:tcPr>
          <w:p w14:paraId="59737CDF" w14:textId="77777777" w:rsidR="000530BC" w:rsidRPr="00AA0BE9" w:rsidRDefault="000530BC" w:rsidP="001678F6">
            <w:pPr>
              <w:jc w:val="center"/>
              <w:rPr>
                <w:b/>
                <w:szCs w:val="24"/>
              </w:rPr>
            </w:pPr>
            <w:r w:rsidRPr="00AA0BE9">
              <w:rPr>
                <w:szCs w:val="24"/>
              </w:rPr>
              <w:t>Pastoviosios dalies koeficientai (pareiginės algos baziniais dydžiais)</w:t>
            </w:r>
          </w:p>
        </w:tc>
      </w:tr>
      <w:tr w:rsidR="000530BC" w:rsidRPr="00AA0BE9" w14:paraId="7ACEB1AB" w14:textId="77777777" w:rsidTr="001678F6">
        <w:trPr>
          <w:trHeight w:val="562"/>
          <w:jc w:val="center"/>
        </w:trPr>
        <w:tc>
          <w:tcPr>
            <w:tcW w:w="1674" w:type="pct"/>
            <w:vMerge/>
            <w:vAlign w:val="center"/>
          </w:tcPr>
          <w:p w14:paraId="5C3E0201" w14:textId="77777777" w:rsidR="000530BC" w:rsidRPr="00AA0BE9" w:rsidRDefault="000530BC" w:rsidP="001678F6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83" w:type="pct"/>
            <w:vMerge/>
            <w:vAlign w:val="center"/>
          </w:tcPr>
          <w:p w14:paraId="51DFB8DA" w14:textId="77777777" w:rsidR="000530BC" w:rsidRPr="00AA0BE9" w:rsidRDefault="000530BC" w:rsidP="001678F6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543" w:type="pct"/>
            <w:vMerge/>
            <w:vAlign w:val="center"/>
          </w:tcPr>
          <w:p w14:paraId="0EC370E5" w14:textId="77777777" w:rsidR="000530BC" w:rsidRPr="00AA0BE9" w:rsidRDefault="000530BC" w:rsidP="001678F6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</w:tr>
      <w:tr w:rsidR="000530BC" w:rsidRPr="00AA0BE9" w14:paraId="493EF776" w14:textId="77777777" w:rsidTr="001678F6">
        <w:trPr>
          <w:trHeight w:val="343"/>
          <w:jc w:val="center"/>
        </w:trPr>
        <w:tc>
          <w:tcPr>
            <w:tcW w:w="1674" w:type="pct"/>
            <w:vMerge w:val="restart"/>
            <w:vAlign w:val="center"/>
          </w:tcPr>
          <w:p w14:paraId="6682DAF7" w14:textId="77777777" w:rsidR="000530BC" w:rsidRPr="00AA0BE9" w:rsidRDefault="000530BC" w:rsidP="001678F6">
            <w:pPr>
              <w:spacing w:line="360" w:lineRule="auto"/>
              <w:jc w:val="center"/>
              <w:rPr>
                <w:b/>
                <w:szCs w:val="24"/>
              </w:rPr>
            </w:pPr>
            <w:r w:rsidRPr="00AA0BE9">
              <w:rPr>
                <w:szCs w:val="24"/>
              </w:rPr>
              <w:t>I</w:t>
            </w:r>
          </w:p>
          <w:p w14:paraId="45171AA9" w14:textId="77777777" w:rsidR="000530BC" w:rsidRPr="00AA0BE9" w:rsidRDefault="000530BC" w:rsidP="001678F6">
            <w:pPr>
              <w:spacing w:line="360" w:lineRule="auto"/>
              <w:jc w:val="center"/>
              <w:rPr>
                <w:b/>
                <w:szCs w:val="24"/>
              </w:rPr>
            </w:pPr>
            <w:r w:rsidRPr="00AA0BE9">
              <w:rPr>
                <w:szCs w:val="24"/>
              </w:rPr>
              <w:t>nuo 201</w:t>
            </w:r>
            <w:r>
              <w:rPr>
                <w:szCs w:val="24"/>
              </w:rPr>
              <w:t xml:space="preserve"> ir daugiau pareigybių</w:t>
            </w:r>
          </w:p>
        </w:tc>
        <w:tc>
          <w:tcPr>
            <w:tcW w:w="1783" w:type="pct"/>
            <w:vAlign w:val="center"/>
          </w:tcPr>
          <w:p w14:paraId="22669293" w14:textId="77777777" w:rsidR="000530BC" w:rsidRPr="00AA0BE9" w:rsidRDefault="000530BC" w:rsidP="001678F6">
            <w:pPr>
              <w:tabs>
                <w:tab w:val="left" w:pos="468"/>
                <w:tab w:val="center" w:pos="1094"/>
              </w:tabs>
              <w:spacing w:line="360" w:lineRule="auto"/>
              <w:jc w:val="center"/>
              <w:rPr>
                <w:b/>
                <w:szCs w:val="24"/>
              </w:rPr>
            </w:pPr>
            <w:r w:rsidRPr="00AA0BE9">
              <w:rPr>
                <w:szCs w:val="24"/>
              </w:rPr>
              <w:t>iki 5</w:t>
            </w:r>
          </w:p>
        </w:tc>
        <w:tc>
          <w:tcPr>
            <w:tcW w:w="1543" w:type="pct"/>
            <w:vAlign w:val="center"/>
          </w:tcPr>
          <w:p w14:paraId="5411C853" w14:textId="77777777" w:rsidR="000530BC" w:rsidRPr="00AA0BE9" w:rsidRDefault="000530BC" w:rsidP="001678F6">
            <w:pPr>
              <w:spacing w:line="360" w:lineRule="auto"/>
              <w:jc w:val="center"/>
              <w:rPr>
                <w:b/>
                <w:szCs w:val="24"/>
              </w:rPr>
            </w:pPr>
            <w:r w:rsidRPr="00AA0BE9">
              <w:rPr>
                <w:szCs w:val="24"/>
              </w:rPr>
              <w:t>4,8–12,8</w:t>
            </w:r>
          </w:p>
        </w:tc>
      </w:tr>
      <w:tr w:rsidR="000530BC" w:rsidRPr="00AA0BE9" w14:paraId="32B27B01" w14:textId="77777777" w:rsidTr="001678F6">
        <w:trPr>
          <w:trHeight w:val="323"/>
          <w:jc w:val="center"/>
        </w:trPr>
        <w:tc>
          <w:tcPr>
            <w:tcW w:w="1674" w:type="pct"/>
            <w:vMerge/>
            <w:vAlign w:val="center"/>
          </w:tcPr>
          <w:p w14:paraId="0FA84582" w14:textId="77777777" w:rsidR="000530BC" w:rsidRPr="00AA0BE9" w:rsidRDefault="000530BC" w:rsidP="001678F6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83" w:type="pct"/>
            <w:vAlign w:val="center"/>
          </w:tcPr>
          <w:p w14:paraId="457F4552" w14:textId="77777777" w:rsidR="000530BC" w:rsidRPr="00AA0BE9" w:rsidRDefault="000530BC" w:rsidP="001678F6">
            <w:pPr>
              <w:tabs>
                <w:tab w:val="left" w:pos="468"/>
                <w:tab w:val="center" w:pos="1094"/>
              </w:tabs>
              <w:spacing w:line="360" w:lineRule="auto"/>
              <w:jc w:val="center"/>
              <w:rPr>
                <w:b/>
                <w:szCs w:val="24"/>
              </w:rPr>
            </w:pPr>
            <w:r w:rsidRPr="00AA0BE9">
              <w:rPr>
                <w:szCs w:val="24"/>
              </w:rPr>
              <w:t xml:space="preserve">nuo </w:t>
            </w:r>
            <w:r>
              <w:rPr>
                <w:szCs w:val="24"/>
              </w:rPr>
              <w:t xml:space="preserve">daugiau kaip </w:t>
            </w:r>
            <w:r w:rsidRPr="00AA0BE9">
              <w:rPr>
                <w:szCs w:val="24"/>
              </w:rPr>
              <w:t>5 iki 10</w:t>
            </w:r>
          </w:p>
        </w:tc>
        <w:tc>
          <w:tcPr>
            <w:tcW w:w="1543" w:type="pct"/>
            <w:vAlign w:val="center"/>
          </w:tcPr>
          <w:p w14:paraId="3E93445D" w14:textId="77777777" w:rsidR="000530BC" w:rsidRPr="00AA0BE9" w:rsidRDefault="000530BC" w:rsidP="001678F6">
            <w:pPr>
              <w:spacing w:line="360" w:lineRule="auto"/>
              <w:jc w:val="center"/>
              <w:rPr>
                <w:b/>
                <w:szCs w:val="24"/>
              </w:rPr>
            </w:pPr>
            <w:r w:rsidRPr="00AA0BE9">
              <w:rPr>
                <w:szCs w:val="24"/>
              </w:rPr>
              <w:t>4,9–13,1</w:t>
            </w:r>
          </w:p>
        </w:tc>
      </w:tr>
      <w:tr w:rsidR="000530BC" w:rsidRPr="00AA0BE9" w14:paraId="709ACC68" w14:textId="77777777" w:rsidTr="001678F6">
        <w:trPr>
          <w:trHeight w:val="323"/>
          <w:jc w:val="center"/>
        </w:trPr>
        <w:tc>
          <w:tcPr>
            <w:tcW w:w="1674" w:type="pct"/>
            <w:vMerge/>
            <w:vAlign w:val="center"/>
          </w:tcPr>
          <w:p w14:paraId="04259954" w14:textId="77777777" w:rsidR="000530BC" w:rsidRPr="00AA0BE9" w:rsidRDefault="000530BC" w:rsidP="001678F6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83" w:type="pct"/>
            <w:vAlign w:val="center"/>
          </w:tcPr>
          <w:p w14:paraId="3177D554" w14:textId="77777777" w:rsidR="000530BC" w:rsidRPr="00AA0BE9" w:rsidRDefault="000530BC" w:rsidP="001678F6">
            <w:pPr>
              <w:tabs>
                <w:tab w:val="left" w:pos="468"/>
                <w:tab w:val="center" w:pos="1094"/>
              </w:tabs>
              <w:spacing w:line="360" w:lineRule="auto"/>
              <w:jc w:val="center"/>
              <w:rPr>
                <w:b/>
                <w:szCs w:val="24"/>
              </w:rPr>
            </w:pPr>
            <w:r w:rsidRPr="00AA0BE9">
              <w:rPr>
                <w:szCs w:val="24"/>
              </w:rPr>
              <w:t>daugiau kaip 10</w:t>
            </w:r>
          </w:p>
        </w:tc>
        <w:tc>
          <w:tcPr>
            <w:tcW w:w="1543" w:type="pct"/>
            <w:vAlign w:val="center"/>
          </w:tcPr>
          <w:p w14:paraId="5D3FB8A0" w14:textId="77777777" w:rsidR="000530BC" w:rsidRPr="00AA0BE9" w:rsidRDefault="000530BC" w:rsidP="00612863">
            <w:pPr>
              <w:tabs>
                <w:tab w:val="center" w:pos="2296"/>
                <w:tab w:val="right" w:pos="4592"/>
              </w:tabs>
              <w:spacing w:line="360" w:lineRule="auto"/>
              <w:jc w:val="center"/>
              <w:rPr>
                <w:b/>
                <w:szCs w:val="24"/>
              </w:rPr>
            </w:pPr>
            <w:r w:rsidRPr="00AA0BE9">
              <w:rPr>
                <w:szCs w:val="24"/>
              </w:rPr>
              <w:t>5,0–13,4</w:t>
            </w:r>
          </w:p>
        </w:tc>
      </w:tr>
      <w:tr w:rsidR="000530BC" w:rsidRPr="00AA0BE9" w14:paraId="32427142" w14:textId="77777777" w:rsidTr="001678F6">
        <w:trPr>
          <w:trHeight w:val="323"/>
          <w:jc w:val="center"/>
        </w:trPr>
        <w:tc>
          <w:tcPr>
            <w:tcW w:w="1674" w:type="pct"/>
            <w:vMerge w:val="restart"/>
            <w:vAlign w:val="center"/>
          </w:tcPr>
          <w:p w14:paraId="7DA09C67" w14:textId="77777777" w:rsidR="000530BC" w:rsidRPr="00AA0BE9" w:rsidRDefault="000530BC" w:rsidP="001678F6">
            <w:pPr>
              <w:spacing w:line="360" w:lineRule="auto"/>
              <w:jc w:val="center"/>
              <w:rPr>
                <w:b/>
                <w:szCs w:val="24"/>
              </w:rPr>
            </w:pPr>
            <w:r w:rsidRPr="00AA0BE9">
              <w:rPr>
                <w:szCs w:val="24"/>
              </w:rPr>
              <w:t>II</w:t>
            </w:r>
          </w:p>
          <w:p w14:paraId="159D078B" w14:textId="77777777" w:rsidR="000530BC" w:rsidRPr="00AA0BE9" w:rsidRDefault="000530BC" w:rsidP="001678F6">
            <w:pPr>
              <w:spacing w:line="360" w:lineRule="auto"/>
              <w:jc w:val="center"/>
              <w:rPr>
                <w:b/>
                <w:szCs w:val="24"/>
              </w:rPr>
            </w:pPr>
            <w:r w:rsidRPr="00AA0BE9">
              <w:rPr>
                <w:szCs w:val="24"/>
              </w:rPr>
              <w:t>nuo 51 iki 200 pareigybių</w:t>
            </w:r>
          </w:p>
        </w:tc>
        <w:tc>
          <w:tcPr>
            <w:tcW w:w="1783" w:type="pct"/>
            <w:vAlign w:val="center"/>
          </w:tcPr>
          <w:p w14:paraId="4437172B" w14:textId="77777777" w:rsidR="000530BC" w:rsidRPr="00AA0BE9" w:rsidRDefault="000530BC" w:rsidP="001678F6">
            <w:pPr>
              <w:tabs>
                <w:tab w:val="left" w:pos="468"/>
                <w:tab w:val="center" w:pos="1094"/>
              </w:tabs>
              <w:spacing w:line="360" w:lineRule="auto"/>
              <w:jc w:val="center"/>
              <w:rPr>
                <w:b/>
                <w:szCs w:val="24"/>
              </w:rPr>
            </w:pPr>
            <w:r w:rsidRPr="00AA0BE9">
              <w:rPr>
                <w:szCs w:val="24"/>
              </w:rPr>
              <w:t>iki 5</w:t>
            </w:r>
          </w:p>
        </w:tc>
        <w:tc>
          <w:tcPr>
            <w:tcW w:w="1543" w:type="pct"/>
            <w:vAlign w:val="center"/>
          </w:tcPr>
          <w:p w14:paraId="1080A4E4" w14:textId="77777777" w:rsidR="000530BC" w:rsidRPr="00AA0BE9" w:rsidRDefault="000530BC" w:rsidP="00612863">
            <w:pPr>
              <w:tabs>
                <w:tab w:val="left" w:pos="192"/>
              </w:tabs>
              <w:spacing w:line="360" w:lineRule="auto"/>
              <w:jc w:val="center"/>
              <w:rPr>
                <w:b/>
                <w:szCs w:val="24"/>
              </w:rPr>
            </w:pPr>
            <w:r w:rsidRPr="00AA0BE9">
              <w:rPr>
                <w:szCs w:val="24"/>
              </w:rPr>
              <w:t>4,6–12,4</w:t>
            </w:r>
          </w:p>
        </w:tc>
      </w:tr>
      <w:tr w:rsidR="000530BC" w:rsidRPr="00AA0BE9" w14:paraId="48853B36" w14:textId="77777777" w:rsidTr="001678F6">
        <w:trPr>
          <w:trHeight w:val="323"/>
          <w:jc w:val="center"/>
        </w:trPr>
        <w:tc>
          <w:tcPr>
            <w:tcW w:w="1674" w:type="pct"/>
            <w:vMerge/>
            <w:vAlign w:val="center"/>
          </w:tcPr>
          <w:p w14:paraId="39FFADD2" w14:textId="77777777" w:rsidR="000530BC" w:rsidRPr="00AA0BE9" w:rsidRDefault="000530BC" w:rsidP="001678F6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83" w:type="pct"/>
            <w:vAlign w:val="center"/>
          </w:tcPr>
          <w:p w14:paraId="20BC17A6" w14:textId="77777777" w:rsidR="000530BC" w:rsidRPr="00AA0BE9" w:rsidRDefault="000530BC" w:rsidP="001678F6">
            <w:pPr>
              <w:tabs>
                <w:tab w:val="left" w:pos="468"/>
                <w:tab w:val="center" w:pos="1094"/>
              </w:tabs>
              <w:spacing w:line="360" w:lineRule="auto"/>
              <w:jc w:val="center"/>
              <w:rPr>
                <w:b/>
                <w:szCs w:val="24"/>
              </w:rPr>
            </w:pPr>
            <w:r w:rsidRPr="00AA0BE9">
              <w:rPr>
                <w:szCs w:val="24"/>
              </w:rPr>
              <w:t xml:space="preserve">nuo </w:t>
            </w:r>
            <w:r>
              <w:rPr>
                <w:szCs w:val="24"/>
              </w:rPr>
              <w:t xml:space="preserve">daugiau kaip </w:t>
            </w:r>
            <w:r w:rsidRPr="00AA0BE9">
              <w:rPr>
                <w:szCs w:val="24"/>
              </w:rPr>
              <w:t>5 iki 10</w:t>
            </w:r>
          </w:p>
        </w:tc>
        <w:tc>
          <w:tcPr>
            <w:tcW w:w="1543" w:type="pct"/>
            <w:vAlign w:val="center"/>
          </w:tcPr>
          <w:p w14:paraId="6AE40448" w14:textId="77777777" w:rsidR="000530BC" w:rsidRPr="00AA0BE9" w:rsidRDefault="000530BC" w:rsidP="00612863">
            <w:pPr>
              <w:spacing w:line="360" w:lineRule="auto"/>
              <w:jc w:val="center"/>
              <w:rPr>
                <w:b/>
                <w:szCs w:val="24"/>
              </w:rPr>
            </w:pPr>
            <w:r w:rsidRPr="00AA0BE9">
              <w:rPr>
                <w:szCs w:val="24"/>
              </w:rPr>
              <w:t>4,7–12,6</w:t>
            </w:r>
          </w:p>
        </w:tc>
      </w:tr>
      <w:tr w:rsidR="000530BC" w:rsidRPr="00AA0BE9" w14:paraId="779C3682" w14:textId="77777777" w:rsidTr="001678F6">
        <w:trPr>
          <w:trHeight w:val="323"/>
          <w:jc w:val="center"/>
        </w:trPr>
        <w:tc>
          <w:tcPr>
            <w:tcW w:w="1674" w:type="pct"/>
            <w:vMerge/>
            <w:vAlign w:val="center"/>
          </w:tcPr>
          <w:p w14:paraId="3A3D669A" w14:textId="77777777" w:rsidR="000530BC" w:rsidRPr="00AA0BE9" w:rsidRDefault="000530BC" w:rsidP="001678F6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83" w:type="pct"/>
            <w:vAlign w:val="center"/>
          </w:tcPr>
          <w:p w14:paraId="6095EF92" w14:textId="77777777" w:rsidR="000530BC" w:rsidRPr="00AA0BE9" w:rsidRDefault="000530BC" w:rsidP="001678F6">
            <w:pPr>
              <w:tabs>
                <w:tab w:val="left" w:pos="468"/>
                <w:tab w:val="center" w:pos="1094"/>
              </w:tabs>
              <w:spacing w:line="360" w:lineRule="auto"/>
              <w:jc w:val="center"/>
              <w:rPr>
                <w:b/>
                <w:szCs w:val="24"/>
              </w:rPr>
            </w:pPr>
            <w:r w:rsidRPr="00AA0BE9">
              <w:rPr>
                <w:szCs w:val="24"/>
              </w:rPr>
              <w:t>daugiau kaip 10</w:t>
            </w:r>
          </w:p>
        </w:tc>
        <w:tc>
          <w:tcPr>
            <w:tcW w:w="1543" w:type="pct"/>
            <w:vAlign w:val="center"/>
          </w:tcPr>
          <w:p w14:paraId="731494C5" w14:textId="77777777" w:rsidR="000530BC" w:rsidRPr="00AA0BE9" w:rsidRDefault="000530BC" w:rsidP="00612863">
            <w:pPr>
              <w:spacing w:line="360" w:lineRule="auto"/>
              <w:jc w:val="center"/>
              <w:rPr>
                <w:b/>
                <w:szCs w:val="24"/>
              </w:rPr>
            </w:pPr>
            <w:r w:rsidRPr="00AA0BE9">
              <w:rPr>
                <w:szCs w:val="24"/>
              </w:rPr>
              <w:t>4,8–12,8</w:t>
            </w:r>
          </w:p>
        </w:tc>
      </w:tr>
      <w:tr w:rsidR="000530BC" w:rsidRPr="00AA0BE9" w14:paraId="6A03C05E" w14:textId="77777777" w:rsidTr="001678F6">
        <w:trPr>
          <w:trHeight w:val="271"/>
          <w:jc w:val="center"/>
        </w:trPr>
        <w:tc>
          <w:tcPr>
            <w:tcW w:w="1674" w:type="pct"/>
            <w:vMerge w:val="restart"/>
            <w:vAlign w:val="center"/>
          </w:tcPr>
          <w:p w14:paraId="3EE41DA0" w14:textId="77777777" w:rsidR="000530BC" w:rsidRPr="00AA0BE9" w:rsidRDefault="000530BC" w:rsidP="001678F6">
            <w:pPr>
              <w:spacing w:line="360" w:lineRule="auto"/>
              <w:jc w:val="center"/>
              <w:rPr>
                <w:b/>
                <w:szCs w:val="24"/>
              </w:rPr>
            </w:pPr>
            <w:r w:rsidRPr="00AA0BE9">
              <w:rPr>
                <w:szCs w:val="24"/>
              </w:rPr>
              <w:t>III</w:t>
            </w:r>
          </w:p>
          <w:p w14:paraId="50515B77" w14:textId="77777777" w:rsidR="000530BC" w:rsidRPr="00AA0BE9" w:rsidRDefault="000530BC" w:rsidP="001678F6">
            <w:pPr>
              <w:spacing w:line="360" w:lineRule="auto"/>
              <w:jc w:val="center"/>
              <w:rPr>
                <w:b/>
                <w:szCs w:val="24"/>
              </w:rPr>
            </w:pPr>
            <w:r w:rsidRPr="00AA0BE9">
              <w:rPr>
                <w:szCs w:val="24"/>
              </w:rPr>
              <w:t>50</w:t>
            </w:r>
            <w:r>
              <w:rPr>
                <w:szCs w:val="24"/>
              </w:rPr>
              <w:t xml:space="preserve"> ir mažiau</w:t>
            </w:r>
            <w:r w:rsidRPr="00AA0BE9">
              <w:rPr>
                <w:szCs w:val="24"/>
              </w:rPr>
              <w:t xml:space="preserve"> pareigybių</w:t>
            </w:r>
          </w:p>
        </w:tc>
        <w:tc>
          <w:tcPr>
            <w:tcW w:w="1783" w:type="pct"/>
            <w:vAlign w:val="center"/>
          </w:tcPr>
          <w:p w14:paraId="5C2EC3FD" w14:textId="77777777" w:rsidR="000530BC" w:rsidRPr="00AA0BE9" w:rsidRDefault="000530BC" w:rsidP="001678F6">
            <w:pPr>
              <w:tabs>
                <w:tab w:val="left" w:pos="636"/>
              </w:tabs>
              <w:spacing w:line="360" w:lineRule="auto"/>
              <w:jc w:val="center"/>
              <w:rPr>
                <w:b/>
                <w:szCs w:val="24"/>
              </w:rPr>
            </w:pPr>
            <w:r w:rsidRPr="00AA0BE9">
              <w:rPr>
                <w:szCs w:val="24"/>
              </w:rPr>
              <w:t>iki 5</w:t>
            </w:r>
          </w:p>
        </w:tc>
        <w:tc>
          <w:tcPr>
            <w:tcW w:w="1543" w:type="pct"/>
            <w:vAlign w:val="center"/>
          </w:tcPr>
          <w:p w14:paraId="09219FFF" w14:textId="77777777" w:rsidR="000530BC" w:rsidRPr="00AA0BE9" w:rsidRDefault="000530BC" w:rsidP="00612863">
            <w:pPr>
              <w:tabs>
                <w:tab w:val="center" w:pos="2296"/>
              </w:tabs>
              <w:spacing w:line="360" w:lineRule="auto"/>
              <w:jc w:val="center"/>
              <w:rPr>
                <w:b/>
                <w:szCs w:val="24"/>
              </w:rPr>
            </w:pPr>
            <w:r w:rsidRPr="00AA0BE9">
              <w:rPr>
                <w:szCs w:val="24"/>
              </w:rPr>
              <w:t>4,4–12,0</w:t>
            </w:r>
          </w:p>
        </w:tc>
      </w:tr>
      <w:tr w:rsidR="000530BC" w:rsidRPr="00AA0BE9" w14:paraId="39938435" w14:textId="77777777" w:rsidTr="001678F6">
        <w:trPr>
          <w:trHeight w:val="281"/>
          <w:jc w:val="center"/>
        </w:trPr>
        <w:tc>
          <w:tcPr>
            <w:tcW w:w="1674" w:type="pct"/>
            <w:vMerge/>
            <w:vAlign w:val="center"/>
          </w:tcPr>
          <w:p w14:paraId="2CF7C1F9" w14:textId="77777777" w:rsidR="000530BC" w:rsidRPr="00AA0BE9" w:rsidRDefault="000530BC" w:rsidP="001678F6">
            <w:pPr>
              <w:tabs>
                <w:tab w:val="left" w:pos="996"/>
                <w:tab w:val="center" w:pos="1094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83" w:type="pct"/>
            <w:vAlign w:val="center"/>
          </w:tcPr>
          <w:p w14:paraId="37D92F8B" w14:textId="77777777" w:rsidR="000530BC" w:rsidRPr="00AA0BE9" w:rsidRDefault="000530BC" w:rsidP="001678F6">
            <w:pPr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n</w:t>
            </w:r>
            <w:r w:rsidRPr="00AA0BE9">
              <w:rPr>
                <w:szCs w:val="24"/>
              </w:rPr>
              <w:t>uo</w:t>
            </w:r>
            <w:r>
              <w:rPr>
                <w:szCs w:val="24"/>
              </w:rPr>
              <w:t xml:space="preserve"> daugiau</w:t>
            </w:r>
            <w:r w:rsidRPr="00AA0BE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kaip </w:t>
            </w:r>
            <w:r w:rsidRPr="00AA0BE9">
              <w:rPr>
                <w:szCs w:val="24"/>
              </w:rPr>
              <w:t>5 iki 10</w:t>
            </w:r>
          </w:p>
        </w:tc>
        <w:tc>
          <w:tcPr>
            <w:tcW w:w="1543" w:type="pct"/>
            <w:vAlign w:val="center"/>
          </w:tcPr>
          <w:p w14:paraId="2201C948" w14:textId="77777777" w:rsidR="000530BC" w:rsidRPr="00AA0BE9" w:rsidRDefault="000530BC" w:rsidP="00612863">
            <w:pPr>
              <w:spacing w:line="360" w:lineRule="auto"/>
              <w:jc w:val="center"/>
              <w:rPr>
                <w:b/>
                <w:szCs w:val="24"/>
              </w:rPr>
            </w:pPr>
            <w:r w:rsidRPr="00AA0BE9">
              <w:rPr>
                <w:szCs w:val="24"/>
              </w:rPr>
              <w:t>4,5–12,2</w:t>
            </w:r>
          </w:p>
        </w:tc>
      </w:tr>
      <w:tr w:rsidR="000530BC" w:rsidRPr="00AA0BE9" w14:paraId="5BC88D72" w14:textId="77777777" w:rsidTr="001678F6">
        <w:trPr>
          <w:trHeight w:val="281"/>
          <w:jc w:val="center"/>
        </w:trPr>
        <w:tc>
          <w:tcPr>
            <w:tcW w:w="1674" w:type="pct"/>
            <w:vMerge/>
            <w:vAlign w:val="center"/>
          </w:tcPr>
          <w:p w14:paraId="6B43AFCE" w14:textId="77777777" w:rsidR="000530BC" w:rsidRPr="00AA0BE9" w:rsidRDefault="000530BC" w:rsidP="001678F6">
            <w:pPr>
              <w:tabs>
                <w:tab w:val="left" w:pos="996"/>
                <w:tab w:val="center" w:pos="1094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783" w:type="pct"/>
            <w:vAlign w:val="center"/>
          </w:tcPr>
          <w:p w14:paraId="1EBC67C7" w14:textId="77777777" w:rsidR="000530BC" w:rsidRPr="00AA0BE9" w:rsidRDefault="000530BC" w:rsidP="001678F6">
            <w:pPr>
              <w:spacing w:line="360" w:lineRule="auto"/>
              <w:jc w:val="center"/>
              <w:rPr>
                <w:b/>
                <w:szCs w:val="24"/>
              </w:rPr>
            </w:pPr>
            <w:r w:rsidRPr="00AA0BE9">
              <w:rPr>
                <w:szCs w:val="24"/>
              </w:rPr>
              <w:t>daugiau kaip 10</w:t>
            </w:r>
          </w:p>
        </w:tc>
        <w:tc>
          <w:tcPr>
            <w:tcW w:w="1543" w:type="pct"/>
            <w:vAlign w:val="center"/>
          </w:tcPr>
          <w:p w14:paraId="3CE5ED2C" w14:textId="77777777" w:rsidR="000530BC" w:rsidRPr="00AA0BE9" w:rsidRDefault="000530BC" w:rsidP="00612863">
            <w:pPr>
              <w:spacing w:line="360" w:lineRule="auto"/>
              <w:jc w:val="center"/>
              <w:rPr>
                <w:b/>
                <w:szCs w:val="24"/>
              </w:rPr>
            </w:pPr>
            <w:r w:rsidRPr="00AA0BE9">
              <w:rPr>
                <w:szCs w:val="24"/>
              </w:rPr>
              <w:t>4,6–12,4</w:t>
            </w:r>
            <w:r>
              <w:rPr>
                <w:szCs w:val="24"/>
              </w:rPr>
              <w:t>“</w:t>
            </w:r>
          </w:p>
        </w:tc>
      </w:tr>
    </w:tbl>
    <w:p w14:paraId="37E72DCC" w14:textId="77777777" w:rsidR="000530BC" w:rsidRPr="00AA0BE9" w:rsidRDefault="000530BC" w:rsidP="000530BC">
      <w:pPr>
        <w:tabs>
          <w:tab w:val="left" w:pos="567"/>
          <w:tab w:val="left" w:pos="1832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</w:p>
    <w:p w14:paraId="3AD4CDB7" w14:textId="0052DFC7" w:rsidR="000530BC" w:rsidRPr="00AA0BE9" w:rsidRDefault="000530BC" w:rsidP="000530BC">
      <w:pPr>
        <w:spacing w:line="360" w:lineRule="auto"/>
        <w:ind w:firstLine="720"/>
        <w:jc w:val="both"/>
        <w:rPr>
          <w:bCs/>
          <w:szCs w:val="24"/>
        </w:rPr>
      </w:pPr>
      <w:r>
        <w:rPr>
          <w:rFonts w:eastAsia="Calibri"/>
          <w:szCs w:val="24"/>
        </w:rPr>
        <w:t>3. 2 priedo 1 punktą</w:t>
      </w:r>
      <w:r w:rsidRPr="006905A3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ir </w:t>
      </w:r>
      <w:r w:rsidR="00B70091">
        <w:rPr>
          <w:rFonts w:eastAsia="Calibri"/>
          <w:szCs w:val="24"/>
        </w:rPr>
        <w:t xml:space="preserve">jį </w:t>
      </w:r>
      <w:r>
        <w:rPr>
          <w:rFonts w:eastAsia="Calibri"/>
          <w:szCs w:val="24"/>
        </w:rPr>
        <w:t>išdėstyti taip:</w:t>
      </w:r>
    </w:p>
    <w:p w14:paraId="10E4C0D2" w14:textId="77777777" w:rsidR="000530BC" w:rsidRPr="00AA0BE9" w:rsidRDefault="000530BC" w:rsidP="000530BC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„</w:t>
      </w:r>
      <w:r w:rsidRPr="00AA0BE9">
        <w:rPr>
          <w:szCs w:val="24"/>
        </w:rPr>
        <w:t>1. Mokyklų vadovų pareiginės algos pastoviosios dalies koeficientai: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3"/>
        <w:gridCol w:w="2368"/>
        <w:gridCol w:w="2653"/>
        <w:gridCol w:w="2513"/>
        <w:gridCol w:w="137"/>
      </w:tblGrid>
      <w:tr w:rsidR="000530BC" w14:paraId="3BDF5206" w14:textId="77777777" w:rsidTr="001678F6">
        <w:trPr>
          <w:trHeight w:val="310"/>
          <w:tblHeader/>
        </w:trPr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5FBE0" w14:textId="065F7285" w:rsidR="000530BC" w:rsidRDefault="000530BC" w:rsidP="001678F6">
            <w:pPr>
              <w:ind w:right="240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Mokinių skaičius</w:t>
            </w:r>
          </w:p>
        </w:tc>
        <w:tc>
          <w:tcPr>
            <w:tcW w:w="3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C9411" w14:textId="77777777" w:rsidR="000530BC" w:rsidRDefault="000530BC" w:rsidP="001678F6">
            <w:pPr>
              <w:ind w:right="240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Pastoviosios dalies koeficientai (pareiginės algos baziniais dydžiais)</w:t>
            </w:r>
          </w:p>
        </w:tc>
        <w:tc>
          <w:tcPr>
            <w:tcW w:w="71" w:type="pct"/>
            <w:tcBorders>
              <w:left w:val="single" w:sz="4" w:space="0" w:color="auto"/>
            </w:tcBorders>
            <w:vAlign w:val="center"/>
            <w:hideMark/>
          </w:tcPr>
          <w:p w14:paraId="2AA94C42" w14:textId="77777777" w:rsidR="000530BC" w:rsidRDefault="000530BC" w:rsidP="001678F6">
            <w:pPr>
              <w:rPr>
                <w:szCs w:val="24"/>
                <w:lang w:eastAsia="lt-LT"/>
              </w:rPr>
            </w:pPr>
          </w:p>
        </w:tc>
      </w:tr>
      <w:tr w:rsidR="000530BC" w14:paraId="68184673" w14:textId="77777777" w:rsidTr="001678F6">
        <w:trPr>
          <w:trHeight w:val="310"/>
          <w:tblHeader/>
        </w:trPr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A860D" w14:textId="77777777" w:rsidR="000530BC" w:rsidRDefault="000530BC" w:rsidP="001678F6">
            <w:pPr>
              <w:ind w:right="240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55A59" w14:textId="77777777" w:rsidR="000530BC" w:rsidRDefault="000530BC" w:rsidP="001678F6">
            <w:pPr>
              <w:ind w:right="24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</w:t>
            </w:r>
            <w:r w:rsidRPr="00AA0BE9">
              <w:rPr>
                <w:szCs w:val="24"/>
                <w:lang w:eastAsia="lt-LT"/>
              </w:rPr>
              <w:t>edagoginio darbo stažas (metais)</w:t>
            </w:r>
          </w:p>
        </w:tc>
        <w:tc>
          <w:tcPr>
            <w:tcW w:w="71" w:type="pct"/>
            <w:tcBorders>
              <w:left w:val="single" w:sz="4" w:space="0" w:color="auto"/>
            </w:tcBorders>
            <w:vAlign w:val="center"/>
          </w:tcPr>
          <w:p w14:paraId="7BF7AF98" w14:textId="77777777" w:rsidR="000530BC" w:rsidRDefault="000530BC" w:rsidP="001678F6">
            <w:pPr>
              <w:rPr>
                <w:szCs w:val="24"/>
                <w:lang w:eastAsia="lt-LT"/>
              </w:rPr>
            </w:pPr>
          </w:p>
        </w:tc>
      </w:tr>
      <w:tr w:rsidR="000530BC" w14:paraId="7546F7FD" w14:textId="77777777" w:rsidTr="001678F6">
        <w:trPr>
          <w:trHeight w:val="290"/>
          <w:tblHeader/>
        </w:trPr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A57D" w14:textId="77777777" w:rsidR="000530BC" w:rsidRDefault="000530BC" w:rsidP="001678F6">
            <w:pPr>
              <w:rPr>
                <w:szCs w:val="24"/>
                <w:lang w:eastAsia="lt-LT"/>
              </w:rPr>
            </w:pPr>
          </w:p>
        </w:tc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05B9D" w14:textId="731A82B2" w:rsidR="000530BC" w:rsidRDefault="00612863" w:rsidP="001678F6">
            <w:pPr>
              <w:ind w:right="240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</w:t>
            </w:r>
            <w:r w:rsidR="000530BC">
              <w:rPr>
                <w:color w:val="000000"/>
                <w:szCs w:val="24"/>
                <w:lang w:eastAsia="lt-LT"/>
              </w:rPr>
              <w:t>ki 10 metų</w:t>
            </w:r>
          </w:p>
        </w:tc>
        <w:tc>
          <w:tcPr>
            <w:tcW w:w="1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78081" w14:textId="4CEC58C1" w:rsidR="000530BC" w:rsidRDefault="00612863" w:rsidP="001678F6">
            <w:pPr>
              <w:ind w:right="240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</w:t>
            </w:r>
            <w:r w:rsidR="000530BC">
              <w:rPr>
                <w:color w:val="000000"/>
                <w:szCs w:val="24"/>
                <w:lang w:eastAsia="lt-LT"/>
              </w:rPr>
              <w:t>uo daugiau kaip 10 iki 15 metų</w:t>
            </w:r>
          </w:p>
        </w:tc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9D956" w14:textId="3A07CA14" w:rsidR="000530BC" w:rsidRDefault="00612863" w:rsidP="001678F6">
            <w:pPr>
              <w:ind w:right="240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d</w:t>
            </w:r>
            <w:r w:rsidR="000530BC">
              <w:rPr>
                <w:color w:val="000000"/>
                <w:szCs w:val="24"/>
                <w:lang w:eastAsia="lt-LT"/>
              </w:rPr>
              <w:t>augiau kaip 15 metų</w:t>
            </w:r>
          </w:p>
        </w:tc>
        <w:tc>
          <w:tcPr>
            <w:tcW w:w="71" w:type="pct"/>
            <w:tcBorders>
              <w:left w:val="single" w:sz="4" w:space="0" w:color="auto"/>
            </w:tcBorders>
            <w:vAlign w:val="center"/>
            <w:hideMark/>
          </w:tcPr>
          <w:p w14:paraId="2B33977A" w14:textId="77777777" w:rsidR="000530BC" w:rsidRDefault="000530BC" w:rsidP="001678F6">
            <w:pPr>
              <w:rPr>
                <w:szCs w:val="24"/>
                <w:lang w:eastAsia="lt-LT"/>
              </w:rPr>
            </w:pPr>
          </w:p>
        </w:tc>
      </w:tr>
      <w:tr w:rsidR="000530BC" w14:paraId="59C91DF6" w14:textId="77777777" w:rsidTr="001678F6">
        <w:trPr>
          <w:trHeight w:val="405"/>
          <w:tblHeader/>
        </w:trPr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887E" w14:textId="77777777" w:rsidR="000530BC" w:rsidRDefault="000530BC" w:rsidP="001678F6">
            <w:pPr>
              <w:rPr>
                <w:szCs w:val="24"/>
                <w:lang w:eastAsia="lt-LT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0CAF" w14:textId="77777777" w:rsidR="000530BC" w:rsidRDefault="000530BC" w:rsidP="001678F6">
            <w:pPr>
              <w:rPr>
                <w:szCs w:val="24"/>
                <w:lang w:eastAsia="lt-LT"/>
              </w:rPr>
            </w:pPr>
          </w:p>
        </w:tc>
        <w:tc>
          <w:tcPr>
            <w:tcW w:w="1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7748" w14:textId="77777777" w:rsidR="000530BC" w:rsidRDefault="000530BC" w:rsidP="001678F6">
            <w:pPr>
              <w:rPr>
                <w:szCs w:val="24"/>
                <w:lang w:eastAsia="lt-LT"/>
              </w:rPr>
            </w:pPr>
          </w:p>
        </w:tc>
        <w:tc>
          <w:tcPr>
            <w:tcW w:w="1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D99A" w14:textId="77777777" w:rsidR="000530BC" w:rsidRDefault="000530BC" w:rsidP="001678F6">
            <w:pPr>
              <w:rPr>
                <w:szCs w:val="24"/>
                <w:lang w:eastAsia="lt-LT"/>
              </w:rPr>
            </w:pPr>
          </w:p>
        </w:tc>
        <w:tc>
          <w:tcPr>
            <w:tcW w:w="71" w:type="pct"/>
            <w:tcBorders>
              <w:left w:val="single" w:sz="4" w:space="0" w:color="auto"/>
            </w:tcBorders>
            <w:vAlign w:val="center"/>
            <w:hideMark/>
          </w:tcPr>
          <w:p w14:paraId="0C98B7A0" w14:textId="77777777" w:rsidR="000530BC" w:rsidRDefault="000530BC" w:rsidP="001678F6">
            <w:pPr>
              <w:rPr>
                <w:szCs w:val="24"/>
                <w:lang w:eastAsia="lt-LT"/>
              </w:rPr>
            </w:pPr>
          </w:p>
        </w:tc>
      </w:tr>
      <w:tr w:rsidR="000530BC" w14:paraId="48815D48" w14:textId="77777777" w:rsidTr="001678F6">
        <w:trPr>
          <w:trHeight w:val="29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8F3FFC" w14:textId="77777777" w:rsidR="000530BC" w:rsidRDefault="000530BC" w:rsidP="00612863">
            <w:pPr>
              <w:ind w:right="240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iki 200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96634F" w14:textId="77777777" w:rsidR="000530BC" w:rsidRDefault="000530BC" w:rsidP="00612863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7,6–</w:t>
            </w:r>
            <w:r>
              <w:rPr>
                <w:bCs/>
                <w:color w:val="000000"/>
                <w:szCs w:val="24"/>
                <w:lang w:eastAsia="lt-LT"/>
              </w:rPr>
              <w:t>10,71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6CD9D1" w14:textId="77777777" w:rsidR="000530BC" w:rsidRDefault="000530BC" w:rsidP="001678F6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7,8–11,1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ECF42C" w14:textId="77777777" w:rsidR="000530BC" w:rsidRDefault="000530BC" w:rsidP="001678F6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8–</w:t>
            </w:r>
            <w:r>
              <w:rPr>
                <w:bCs/>
                <w:color w:val="000000"/>
                <w:szCs w:val="24"/>
                <w:lang w:eastAsia="lt-LT"/>
              </w:rPr>
              <w:t>11,37</w:t>
            </w:r>
          </w:p>
        </w:tc>
        <w:tc>
          <w:tcPr>
            <w:tcW w:w="71" w:type="pct"/>
            <w:tcBorders>
              <w:left w:val="single" w:sz="4" w:space="0" w:color="auto"/>
            </w:tcBorders>
            <w:vAlign w:val="center"/>
            <w:hideMark/>
          </w:tcPr>
          <w:p w14:paraId="4060469A" w14:textId="77777777" w:rsidR="000530BC" w:rsidRDefault="000530BC" w:rsidP="001678F6">
            <w:pPr>
              <w:rPr>
                <w:szCs w:val="24"/>
                <w:lang w:eastAsia="lt-LT"/>
              </w:rPr>
            </w:pPr>
          </w:p>
        </w:tc>
      </w:tr>
      <w:tr w:rsidR="000530BC" w14:paraId="541451F6" w14:textId="77777777" w:rsidTr="001678F6">
        <w:trPr>
          <w:trHeight w:val="29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E47D1B" w14:textId="77777777" w:rsidR="000530BC" w:rsidRDefault="000530BC" w:rsidP="00612863">
            <w:pPr>
              <w:ind w:right="240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201–400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A04881" w14:textId="77777777" w:rsidR="000530BC" w:rsidRDefault="000530BC" w:rsidP="00612863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8,4–11,7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0A5295" w14:textId="77777777" w:rsidR="000530BC" w:rsidRDefault="000530BC" w:rsidP="001678F6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8,6–</w:t>
            </w:r>
            <w:r>
              <w:rPr>
                <w:bCs/>
                <w:color w:val="000000"/>
                <w:szCs w:val="24"/>
                <w:lang w:eastAsia="lt-LT"/>
              </w:rPr>
              <w:t>11,8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0EF02E" w14:textId="77777777" w:rsidR="000530BC" w:rsidRDefault="000530BC" w:rsidP="001678F6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8,8–</w:t>
            </w:r>
            <w:r>
              <w:rPr>
                <w:bCs/>
                <w:color w:val="000000"/>
                <w:szCs w:val="24"/>
                <w:lang w:eastAsia="lt-LT"/>
              </w:rPr>
              <w:t>11,81</w:t>
            </w:r>
          </w:p>
        </w:tc>
        <w:tc>
          <w:tcPr>
            <w:tcW w:w="71" w:type="pct"/>
            <w:tcBorders>
              <w:left w:val="single" w:sz="4" w:space="0" w:color="auto"/>
            </w:tcBorders>
            <w:vAlign w:val="center"/>
            <w:hideMark/>
          </w:tcPr>
          <w:p w14:paraId="1020C438" w14:textId="77777777" w:rsidR="000530BC" w:rsidRDefault="000530BC" w:rsidP="001678F6">
            <w:pPr>
              <w:rPr>
                <w:szCs w:val="24"/>
                <w:lang w:eastAsia="lt-LT"/>
              </w:rPr>
            </w:pPr>
          </w:p>
        </w:tc>
      </w:tr>
      <w:tr w:rsidR="000530BC" w14:paraId="08289C6C" w14:textId="77777777" w:rsidTr="001678F6">
        <w:trPr>
          <w:trHeight w:val="31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993E5C" w14:textId="77777777" w:rsidR="000530BC" w:rsidRDefault="000530BC" w:rsidP="00612863">
            <w:pPr>
              <w:ind w:right="240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401–600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FA09CA" w14:textId="77777777" w:rsidR="000530BC" w:rsidRDefault="000530BC" w:rsidP="00612863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9–</w:t>
            </w:r>
            <w:r>
              <w:rPr>
                <w:bCs/>
                <w:color w:val="000000"/>
                <w:szCs w:val="24"/>
                <w:lang w:eastAsia="lt-LT"/>
              </w:rPr>
              <w:t>11,74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567754" w14:textId="77777777" w:rsidR="000530BC" w:rsidRDefault="000530BC" w:rsidP="001678F6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9,2–</w:t>
            </w:r>
            <w:r>
              <w:rPr>
                <w:bCs/>
                <w:color w:val="000000"/>
                <w:szCs w:val="24"/>
                <w:lang w:eastAsia="lt-LT"/>
              </w:rPr>
              <w:t>11,8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2CAF67" w14:textId="77777777" w:rsidR="000530BC" w:rsidRDefault="000530BC" w:rsidP="001678F6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9,4–</w:t>
            </w:r>
            <w:r>
              <w:rPr>
                <w:bCs/>
                <w:color w:val="000000"/>
                <w:szCs w:val="24"/>
                <w:lang w:eastAsia="lt-LT"/>
              </w:rPr>
              <w:t>11,81</w:t>
            </w:r>
          </w:p>
        </w:tc>
        <w:tc>
          <w:tcPr>
            <w:tcW w:w="71" w:type="pct"/>
            <w:tcBorders>
              <w:left w:val="single" w:sz="4" w:space="0" w:color="auto"/>
            </w:tcBorders>
            <w:vAlign w:val="center"/>
            <w:hideMark/>
          </w:tcPr>
          <w:p w14:paraId="2751CCC0" w14:textId="77777777" w:rsidR="000530BC" w:rsidRDefault="000530BC" w:rsidP="001678F6">
            <w:pPr>
              <w:rPr>
                <w:szCs w:val="24"/>
                <w:lang w:eastAsia="lt-LT"/>
              </w:rPr>
            </w:pPr>
          </w:p>
        </w:tc>
      </w:tr>
      <w:tr w:rsidR="000530BC" w14:paraId="57F2C9BD" w14:textId="77777777" w:rsidTr="001678F6">
        <w:trPr>
          <w:trHeight w:val="31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059754" w14:textId="77777777" w:rsidR="000530BC" w:rsidRDefault="000530BC" w:rsidP="00612863">
            <w:pPr>
              <w:ind w:right="240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601–1000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8B3EEC" w14:textId="77777777" w:rsidR="000530BC" w:rsidRDefault="000530BC" w:rsidP="00612863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9,6–</w:t>
            </w:r>
            <w:r>
              <w:rPr>
                <w:bCs/>
                <w:color w:val="000000"/>
                <w:szCs w:val="24"/>
                <w:lang w:eastAsia="lt-LT"/>
              </w:rPr>
              <w:t>12,6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F98933" w14:textId="77777777" w:rsidR="000530BC" w:rsidRDefault="000530BC" w:rsidP="001678F6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9,8–</w:t>
            </w:r>
            <w:r>
              <w:rPr>
                <w:bCs/>
                <w:color w:val="000000"/>
                <w:szCs w:val="24"/>
                <w:lang w:eastAsia="lt-LT"/>
              </w:rPr>
              <w:t>12,62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113C79" w14:textId="77777777" w:rsidR="000530BC" w:rsidRDefault="000530BC" w:rsidP="001678F6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10–</w:t>
            </w:r>
            <w:r>
              <w:rPr>
                <w:bCs/>
                <w:color w:val="000000"/>
                <w:szCs w:val="24"/>
                <w:lang w:eastAsia="lt-LT"/>
              </w:rPr>
              <w:t>12,65</w:t>
            </w:r>
          </w:p>
        </w:tc>
        <w:tc>
          <w:tcPr>
            <w:tcW w:w="71" w:type="pct"/>
            <w:tcBorders>
              <w:left w:val="single" w:sz="4" w:space="0" w:color="auto"/>
            </w:tcBorders>
            <w:vAlign w:val="center"/>
            <w:hideMark/>
          </w:tcPr>
          <w:p w14:paraId="0649CAB9" w14:textId="77777777" w:rsidR="000530BC" w:rsidRDefault="000530BC" w:rsidP="001678F6">
            <w:pPr>
              <w:rPr>
                <w:szCs w:val="24"/>
                <w:lang w:eastAsia="lt-LT"/>
              </w:rPr>
            </w:pPr>
          </w:p>
        </w:tc>
      </w:tr>
      <w:tr w:rsidR="000530BC" w14:paraId="240BBD17" w14:textId="77777777" w:rsidTr="001678F6">
        <w:trPr>
          <w:trHeight w:val="31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3229C9" w14:textId="77777777" w:rsidR="000530BC" w:rsidRDefault="000530BC" w:rsidP="00612863">
            <w:pPr>
              <w:ind w:right="240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1001 ir daugiau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79BA7E" w14:textId="77777777" w:rsidR="000530BC" w:rsidRDefault="000530BC" w:rsidP="00612863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10,2–</w:t>
            </w:r>
            <w:r>
              <w:rPr>
                <w:bCs/>
                <w:color w:val="000000"/>
                <w:szCs w:val="24"/>
                <w:lang w:eastAsia="lt-LT"/>
              </w:rPr>
              <w:t>12,6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F44FA2" w14:textId="77777777" w:rsidR="000530BC" w:rsidRDefault="000530BC" w:rsidP="001678F6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10,4–</w:t>
            </w:r>
            <w:r>
              <w:rPr>
                <w:bCs/>
                <w:color w:val="000000"/>
                <w:szCs w:val="24"/>
                <w:lang w:eastAsia="lt-LT"/>
              </w:rPr>
              <w:t>12,62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9FEE36" w14:textId="77777777" w:rsidR="000530BC" w:rsidRDefault="000530BC" w:rsidP="001678F6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10,6–</w:t>
            </w:r>
            <w:r>
              <w:rPr>
                <w:bCs/>
                <w:color w:val="000000"/>
                <w:szCs w:val="24"/>
                <w:lang w:eastAsia="lt-LT"/>
              </w:rPr>
              <w:t>12,65“</w:t>
            </w:r>
          </w:p>
        </w:tc>
        <w:tc>
          <w:tcPr>
            <w:tcW w:w="71" w:type="pct"/>
            <w:tcBorders>
              <w:left w:val="single" w:sz="4" w:space="0" w:color="auto"/>
            </w:tcBorders>
            <w:vAlign w:val="center"/>
            <w:hideMark/>
          </w:tcPr>
          <w:p w14:paraId="58829144" w14:textId="77777777" w:rsidR="000530BC" w:rsidRDefault="000530BC" w:rsidP="001678F6">
            <w:pPr>
              <w:rPr>
                <w:szCs w:val="24"/>
                <w:lang w:eastAsia="lt-LT"/>
              </w:rPr>
            </w:pPr>
          </w:p>
        </w:tc>
      </w:tr>
    </w:tbl>
    <w:p w14:paraId="7161D798" w14:textId="77777777" w:rsidR="000530BC" w:rsidRPr="00AA0BE9" w:rsidRDefault="000530BC" w:rsidP="000530BC">
      <w:pPr>
        <w:widowControl w:val="0"/>
        <w:suppressAutoHyphens/>
        <w:ind w:right="-2"/>
        <w:jc w:val="both"/>
        <w:textAlignment w:val="baseline"/>
        <w:rPr>
          <w:szCs w:val="24"/>
          <w:lang w:eastAsia="lt-LT"/>
        </w:rPr>
      </w:pPr>
    </w:p>
    <w:p w14:paraId="5198E3EB" w14:textId="090C60AE" w:rsidR="000530BC" w:rsidRPr="00AA0BE9" w:rsidRDefault="000530BC" w:rsidP="000530BC">
      <w:pPr>
        <w:widowControl w:val="0"/>
        <w:suppressAutoHyphens/>
        <w:spacing w:line="360" w:lineRule="auto"/>
        <w:ind w:firstLine="72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4. Šio sprendimo 3 punktas įsigalioja 2019 m. rugsėjo 1 d.</w:t>
      </w:r>
    </w:p>
    <w:p w14:paraId="716C9864" w14:textId="77777777" w:rsidR="000530BC" w:rsidRDefault="000530BC" w:rsidP="000530BC">
      <w:pPr>
        <w:tabs>
          <w:tab w:val="left" w:pos="8165"/>
        </w:tabs>
        <w:jc w:val="both"/>
        <w:rPr>
          <w:szCs w:val="24"/>
        </w:rPr>
      </w:pPr>
    </w:p>
    <w:p w14:paraId="6E1F355A" w14:textId="77777777" w:rsidR="000530BC" w:rsidRDefault="000530BC" w:rsidP="000530BC">
      <w:pPr>
        <w:tabs>
          <w:tab w:val="left" w:pos="8165"/>
        </w:tabs>
        <w:jc w:val="both"/>
        <w:rPr>
          <w:szCs w:val="24"/>
        </w:rPr>
      </w:pPr>
    </w:p>
    <w:p w14:paraId="3E4EB5CE" w14:textId="77777777" w:rsidR="000530BC" w:rsidRPr="00A562AA" w:rsidRDefault="000530BC" w:rsidP="000530BC">
      <w:pPr>
        <w:tabs>
          <w:tab w:val="left" w:pos="8165"/>
        </w:tabs>
        <w:jc w:val="both"/>
        <w:rPr>
          <w:szCs w:val="24"/>
        </w:rPr>
      </w:pPr>
    </w:p>
    <w:p w14:paraId="243C1591" w14:textId="7379C4BB" w:rsidR="0062551B" w:rsidRDefault="000530BC" w:rsidP="002D0B3C">
      <w:pPr>
        <w:jc w:val="both"/>
        <w:rPr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="00612863">
        <w:rPr>
          <w:rFonts w:eastAsia="Calibri"/>
          <w:szCs w:val="24"/>
        </w:rPr>
        <w:t xml:space="preserve">   </w:t>
      </w:r>
      <w:r>
        <w:rPr>
          <w:rFonts w:eastAsia="Calibri"/>
          <w:szCs w:val="24"/>
        </w:rPr>
        <w:t>Rytis Mykolas Račkauskas</w:t>
      </w:r>
    </w:p>
    <w:sectPr w:rsidR="0062551B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23843" w14:textId="77777777" w:rsidR="00312A5C" w:rsidRDefault="00312A5C">
      <w:r>
        <w:separator/>
      </w:r>
    </w:p>
  </w:endnote>
  <w:endnote w:type="continuationSeparator" w:id="0">
    <w:p w14:paraId="6FD16443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D813C" w14:textId="77777777" w:rsidR="0062551B" w:rsidRDefault="0062551B" w:rsidP="00BE4566">
    <w:pPr>
      <w:tabs>
        <w:tab w:val="left" w:pos="8445"/>
      </w:tabs>
    </w:pPr>
    <w:r>
      <w:tab/>
    </w:r>
  </w:p>
  <w:p w14:paraId="65E382BB" w14:textId="77777777" w:rsidR="0062551B" w:rsidRDefault="0062551B"/>
  <w:p w14:paraId="641B390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F73BE" w14:textId="77777777" w:rsidR="0062551B" w:rsidRDefault="0062551B" w:rsidP="00DD20B8">
    <w:pPr>
      <w:pStyle w:val="Porat"/>
    </w:pPr>
  </w:p>
  <w:p w14:paraId="5C581105" w14:textId="77777777" w:rsidR="0062551B" w:rsidRDefault="0062551B" w:rsidP="00DD20B8">
    <w:pPr>
      <w:pStyle w:val="Porat"/>
    </w:pPr>
  </w:p>
  <w:p w14:paraId="3991D438" w14:textId="77777777" w:rsidR="0062551B" w:rsidRDefault="0062551B" w:rsidP="00DD20B8">
    <w:pPr>
      <w:pStyle w:val="Porat"/>
    </w:pPr>
  </w:p>
  <w:p w14:paraId="2A87354C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ED242" w14:textId="77777777" w:rsidR="00312A5C" w:rsidRDefault="00312A5C">
      <w:r>
        <w:separator/>
      </w:r>
    </w:p>
  </w:footnote>
  <w:footnote w:type="continuationSeparator" w:id="0">
    <w:p w14:paraId="3F1397E9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B4372" w14:textId="77777777" w:rsidR="0062551B" w:rsidRDefault="0062551B">
    <w:pPr>
      <w:pStyle w:val="Antrats"/>
      <w:jc w:val="center"/>
    </w:pPr>
  </w:p>
  <w:p w14:paraId="2E576773" w14:textId="77777777" w:rsidR="0062551B" w:rsidRDefault="0062551B">
    <w:pPr>
      <w:pStyle w:val="Antrats"/>
      <w:jc w:val="center"/>
    </w:pPr>
  </w:p>
  <w:p w14:paraId="6A2863F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7F7C">
      <w:rPr>
        <w:noProof/>
      </w:rPr>
      <w:t>2</w:t>
    </w:r>
    <w:r>
      <w:rPr>
        <w:noProof/>
      </w:rPr>
      <w:fldChar w:fldCharType="end"/>
    </w:r>
  </w:p>
  <w:p w14:paraId="2A90F079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530BC"/>
    <w:rsid w:val="00060C80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20BF3"/>
    <w:rsid w:val="00227383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440A"/>
    <w:rsid w:val="00325CF1"/>
    <w:rsid w:val="00337555"/>
    <w:rsid w:val="003474D4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77F7C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63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70091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0E9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CCFEF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392</Words>
  <Characters>2273</Characters>
  <Application>Microsoft Office Word</Application>
  <DocSecurity>4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2019-07-03T09:58:00Z</cp:lastPrinted>
  <dcterms:created xsi:type="dcterms:W3CDTF">2019-07-11T09:59:00Z</dcterms:created>
  <dcterms:modified xsi:type="dcterms:W3CDTF">2019-07-11T09:59:00Z</dcterms:modified>
</cp:coreProperties>
</file>