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D0817" w14:textId="77777777" w:rsidR="008D3CE1" w:rsidRDefault="008D3CE1" w:rsidP="008D3CE1">
      <w:pPr>
        <w:jc w:val="both"/>
        <w:rPr>
          <w:sz w:val="24"/>
        </w:rPr>
      </w:pPr>
      <w:bookmarkStart w:id="0" w:name="_GoBack"/>
      <w:bookmarkEnd w:id="0"/>
    </w:p>
    <w:p w14:paraId="42ED0818" w14:textId="77777777" w:rsidR="008D3CE1" w:rsidRPr="00577078" w:rsidRDefault="008D3CE1" w:rsidP="008D3CE1">
      <w:pPr>
        <w:jc w:val="center"/>
        <w:rPr>
          <w:sz w:val="24"/>
          <w:szCs w:val="24"/>
        </w:rPr>
      </w:pPr>
      <w:r w:rsidRPr="00577078">
        <w:rPr>
          <w:b/>
          <w:sz w:val="24"/>
          <w:szCs w:val="24"/>
        </w:rPr>
        <w:t>AIŠKINAMASIS RAŠTAS</w:t>
      </w:r>
    </w:p>
    <w:p w14:paraId="42ED0819" w14:textId="77777777" w:rsidR="008D3CE1" w:rsidRPr="00577078" w:rsidRDefault="008D3CE1" w:rsidP="008D3CE1">
      <w:pPr>
        <w:jc w:val="center"/>
        <w:rPr>
          <w:sz w:val="24"/>
          <w:szCs w:val="24"/>
        </w:rPr>
      </w:pPr>
    </w:p>
    <w:p w14:paraId="42ED081A" w14:textId="77777777" w:rsidR="004C121D" w:rsidRPr="004C121D" w:rsidRDefault="00C50D3C" w:rsidP="004C121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</w:rPr>
        <w:t>DĖL</w:t>
      </w:r>
      <w:r w:rsidRPr="00D265EA">
        <w:rPr>
          <w:b/>
          <w:sz w:val="24"/>
        </w:rPr>
        <w:t xml:space="preserve"> </w:t>
      </w:r>
      <w:r w:rsidR="004C121D" w:rsidRPr="004C121D">
        <w:rPr>
          <w:b/>
          <w:sz w:val="24"/>
          <w:szCs w:val="24"/>
        </w:rPr>
        <w:t xml:space="preserve">UAB „AUKŠTAITIJOS VANDENYS“ GERIAMOJO VANDENS TIEKIMO </w:t>
      </w:r>
    </w:p>
    <w:p w14:paraId="42ED081B" w14:textId="77777777" w:rsidR="004C121D" w:rsidRPr="004C121D" w:rsidRDefault="004C121D" w:rsidP="004C121D">
      <w:pPr>
        <w:ind w:firstLine="720"/>
        <w:jc w:val="center"/>
        <w:rPr>
          <w:sz w:val="24"/>
          <w:szCs w:val="24"/>
        </w:rPr>
      </w:pPr>
      <w:r w:rsidRPr="004C121D">
        <w:rPr>
          <w:b/>
          <w:sz w:val="24"/>
          <w:szCs w:val="24"/>
        </w:rPr>
        <w:t>IR NUOTEKŲ TVARKYMO PASLAUGŲ BAZINIŲ KAINŲ NUSTATYMO IR SAVIVALDYBĖS TARYBOS 2015 M. BIRŽELIO 25 D. SPRENDIMO NR. 1-132 (SU PAKEITIMU) IR 2017 M. LAPKRIČIO 23 D. SPRENDIMO NR. 1-350 PRIPAŽINIMO NETEKUSIAIS GALIOS</w:t>
      </w:r>
    </w:p>
    <w:p w14:paraId="42ED081C" w14:textId="77777777" w:rsidR="004C121D" w:rsidRDefault="004C121D" w:rsidP="004C121D">
      <w:pPr>
        <w:jc w:val="center"/>
      </w:pPr>
    </w:p>
    <w:p w14:paraId="42ED081D" w14:textId="77777777" w:rsidR="008D3CE1" w:rsidRPr="00577078" w:rsidRDefault="008D3CE1" w:rsidP="008D3CE1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4C121D">
        <w:rPr>
          <w:sz w:val="24"/>
          <w:szCs w:val="24"/>
        </w:rPr>
        <w:t>9</w:t>
      </w:r>
      <w:r w:rsidRPr="00577078">
        <w:rPr>
          <w:sz w:val="24"/>
          <w:szCs w:val="24"/>
        </w:rPr>
        <w:t xml:space="preserve"> m</w:t>
      </w:r>
      <w:r w:rsidR="00AD3DB0">
        <w:rPr>
          <w:sz w:val="24"/>
          <w:szCs w:val="24"/>
        </w:rPr>
        <w:t>.</w:t>
      </w:r>
      <w:r w:rsidRPr="00577078">
        <w:rPr>
          <w:sz w:val="24"/>
          <w:szCs w:val="24"/>
        </w:rPr>
        <w:t xml:space="preserve"> </w:t>
      </w:r>
      <w:r w:rsidR="0016798F">
        <w:rPr>
          <w:sz w:val="24"/>
          <w:szCs w:val="24"/>
        </w:rPr>
        <w:t>b</w:t>
      </w:r>
      <w:r w:rsidR="004C121D">
        <w:rPr>
          <w:sz w:val="24"/>
          <w:szCs w:val="24"/>
        </w:rPr>
        <w:t>alandž</w:t>
      </w:r>
      <w:r w:rsidR="0016798F">
        <w:rPr>
          <w:sz w:val="24"/>
          <w:szCs w:val="24"/>
        </w:rPr>
        <w:t>io</w:t>
      </w:r>
      <w:r w:rsidR="00746FB2">
        <w:rPr>
          <w:sz w:val="24"/>
          <w:szCs w:val="24"/>
        </w:rPr>
        <w:t xml:space="preserve"> </w:t>
      </w:r>
      <w:r w:rsidR="004C121D">
        <w:rPr>
          <w:sz w:val="24"/>
          <w:szCs w:val="24"/>
        </w:rPr>
        <w:t>2</w:t>
      </w:r>
      <w:r w:rsidR="000C581A">
        <w:rPr>
          <w:sz w:val="24"/>
          <w:szCs w:val="24"/>
        </w:rPr>
        <w:t xml:space="preserve"> </w:t>
      </w:r>
      <w:r w:rsidRPr="00577078">
        <w:rPr>
          <w:sz w:val="24"/>
          <w:szCs w:val="24"/>
        </w:rPr>
        <w:t>d.</w:t>
      </w:r>
    </w:p>
    <w:p w14:paraId="42ED081E" w14:textId="77777777" w:rsidR="008D3CE1" w:rsidRPr="00577078" w:rsidRDefault="008D3CE1" w:rsidP="008D3CE1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42ED081F" w14:textId="77777777" w:rsidR="008D3CE1" w:rsidRPr="00577078" w:rsidRDefault="008D3CE1" w:rsidP="008D3CE1">
      <w:pPr>
        <w:rPr>
          <w:sz w:val="24"/>
          <w:szCs w:val="24"/>
        </w:rPr>
      </w:pPr>
    </w:p>
    <w:p w14:paraId="42ED0820" w14:textId="77777777" w:rsidR="008D3CE1" w:rsidRPr="00577078" w:rsidRDefault="003C2B17" w:rsidP="00BC050C">
      <w:pPr>
        <w:ind w:firstLine="72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1.</w:t>
      </w:r>
      <w:r w:rsidR="008D3CE1" w:rsidRPr="00577078">
        <w:rPr>
          <w:b/>
          <w:sz w:val="24"/>
          <w:szCs w:val="24"/>
          <w:lang w:val="sv-SE"/>
        </w:rPr>
        <w:t xml:space="preserve">Problemos esmė: </w:t>
      </w:r>
      <w:r w:rsidR="008D3CE1">
        <w:rPr>
          <w:b/>
          <w:sz w:val="24"/>
          <w:szCs w:val="24"/>
          <w:lang w:val="sv-SE"/>
        </w:rPr>
        <w:t xml:space="preserve">              </w:t>
      </w:r>
    </w:p>
    <w:p w14:paraId="42ED0821" w14:textId="77777777" w:rsidR="008D3CE1" w:rsidRPr="00577078" w:rsidRDefault="008D3CE1" w:rsidP="00BC050C">
      <w:pPr>
        <w:ind w:firstLine="72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 xml:space="preserve"> </w:t>
      </w:r>
      <w:r w:rsidR="00B42BE5">
        <w:rPr>
          <w:sz w:val="24"/>
          <w:szCs w:val="24"/>
          <w:lang w:val="sv-SE"/>
        </w:rPr>
        <w:t>201</w:t>
      </w:r>
      <w:r w:rsidR="004C121D">
        <w:rPr>
          <w:sz w:val="24"/>
          <w:szCs w:val="24"/>
          <w:lang w:val="sv-SE"/>
        </w:rPr>
        <w:t>9</w:t>
      </w:r>
      <w:r w:rsidR="00B42BE5">
        <w:rPr>
          <w:sz w:val="24"/>
          <w:szCs w:val="24"/>
          <w:lang w:val="sv-SE"/>
        </w:rPr>
        <w:t>-0</w:t>
      </w:r>
      <w:r w:rsidR="004C121D">
        <w:rPr>
          <w:sz w:val="24"/>
          <w:szCs w:val="24"/>
          <w:lang w:val="sv-SE"/>
        </w:rPr>
        <w:t>4</w:t>
      </w:r>
      <w:r w:rsidR="00B42BE5">
        <w:rPr>
          <w:sz w:val="24"/>
          <w:szCs w:val="24"/>
          <w:lang w:val="sv-SE"/>
        </w:rPr>
        <w:t>-</w:t>
      </w:r>
      <w:r w:rsidR="0016798F">
        <w:rPr>
          <w:sz w:val="24"/>
          <w:szCs w:val="24"/>
          <w:lang w:val="sv-SE"/>
        </w:rPr>
        <w:t>0</w:t>
      </w:r>
      <w:r w:rsidR="004C121D">
        <w:rPr>
          <w:sz w:val="24"/>
          <w:szCs w:val="24"/>
          <w:lang w:val="sv-SE"/>
        </w:rPr>
        <w:t>1</w:t>
      </w:r>
      <w:r w:rsidR="00B42BE5">
        <w:rPr>
          <w:sz w:val="24"/>
          <w:szCs w:val="24"/>
          <w:lang w:val="sv-SE"/>
        </w:rPr>
        <w:t xml:space="preserve"> gautas UAB „Aukštaitijos vandenys“</w:t>
      </w:r>
      <w:r w:rsidR="00605736">
        <w:rPr>
          <w:sz w:val="24"/>
          <w:szCs w:val="24"/>
          <w:lang w:val="sv-SE"/>
        </w:rPr>
        <w:t xml:space="preserve"> raštas „Dėl  UAB </w:t>
      </w:r>
      <w:r w:rsidR="004A6176">
        <w:rPr>
          <w:sz w:val="24"/>
          <w:szCs w:val="24"/>
          <w:lang w:val="sv-SE"/>
        </w:rPr>
        <w:t>„</w:t>
      </w:r>
      <w:r w:rsidR="00605736">
        <w:rPr>
          <w:sz w:val="24"/>
          <w:szCs w:val="24"/>
          <w:lang w:val="sv-SE"/>
        </w:rPr>
        <w:t xml:space="preserve">Aukštaitijos vandenys“ geriamojo vandens tiekimo ir nuotekų tvarkymo paslaugų </w:t>
      </w:r>
      <w:r w:rsidR="0016798F">
        <w:rPr>
          <w:sz w:val="24"/>
          <w:szCs w:val="24"/>
          <w:lang w:val="sv-SE"/>
        </w:rPr>
        <w:t xml:space="preserve">bazinių </w:t>
      </w:r>
      <w:r w:rsidR="00605736">
        <w:rPr>
          <w:sz w:val="24"/>
          <w:szCs w:val="24"/>
          <w:lang w:val="sv-SE"/>
        </w:rPr>
        <w:t xml:space="preserve">kainų </w:t>
      </w:r>
      <w:r w:rsidR="0016798F">
        <w:rPr>
          <w:sz w:val="24"/>
          <w:szCs w:val="24"/>
          <w:lang w:val="sv-SE"/>
        </w:rPr>
        <w:t>nustaty</w:t>
      </w:r>
      <w:r w:rsidR="00605736">
        <w:rPr>
          <w:sz w:val="24"/>
          <w:szCs w:val="24"/>
          <w:lang w:val="sv-SE"/>
        </w:rPr>
        <w:t>mo“</w:t>
      </w:r>
      <w:r w:rsidR="00FA4856">
        <w:rPr>
          <w:sz w:val="24"/>
          <w:szCs w:val="24"/>
          <w:lang w:val="sv-SE"/>
        </w:rPr>
        <w:t>.</w:t>
      </w:r>
      <w:r w:rsidR="008E06E6">
        <w:rPr>
          <w:sz w:val="24"/>
          <w:szCs w:val="24"/>
          <w:lang w:val="sv-SE"/>
        </w:rPr>
        <w:t xml:space="preserve"> Prie rašto pridėti </w:t>
      </w:r>
      <w:r w:rsidR="00BF22B5">
        <w:rPr>
          <w:sz w:val="24"/>
          <w:szCs w:val="24"/>
          <w:lang w:val="sv-SE"/>
        </w:rPr>
        <w:t>V</w:t>
      </w:r>
      <w:r w:rsidR="008E06E6">
        <w:rPr>
          <w:sz w:val="24"/>
          <w:szCs w:val="24"/>
          <w:lang w:val="sv-SE"/>
        </w:rPr>
        <w:t>alstybinės kainų ir energetikos kontrolės komisijos</w:t>
      </w:r>
      <w:r w:rsidR="00BF22B5">
        <w:rPr>
          <w:sz w:val="24"/>
          <w:szCs w:val="24"/>
          <w:lang w:val="sv-SE"/>
        </w:rPr>
        <w:t xml:space="preserve"> (toliau – VKEKK) Šilumos ir vandens departamento vandens skyriaus </w:t>
      </w:r>
      <w:r w:rsidR="008E06E6">
        <w:rPr>
          <w:sz w:val="24"/>
          <w:szCs w:val="24"/>
          <w:lang w:val="sv-SE"/>
        </w:rPr>
        <w:t xml:space="preserve"> 201</w:t>
      </w:r>
      <w:r w:rsidR="004C121D">
        <w:rPr>
          <w:sz w:val="24"/>
          <w:szCs w:val="24"/>
          <w:lang w:val="sv-SE"/>
        </w:rPr>
        <w:t>9</w:t>
      </w:r>
      <w:r w:rsidR="0016798F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 xml:space="preserve">m. </w:t>
      </w:r>
      <w:r w:rsidR="004C121D">
        <w:rPr>
          <w:sz w:val="24"/>
          <w:szCs w:val="24"/>
          <w:lang w:val="sv-SE"/>
        </w:rPr>
        <w:t>kovo</w:t>
      </w:r>
      <w:r w:rsidR="008E06E6">
        <w:rPr>
          <w:sz w:val="24"/>
          <w:szCs w:val="24"/>
          <w:lang w:val="sv-SE"/>
        </w:rPr>
        <w:t xml:space="preserve"> </w:t>
      </w:r>
      <w:r w:rsidR="0016798F">
        <w:rPr>
          <w:sz w:val="24"/>
          <w:szCs w:val="24"/>
          <w:lang w:val="sv-SE"/>
        </w:rPr>
        <w:t>1</w:t>
      </w:r>
      <w:r w:rsidR="004C121D">
        <w:rPr>
          <w:sz w:val="24"/>
          <w:szCs w:val="24"/>
          <w:lang w:val="sv-SE"/>
        </w:rPr>
        <w:t>9</w:t>
      </w:r>
      <w:r w:rsidR="008E06E6">
        <w:rPr>
          <w:sz w:val="24"/>
          <w:szCs w:val="24"/>
          <w:lang w:val="sv-SE"/>
        </w:rPr>
        <w:t xml:space="preserve"> d. pažyma Nr.</w:t>
      </w:r>
      <w:r w:rsidR="003C6453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>O5</w:t>
      </w:r>
      <w:r w:rsidR="004C121D">
        <w:rPr>
          <w:sz w:val="24"/>
          <w:szCs w:val="24"/>
          <w:lang w:val="sv-SE"/>
        </w:rPr>
        <w:t>E</w:t>
      </w:r>
      <w:r w:rsidR="008E06E6">
        <w:rPr>
          <w:sz w:val="24"/>
          <w:szCs w:val="24"/>
          <w:lang w:val="sv-SE"/>
        </w:rPr>
        <w:t>-</w:t>
      </w:r>
      <w:r w:rsidR="004C121D">
        <w:rPr>
          <w:sz w:val="24"/>
          <w:szCs w:val="24"/>
          <w:lang w:val="sv-SE"/>
        </w:rPr>
        <w:t>65</w:t>
      </w:r>
      <w:r w:rsidR="008E06E6">
        <w:rPr>
          <w:sz w:val="24"/>
          <w:szCs w:val="24"/>
          <w:lang w:val="sv-SE"/>
        </w:rPr>
        <w:t xml:space="preserve"> ir </w:t>
      </w:r>
      <w:r w:rsidR="00BF22B5">
        <w:rPr>
          <w:sz w:val="24"/>
          <w:szCs w:val="24"/>
          <w:lang w:val="sv-SE"/>
        </w:rPr>
        <w:t xml:space="preserve">VKEKK </w:t>
      </w:r>
      <w:r w:rsidR="008E06E6">
        <w:rPr>
          <w:sz w:val="24"/>
          <w:szCs w:val="24"/>
          <w:lang w:val="sv-SE"/>
        </w:rPr>
        <w:t>201</w:t>
      </w:r>
      <w:r w:rsidR="004C121D">
        <w:rPr>
          <w:sz w:val="24"/>
          <w:szCs w:val="24"/>
          <w:lang w:val="sv-SE"/>
        </w:rPr>
        <w:t>9</w:t>
      </w:r>
      <w:r w:rsidR="008E06E6">
        <w:rPr>
          <w:sz w:val="24"/>
          <w:szCs w:val="24"/>
          <w:lang w:val="sv-SE"/>
        </w:rPr>
        <w:t xml:space="preserve"> m. </w:t>
      </w:r>
      <w:r w:rsidR="004C121D">
        <w:rPr>
          <w:sz w:val="24"/>
          <w:szCs w:val="24"/>
          <w:lang w:val="sv-SE"/>
        </w:rPr>
        <w:t>kovo</w:t>
      </w:r>
      <w:r w:rsidR="008E06E6">
        <w:rPr>
          <w:sz w:val="24"/>
          <w:szCs w:val="24"/>
          <w:lang w:val="sv-SE"/>
        </w:rPr>
        <w:t xml:space="preserve"> </w:t>
      </w:r>
      <w:r w:rsidR="00AD3DB0">
        <w:rPr>
          <w:sz w:val="24"/>
          <w:szCs w:val="24"/>
          <w:lang w:val="sv-SE"/>
        </w:rPr>
        <w:t>2</w:t>
      </w:r>
      <w:r w:rsidR="004C121D">
        <w:rPr>
          <w:sz w:val="24"/>
          <w:szCs w:val="24"/>
          <w:lang w:val="sv-SE"/>
        </w:rPr>
        <w:t>7</w:t>
      </w:r>
      <w:r w:rsidR="008E06E6">
        <w:rPr>
          <w:sz w:val="24"/>
          <w:szCs w:val="24"/>
          <w:lang w:val="sv-SE"/>
        </w:rPr>
        <w:t xml:space="preserve"> d. nutarimas Nr. O3</w:t>
      </w:r>
      <w:r w:rsidR="004C121D">
        <w:rPr>
          <w:sz w:val="24"/>
          <w:szCs w:val="24"/>
          <w:lang w:val="sv-SE"/>
        </w:rPr>
        <w:t>E</w:t>
      </w:r>
      <w:r w:rsidR="008E06E6">
        <w:rPr>
          <w:sz w:val="24"/>
          <w:szCs w:val="24"/>
          <w:lang w:val="sv-SE"/>
        </w:rPr>
        <w:t>-</w:t>
      </w:r>
      <w:r w:rsidR="004C121D">
        <w:rPr>
          <w:sz w:val="24"/>
          <w:szCs w:val="24"/>
          <w:lang w:val="sv-SE"/>
        </w:rPr>
        <w:t>88</w:t>
      </w:r>
      <w:r w:rsidR="008E06E6">
        <w:rPr>
          <w:sz w:val="24"/>
          <w:szCs w:val="24"/>
          <w:lang w:val="sv-SE"/>
        </w:rPr>
        <w:t xml:space="preserve"> „Dėl uždarosios akcinės bendrovės  „Aukštaitijos vandenys“ geriamojo vandens tiekimo ir nuotekų tvarkymo paslaugų</w:t>
      </w:r>
      <w:r w:rsidR="00AD3DB0">
        <w:rPr>
          <w:sz w:val="24"/>
          <w:szCs w:val="24"/>
          <w:lang w:val="sv-SE"/>
        </w:rPr>
        <w:t xml:space="preserve"> bazinių</w:t>
      </w:r>
      <w:r w:rsidR="008E06E6">
        <w:rPr>
          <w:sz w:val="24"/>
          <w:szCs w:val="24"/>
          <w:lang w:val="sv-SE"/>
        </w:rPr>
        <w:t xml:space="preserve"> kainų derinimo“</w:t>
      </w:r>
      <w:r w:rsidR="00AD3DB0">
        <w:rPr>
          <w:sz w:val="24"/>
          <w:szCs w:val="24"/>
          <w:lang w:val="sv-SE"/>
        </w:rPr>
        <w:t>.</w:t>
      </w:r>
    </w:p>
    <w:p w14:paraId="42ED0822" w14:textId="77777777" w:rsidR="008D3CE1" w:rsidRPr="00577078" w:rsidRDefault="008D3CE1" w:rsidP="008D3CE1">
      <w:pPr>
        <w:rPr>
          <w:sz w:val="24"/>
          <w:szCs w:val="24"/>
          <w:lang w:val="sv-SE"/>
        </w:rPr>
      </w:pPr>
    </w:p>
    <w:p w14:paraId="42ED0823" w14:textId="77777777" w:rsidR="008D3CE1" w:rsidRPr="00577078" w:rsidRDefault="008D3CE1" w:rsidP="00BC050C">
      <w:pPr>
        <w:ind w:firstLine="720"/>
        <w:rPr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2. Kaip šiuo metu sprendžiami projekte aptarti klausimai</w:t>
      </w:r>
      <w:r w:rsidRPr="00577078">
        <w:rPr>
          <w:sz w:val="24"/>
          <w:szCs w:val="24"/>
          <w:lang w:val="sv-SE"/>
        </w:rPr>
        <w:t>:</w:t>
      </w:r>
    </w:p>
    <w:p w14:paraId="42ED0824" w14:textId="77777777" w:rsidR="000D7326" w:rsidRDefault="003C2B17" w:rsidP="00BC050C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Lietuvos Respublikos geriamojo vandens tiekimo ir nuotekų tvarkymo įstatymo 1</w:t>
      </w:r>
      <w:r w:rsidR="00DE11C3">
        <w:rPr>
          <w:sz w:val="24"/>
          <w:szCs w:val="24"/>
          <w:lang w:val="sv-SE"/>
        </w:rPr>
        <w:t>0</w:t>
      </w:r>
      <w:r>
        <w:rPr>
          <w:sz w:val="24"/>
          <w:szCs w:val="24"/>
          <w:lang w:val="sv-SE"/>
        </w:rPr>
        <w:t xml:space="preserve"> str.</w:t>
      </w:r>
      <w:r w:rsidR="00DE11C3">
        <w:rPr>
          <w:sz w:val="24"/>
          <w:szCs w:val="24"/>
          <w:lang w:val="sv-SE"/>
        </w:rPr>
        <w:t xml:space="preserve"> 6 punkte </w:t>
      </w:r>
      <w:r>
        <w:rPr>
          <w:sz w:val="24"/>
          <w:szCs w:val="24"/>
          <w:lang w:val="sv-SE"/>
        </w:rPr>
        <w:t xml:space="preserve">nurodyta, kad </w:t>
      </w:r>
      <w:r w:rsidR="004C121D">
        <w:rPr>
          <w:sz w:val="24"/>
          <w:szCs w:val="24"/>
          <w:lang w:val="sv-SE"/>
        </w:rPr>
        <w:t>„</w:t>
      </w:r>
      <w:r w:rsidR="00DE11C3" w:rsidRPr="004C121D">
        <w:rPr>
          <w:i/>
          <w:sz w:val="24"/>
          <w:szCs w:val="24"/>
        </w:rPr>
        <w:t xml:space="preserve">tarybos, </w:t>
      </w:r>
      <w:r w:rsidR="00DE11C3" w:rsidRPr="004C121D">
        <w:rPr>
          <w:i/>
          <w:color w:val="000000"/>
          <w:sz w:val="24"/>
          <w:szCs w:val="24"/>
        </w:rPr>
        <w:t xml:space="preserve">vadovaudamosi Valstybinės kainų ir energetikos kontrolės komisijos nustatyta </w:t>
      </w:r>
      <w:r w:rsidR="00DE11C3" w:rsidRPr="004C121D">
        <w:rPr>
          <w:i/>
          <w:sz w:val="24"/>
          <w:szCs w:val="24"/>
        </w:rPr>
        <w:t>Geriamojo vandens tiekimo ir nuotekų tvarkymo paslaugų kainų nustatymo metodika,</w:t>
      </w:r>
      <w:r w:rsidR="00DE11C3" w:rsidRPr="004C121D">
        <w:rPr>
          <w:i/>
          <w:color w:val="000000"/>
          <w:sz w:val="24"/>
          <w:szCs w:val="24"/>
        </w:rPr>
        <w:t xml:space="preserve"> nustato geriamojo vandens tiekėjų ir nuotekų tvarkytojų </w:t>
      </w:r>
      <w:r w:rsidR="00DE11C3" w:rsidRPr="004C121D">
        <w:rPr>
          <w:i/>
          <w:sz w:val="24"/>
          <w:szCs w:val="24"/>
        </w:rPr>
        <w:t>tiekiamo geriamojo vandens ir teikiamų nuotekų tvarkymo paslaugų kainas“</w:t>
      </w:r>
      <w:r w:rsidR="00DE11C3" w:rsidRPr="004C121D">
        <w:rPr>
          <w:sz w:val="22"/>
          <w:szCs w:val="22"/>
        </w:rPr>
        <w:t>.</w:t>
      </w:r>
      <w:r w:rsidR="00DE11C3">
        <w:t xml:space="preserve"> </w:t>
      </w:r>
      <w:r w:rsidR="008700D8">
        <w:rPr>
          <w:sz w:val="24"/>
          <w:szCs w:val="24"/>
          <w:lang w:val="sv-SE"/>
        </w:rPr>
        <w:t>UAB „Aukštaitijos vandenys“ 201</w:t>
      </w:r>
      <w:r w:rsidR="004C121D">
        <w:rPr>
          <w:sz w:val="24"/>
          <w:szCs w:val="24"/>
          <w:lang w:val="sv-SE"/>
        </w:rPr>
        <w:t>8</w:t>
      </w:r>
      <w:r w:rsidR="008700D8">
        <w:rPr>
          <w:sz w:val="24"/>
          <w:szCs w:val="24"/>
          <w:lang w:val="sv-SE"/>
        </w:rPr>
        <w:t xml:space="preserve"> m. </w:t>
      </w:r>
      <w:r w:rsidR="004C121D">
        <w:rPr>
          <w:sz w:val="24"/>
          <w:szCs w:val="24"/>
          <w:lang w:val="sv-SE"/>
        </w:rPr>
        <w:t>rugsėj</w:t>
      </w:r>
      <w:r w:rsidR="008700D8">
        <w:rPr>
          <w:sz w:val="24"/>
          <w:szCs w:val="24"/>
          <w:lang w:val="sv-SE"/>
        </w:rPr>
        <w:t xml:space="preserve">o </w:t>
      </w:r>
      <w:r w:rsidR="004C121D">
        <w:rPr>
          <w:sz w:val="24"/>
          <w:szCs w:val="24"/>
          <w:lang w:val="sv-SE"/>
        </w:rPr>
        <w:t>13</w:t>
      </w:r>
      <w:r w:rsidR="008700D8">
        <w:rPr>
          <w:sz w:val="24"/>
          <w:szCs w:val="24"/>
          <w:lang w:val="sv-SE"/>
        </w:rPr>
        <w:t xml:space="preserve"> d.</w:t>
      </w:r>
      <w:r w:rsidR="005E7120">
        <w:rPr>
          <w:sz w:val="24"/>
          <w:szCs w:val="24"/>
          <w:lang w:val="sv-SE"/>
        </w:rPr>
        <w:t xml:space="preserve"> </w:t>
      </w:r>
      <w:r w:rsidR="00CC3636">
        <w:rPr>
          <w:sz w:val="24"/>
          <w:szCs w:val="24"/>
          <w:lang w:val="sv-SE"/>
        </w:rPr>
        <w:t>raštu Nr. 2</w:t>
      </w:r>
      <w:r w:rsidR="008700D8">
        <w:rPr>
          <w:sz w:val="24"/>
          <w:szCs w:val="24"/>
          <w:lang w:val="sv-SE"/>
        </w:rPr>
        <w:t>.</w:t>
      </w:r>
      <w:r w:rsidR="004C121D">
        <w:rPr>
          <w:sz w:val="24"/>
          <w:szCs w:val="24"/>
          <w:lang w:val="sv-SE"/>
        </w:rPr>
        <w:t>2</w:t>
      </w:r>
      <w:r w:rsidR="008700D8">
        <w:rPr>
          <w:sz w:val="24"/>
          <w:szCs w:val="24"/>
          <w:lang w:val="sv-SE"/>
        </w:rPr>
        <w:t>-</w:t>
      </w:r>
      <w:r w:rsidR="004C121D">
        <w:rPr>
          <w:sz w:val="24"/>
          <w:szCs w:val="24"/>
          <w:lang w:val="sv-SE"/>
        </w:rPr>
        <w:t>67</w:t>
      </w:r>
      <w:r w:rsidR="00CC3636">
        <w:rPr>
          <w:sz w:val="24"/>
          <w:szCs w:val="24"/>
          <w:lang w:val="sv-SE"/>
        </w:rPr>
        <w:t>8</w:t>
      </w:r>
      <w:r w:rsidR="008700D8">
        <w:rPr>
          <w:sz w:val="24"/>
          <w:szCs w:val="24"/>
          <w:lang w:val="sv-SE"/>
        </w:rPr>
        <w:t xml:space="preserve"> pateikė </w:t>
      </w:r>
      <w:r w:rsidR="00CC3636">
        <w:rPr>
          <w:sz w:val="24"/>
          <w:szCs w:val="24"/>
          <w:lang w:val="sv-SE"/>
        </w:rPr>
        <w:t>V</w:t>
      </w:r>
      <w:r w:rsidR="008700D8">
        <w:rPr>
          <w:sz w:val="24"/>
          <w:szCs w:val="24"/>
          <w:lang w:val="sv-SE"/>
        </w:rPr>
        <w:t>alstybinei kainų ir energetikos kontrolės komisijai prašymą derinti geriamojo vandens tiekimo, nuotekų tvarkymo</w:t>
      </w:r>
      <w:r w:rsidR="00CC3636">
        <w:rPr>
          <w:sz w:val="24"/>
          <w:szCs w:val="24"/>
          <w:lang w:val="sv-SE"/>
        </w:rPr>
        <w:t>, atsiskaitomųjų apskaitos prietaisų priežiūros</w:t>
      </w:r>
      <w:r w:rsidR="008700D8">
        <w:rPr>
          <w:sz w:val="24"/>
          <w:szCs w:val="24"/>
          <w:lang w:val="sv-SE"/>
        </w:rPr>
        <w:t xml:space="preserve"> ir</w:t>
      </w:r>
      <w:r w:rsidR="00CC3636">
        <w:rPr>
          <w:sz w:val="24"/>
          <w:szCs w:val="24"/>
          <w:lang w:val="sv-SE"/>
        </w:rPr>
        <w:t xml:space="preserve"> vartotojų aptarnavimo paslaugų bazines</w:t>
      </w:r>
      <w:r w:rsidR="008700D8">
        <w:rPr>
          <w:sz w:val="24"/>
          <w:szCs w:val="24"/>
          <w:lang w:val="sv-SE"/>
        </w:rPr>
        <w:t xml:space="preserve"> kainas ir Panevėžio miesto savivaldybės tarybos 201</w:t>
      </w:r>
      <w:r w:rsidR="004C121D">
        <w:rPr>
          <w:sz w:val="24"/>
          <w:szCs w:val="24"/>
          <w:lang w:val="sv-SE"/>
        </w:rPr>
        <w:t>8</w:t>
      </w:r>
      <w:r w:rsidR="008700D8">
        <w:rPr>
          <w:sz w:val="24"/>
          <w:szCs w:val="24"/>
          <w:lang w:val="sv-SE"/>
        </w:rPr>
        <w:t xml:space="preserve"> m.</w:t>
      </w:r>
      <w:r w:rsidR="00CC3636">
        <w:rPr>
          <w:sz w:val="24"/>
          <w:szCs w:val="24"/>
          <w:lang w:val="sv-SE"/>
        </w:rPr>
        <w:t xml:space="preserve"> </w:t>
      </w:r>
      <w:r w:rsidR="004C121D">
        <w:rPr>
          <w:sz w:val="24"/>
          <w:szCs w:val="24"/>
          <w:lang w:val="sv-SE"/>
        </w:rPr>
        <w:t>liepos</w:t>
      </w:r>
      <w:r w:rsidR="008700D8">
        <w:rPr>
          <w:sz w:val="24"/>
          <w:szCs w:val="24"/>
          <w:lang w:val="sv-SE"/>
        </w:rPr>
        <w:t xml:space="preserve"> </w:t>
      </w:r>
      <w:r w:rsidR="004C121D">
        <w:rPr>
          <w:sz w:val="24"/>
          <w:szCs w:val="24"/>
          <w:lang w:val="sv-SE"/>
        </w:rPr>
        <w:t>2</w:t>
      </w:r>
      <w:r w:rsidR="008700D8">
        <w:rPr>
          <w:sz w:val="24"/>
          <w:szCs w:val="24"/>
          <w:lang w:val="sv-SE"/>
        </w:rPr>
        <w:t>3 d.</w:t>
      </w:r>
      <w:r w:rsidR="00CC3636">
        <w:rPr>
          <w:sz w:val="24"/>
          <w:szCs w:val="24"/>
          <w:lang w:val="sv-SE"/>
        </w:rPr>
        <w:t xml:space="preserve"> </w:t>
      </w:r>
      <w:r w:rsidR="008700D8">
        <w:rPr>
          <w:sz w:val="24"/>
          <w:szCs w:val="24"/>
          <w:lang w:val="sv-SE"/>
        </w:rPr>
        <w:t>sprendimu Nr.</w:t>
      </w:r>
      <w:r w:rsidR="00CC3636">
        <w:rPr>
          <w:sz w:val="24"/>
          <w:szCs w:val="24"/>
          <w:lang w:val="sv-SE"/>
        </w:rPr>
        <w:t xml:space="preserve"> </w:t>
      </w:r>
      <w:r w:rsidR="005E7120">
        <w:rPr>
          <w:sz w:val="24"/>
          <w:szCs w:val="24"/>
          <w:lang w:val="sv-SE"/>
        </w:rPr>
        <w:t>1-</w:t>
      </w:r>
      <w:r w:rsidR="004C121D">
        <w:rPr>
          <w:sz w:val="24"/>
          <w:szCs w:val="24"/>
          <w:lang w:val="sv-SE"/>
        </w:rPr>
        <w:t>24</w:t>
      </w:r>
      <w:r w:rsidR="005E7120">
        <w:rPr>
          <w:sz w:val="24"/>
          <w:szCs w:val="24"/>
          <w:lang w:val="sv-SE"/>
        </w:rPr>
        <w:t xml:space="preserve">7 </w:t>
      </w:r>
      <w:r w:rsidR="00CC3636">
        <w:rPr>
          <w:sz w:val="24"/>
          <w:szCs w:val="24"/>
          <w:lang w:val="sv-SE"/>
        </w:rPr>
        <w:t>bei</w:t>
      </w:r>
      <w:r w:rsidR="005E7120">
        <w:rPr>
          <w:sz w:val="24"/>
          <w:szCs w:val="24"/>
          <w:lang w:val="sv-SE"/>
        </w:rPr>
        <w:t xml:space="preserve"> Panevėžio rajono savivaldybės tarybos 201</w:t>
      </w:r>
      <w:r w:rsidR="003023FE">
        <w:rPr>
          <w:sz w:val="24"/>
          <w:szCs w:val="24"/>
          <w:lang w:val="sv-SE"/>
        </w:rPr>
        <w:t>8</w:t>
      </w:r>
      <w:r w:rsidR="005E7120">
        <w:rPr>
          <w:sz w:val="24"/>
          <w:szCs w:val="24"/>
          <w:lang w:val="sv-SE"/>
        </w:rPr>
        <w:t xml:space="preserve"> m. </w:t>
      </w:r>
      <w:r w:rsidR="003023FE">
        <w:rPr>
          <w:sz w:val="24"/>
          <w:szCs w:val="24"/>
          <w:lang w:val="sv-SE"/>
        </w:rPr>
        <w:t>rugpjūč</w:t>
      </w:r>
      <w:r w:rsidR="005E7120">
        <w:rPr>
          <w:sz w:val="24"/>
          <w:szCs w:val="24"/>
          <w:lang w:val="sv-SE"/>
        </w:rPr>
        <w:t>io 3</w:t>
      </w:r>
      <w:r w:rsidR="003023FE">
        <w:rPr>
          <w:sz w:val="24"/>
          <w:szCs w:val="24"/>
          <w:lang w:val="sv-SE"/>
        </w:rPr>
        <w:t>0</w:t>
      </w:r>
      <w:r w:rsidR="005E7120">
        <w:rPr>
          <w:sz w:val="24"/>
          <w:szCs w:val="24"/>
          <w:lang w:val="sv-SE"/>
        </w:rPr>
        <w:t xml:space="preserve"> d. sprendimu Nr.</w:t>
      </w:r>
      <w:r w:rsidR="00CC3636">
        <w:rPr>
          <w:sz w:val="24"/>
          <w:szCs w:val="24"/>
          <w:lang w:val="sv-SE"/>
        </w:rPr>
        <w:t xml:space="preserve"> </w:t>
      </w:r>
      <w:r w:rsidR="005E7120">
        <w:rPr>
          <w:sz w:val="24"/>
          <w:szCs w:val="24"/>
          <w:lang w:val="sv-SE"/>
        </w:rPr>
        <w:t>T-</w:t>
      </w:r>
      <w:r w:rsidR="003023FE">
        <w:rPr>
          <w:sz w:val="24"/>
          <w:szCs w:val="24"/>
          <w:lang w:val="sv-SE"/>
        </w:rPr>
        <w:t>15</w:t>
      </w:r>
      <w:r w:rsidR="005E7120">
        <w:rPr>
          <w:sz w:val="24"/>
          <w:szCs w:val="24"/>
          <w:lang w:val="sv-SE"/>
        </w:rPr>
        <w:t>2</w:t>
      </w:r>
      <w:r w:rsidR="00CC3636">
        <w:rPr>
          <w:sz w:val="24"/>
          <w:szCs w:val="24"/>
          <w:lang w:val="sv-SE"/>
        </w:rPr>
        <w:t xml:space="preserve"> </w:t>
      </w:r>
      <w:r w:rsidR="00793EAA">
        <w:rPr>
          <w:sz w:val="24"/>
          <w:szCs w:val="24"/>
          <w:lang w:val="sv-SE"/>
        </w:rPr>
        <w:t>patvirt</w:t>
      </w:r>
      <w:r w:rsidR="008700D8">
        <w:rPr>
          <w:sz w:val="24"/>
          <w:szCs w:val="24"/>
          <w:lang w:val="sv-SE"/>
        </w:rPr>
        <w:t>intą UAB „Aukštaitijos vandenys“</w:t>
      </w:r>
      <w:r w:rsidR="005E7120">
        <w:rPr>
          <w:sz w:val="24"/>
          <w:szCs w:val="24"/>
          <w:lang w:val="sv-SE"/>
        </w:rPr>
        <w:t xml:space="preserve"> 201</w:t>
      </w:r>
      <w:r w:rsidR="004C121D">
        <w:rPr>
          <w:sz w:val="24"/>
          <w:szCs w:val="24"/>
          <w:lang w:val="sv-SE"/>
        </w:rPr>
        <w:t>8</w:t>
      </w:r>
      <w:r w:rsidR="005E7120">
        <w:rPr>
          <w:sz w:val="24"/>
          <w:szCs w:val="24"/>
          <w:lang w:val="sv-SE"/>
        </w:rPr>
        <w:t>-20</w:t>
      </w:r>
      <w:r w:rsidR="004C121D">
        <w:rPr>
          <w:sz w:val="24"/>
          <w:szCs w:val="24"/>
          <w:lang w:val="sv-SE"/>
        </w:rPr>
        <w:t>2</w:t>
      </w:r>
      <w:r w:rsidR="005E7120">
        <w:rPr>
          <w:sz w:val="24"/>
          <w:szCs w:val="24"/>
          <w:lang w:val="sv-SE"/>
        </w:rPr>
        <w:t>1 m. veiklos planą.</w:t>
      </w:r>
    </w:p>
    <w:p w14:paraId="42ED0825" w14:textId="77777777" w:rsidR="003C2B17" w:rsidRPr="00AE1D95" w:rsidRDefault="005E7120" w:rsidP="00BC050C">
      <w:pPr>
        <w:ind w:firstLine="720"/>
        <w:jc w:val="both"/>
        <w:rPr>
          <w:sz w:val="24"/>
          <w:szCs w:val="24"/>
          <w:lang w:val="sv-SE"/>
        </w:rPr>
      </w:pPr>
      <w:r w:rsidRPr="00AE1D95">
        <w:rPr>
          <w:color w:val="000000"/>
          <w:sz w:val="24"/>
          <w:szCs w:val="24"/>
        </w:rPr>
        <w:t>Valstybinės kainų ir energetikos kontrolės komisija 201</w:t>
      </w:r>
      <w:r w:rsidR="009A489B" w:rsidRPr="00AE1D95">
        <w:rPr>
          <w:color w:val="000000"/>
          <w:sz w:val="24"/>
          <w:szCs w:val="24"/>
        </w:rPr>
        <w:t>9</w:t>
      </w:r>
      <w:r w:rsidRPr="00AE1D95">
        <w:rPr>
          <w:color w:val="000000"/>
          <w:sz w:val="24"/>
          <w:szCs w:val="24"/>
        </w:rPr>
        <w:t xml:space="preserve"> m. </w:t>
      </w:r>
      <w:r w:rsidR="009A489B" w:rsidRPr="00AE1D95">
        <w:rPr>
          <w:color w:val="000000"/>
          <w:sz w:val="24"/>
          <w:szCs w:val="24"/>
        </w:rPr>
        <w:t>kovo</w:t>
      </w:r>
      <w:r w:rsidRPr="00AE1D95">
        <w:rPr>
          <w:color w:val="000000"/>
          <w:sz w:val="24"/>
          <w:szCs w:val="24"/>
        </w:rPr>
        <w:t xml:space="preserve"> </w:t>
      </w:r>
      <w:r w:rsidR="008B28F0" w:rsidRPr="00AE1D95">
        <w:rPr>
          <w:color w:val="000000"/>
          <w:sz w:val="24"/>
          <w:szCs w:val="24"/>
        </w:rPr>
        <w:t>2</w:t>
      </w:r>
      <w:r w:rsidR="009A489B" w:rsidRPr="00AE1D95">
        <w:rPr>
          <w:color w:val="000000"/>
          <w:sz w:val="24"/>
          <w:szCs w:val="24"/>
        </w:rPr>
        <w:t>7</w:t>
      </w:r>
      <w:r w:rsidRPr="00AE1D95">
        <w:rPr>
          <w:color w:val="000000"/>
          <w:sz w:val="24"/>
          <w:szCs w:val="24"/>
        </w:rPr>
        <w:t xml:space="preserve"> d. nutarimu </w:t>
      </w:r>
      <w:r w:rsidRPr="00AE1D95">
        <w:rPr>
          <w:sz w:val="24"/>
          <w:szCs w:val="24"/>
          <w:lang w:val="sv-SE"/>
        </w:rPr>
        <w:t>Nr. O3</w:t>
      </w:r>
      <w:r w:rsidR="009A489B" w:rsidRPr="00AE1D95">
        <w:rPr>
          <w:sz w:val="24"/>
          <w:szCs w:val="24"/>
          <w:lang w:val="sv-SE"/>
        </w:rPr>
        <w:t>E</w:t>
      </w:r>
      <w:r w:rsidRPr="00AE1D95">
        <w:rPr>
          <w:sz w:val="24"/>
          <w:szCs w:val="24"/>
          <w:lang w:val="sv-SE"/>
        </w:rPr>
        <w:t>-</w:t>
      </w:r>
      <w:r w:rsidR="009A489B" w:rsidRPr="00AE1D95">
        <w:rPr>
          <w:sz w:val="24"/>
          <w:szCs w:val="24"/>
          <w:lang w:val="sv-SE"/>
        </w:rPr>
        <w:t>88</w:t>
      </w:r>
      <w:r w:rsidRPr="00AE1D95">
        <w:rPr>
          <w:sz w:val="24"/>
          <w:szCs w:val="24"/>
          <w:lang w:val="sv-SE"/>
        </w:rPr>
        <w:t xml:space="preserve"> „Dėl uždarosios akcinės bendrovės</w:t>
      </w:r>
      <w:r w:rsidR="008B28F0" w:rsidRPr="00AE1D95">
        <w:rPr>
          <w:sz w:val="24"/>
          <w:szCs w:val="24"/>
          <w:lang w:val="sv-SE"/>
        </w:rPr>
        <w:t xml:space="preserve"> </w:t>
      </w:r>
      <w:r w:rsidRPr="00AE1D95">
        <w:rPr>
          <w:sz w:val="24"/>
          <w:szCs w:val="24"/>
          <w:lang w:val="sv-SE"/>
        </w:rPr>
        <w:t xml:space="preserve">„Aukštaitijos vandenys“ geriamojo vandens tiekimo ir nuotekų tvarkymo paslaugų </w:t>
      </w:r>
      <w:r w:rsidR="008B28F0" w:rsidRPr="00AE1D95">
        <w:rPr>
          <w:sz w:val="24"/>
          <w:szCs w:val="24"/>
          <w:lang w:val="sv-SE"/>
        </w:rPr>
        <w:t xml:space="preserve">bazinių </w:t>
      </w:r>
      <w:r w:rsidRPr="00AE1D95">
        <w:rPr>
          <w:sz w:val="24"/>
          <w:szCs w:val="24"/>
          <w:lang w:val="sv-SE"/>
        </w:rPr>
        <w:t>kainų derinimo“ suderino UAB „Aukštaitijos vandenys“</w:t>
      </w:r>
      <w:r w:rsidR="009A489B" w:rsidRPr="00AE1D95">
        <w:rPr>
          <w:sz w:val="24"/>
          <w:szCs w:val="24"/>
          <w:lang w:val="sv-SE"/>
        </w:rPr>
        <w:t xml:space="preserve"> geriamojo vandens tiekimo ir nuotekų tvarkymo</w:t>
      </w:r>
      <w:r w:rsidRPr="00AE1D95">
        <w:rPr>
          <w:sz w:val="24"/>
          <w:szCs w:val="24"/>
          <w:lang w:val="sv-SE"/>
        </w:rPr>
        <w:t xml:space="preserve"> paslaugų </w:t>
      </w:r>
      <w:r w:rsidR="008B28F0" w:rsidRPr="00AE1D95">
        <w:rPr>
          <w:sz w:val="24"/>
          <w:szCs w:val="24"/>
          <w:lang w:val="sv-SE"/>
        </w:rPr>
        <w:t>bei atsiskaitomųjų apskaitos prietaisų priežiūros ir vartotojų aptarnavimo paslaug</w:t>
      </w:r>
      <w:r w:rsidR="009A489B" w:rsidRPr="00AE1D95">
        <w:rPr>
          <w:sz w:val="24"/>
          <w:szCs w:val="24"/>
          <w:lang w:val="sv-SE"/>
        </w:rPr>
        <w:t>os</w:t>
      </w:r>
      <w:r w:rsidR="008B28F0" w:rsidRPr="00AE1D95">
        <w:rPr>
          <w:sz w:val="24"/>
          <w:szCs w:val="24"/>
          <w:lang w:val="sv-SE"/>
        </w:rPr>
        <w:t xml:space="preserve"> bazines </w:t>
      </w:r>
      <w:r w:rsidRPr="00AE1D95">
        <w:rPr>
          <w:sz w:val="24"/>
          <w:szCs w:val="24"/>
          <w:lang w:val="sv-SE"/>
        </w:rPr>
        <w:t>kainas</w:t>
      </w:r>
      <w:r w:rsidR="008B28F0" w:rsidRPr="00AE1D95">
        <w:rPr>
          <w:sz w:val="24"/>
          <w:szCs w:val="24"/>
          <w:lang w:val="sv-SE"/>
        </w:rPr>
        <w:t xml:space="preserve"> (be PVM)</w:t>
      </w:r>
      <w:r w:rsidRPr="00AE1D95">
        <w:rPr>
          <w:sz w:val="24"/>
          <w:szCs w:val="24"/>
          <w:lang w:val="sv-SE"/>
        </w:rPr>
        <w:t>.</w:t>
      </w:r>
    </w:p>
    <w:p w14:paraId="42ED0826" w14:textId="77777777" w:rsidR="00746FB2" w:rsidRDefault="00746FB2" w:rsidP="005E7120">
      <w:pPr>
        <w:jc w:val="both"/>
        <w:rPr>
          <w:sz w:val="24"/>
          <w:szCs w:val="24"/>
          <w:lang w:val="sv-SE"/>
        </w:rPr>
      </w:pPr>
    </w:p>
    <w:p w14:paraId="42ED0827" w14:textId="77777777" w:rsidR="008D3CE1" w:rsidRPr="00577078" w:rsidRDefault="008D3CE1" w:rsidP="00BC050C">
      <w:pPr>
        <w:ind w:firstLine="720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3. Sprendimo priėmimo būtinumo pagrindimas, kokių pozityvių rezultatų laukiama:</w:t>
      </w:r>
    </w:p>
    <w:p w14:paraId="42ED0828" w14:textId="77777777" w:rsidR="00C04728" w:rsidRPr="00C04728" w:rsidRDefault="00C04728" w:rsidP="00BC05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>VKEKK</w:t>
      </w:r>
      <w:r w:rsidRPr="007C55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suderinus bazinių kainų projektus, savivaldybės taryba ne vėliau kaip per 30 dienų nuo bazinių kainų suderinimo dienos nustato </w:t>
      </w:r>
      <w:r w:rsidRPr="00C04728">
        <w:rPr>
          <w:sz w:val="24"/>
          <w:szCs w:val="24"/>
        </w:rPr>
        <w:t>geriamojo vandens tiekimo ir nuotekų tvarkymo paslaugų</w:t>
      </w:r>
      <w:r>
        <w:rPr>
          <w:sz w:val="24"/>
          <w:szCs w:val="24"/>
        </w:rPr>
        <w:t xml:space="preserve"> bazines kainas.</w:t>
      </w:r>
    </w:p>
    <w:p w14:paraId="42ED0829" w14:textId="77777777" w:rsidR="00E2251B" w:rsidRDefault="00E2251B" w:rsidP="00E2251B">
      <w:pPr>
        <w:pStyle w:val="Default"/>
        <w:ind w:firstLine="720"/>
        <w:jc w:val="both"/>
        <w:rPr>
          <w:bCs/>
        </w:rPr>
      </w:pPr>
      <w:r>
        <w:rPr>
          <w:bCs/>
        </w:rPr>
        <w:t>Dabar galioja tretiesiems bazinių kainų galiojimo metams perskaičiuotos</w:t>
      </w:r>
      <w:r w:rsidRPr="00E2251B">
        <w:t xml:space="preserve"> </w:t>
      </w:r>
      <w:r>
        <w:t xml:space="preserve">geriamojo vandens tiekimo ir nuotekų tvarkymo paslaugų bazinės kainos, kurios suderintos </w:t>
      </w:r>
      <w:r>
        <w:rPr>
          <w:lang w:val="sv-SE"/>
        </w:rPr>
        <w:t>VKEKK</w:t>
      </w:r>
      <w:r>
        <w:rPr>
          <w:bCs/>
        </w:rPr>
        <w:t xml:space="preserve"> 2017 m. lapkričio 10 d. nutarimu Nr. O3E-482 ir pradėtos taikyti nuo 2018 m. sausio 1 d. </w:t>
      </w:r>
    </w:p>
    <w:p w14:paraId="42ED082A" w14:textId="77777777" w:rsidR="00C04728" w:rsidRDefault="00C04728" w:rsidP="00C04728">
      <w:pPr>
        <w:pStyle w:val="Default"/>
        <w:ind w:firstLine="720"/>
        <w:jc w:val="both"/>
        <w:rPr>
          <w:bCs/>
        </w:rPr>
      </w:pPr>
      <w:r>
        <w:rPr>
          <w:bCs/>
        </w:rPr>
        <w:t xml:space="preserve">Priėmus teikiamą sprendimo projektą, bus nustatytos </w:t>
      </w:r>
      <w:r>
        <w:t>UAB „Aukštaitijos vandenys“ geriamojo vandens tiekimo ir nuotekų tvarkymo paslaugų</w:t>
      </w:r>
      <w:r w:rsidRPr="00BF21A4">
        <w:rPr>
          <w:lang w:val="sv-SE"/>
        </w:rPr>
        <w:t xml:space="preserve"> </w:t>
      </w:r>
      <w:r w:rsidRPr="003B40A6">
        <w:rPr>
          <w:lang w:val="sv-SE"/>
        </w:rPr>
        <w:t>bei atsiskaitomųjų apskaitos prietaisų priežiūros ir vartotojų aptarnavimo paslaug</w:t>
      </w:r>
      <w:r>
        <w:rPr>
          <w:lang w:val="sv-SE"/>
        </w:rPr>
        <w:t>os</w:t>
      </w:r>
      <w:r>
        <w:t xml:space="preserve"> bazinės kaino</w:t>
      </w:r>
      <w:r>
        <w:rPr>
          <w:bCs/>
        </w:rPr>
        <w:t>s.</w:t>
      </w:r>
    </w:p>
    <w:p w14:paraId="42ED082B" w14:textId="77777777" w:rsidR="003B40A6" w:rsidRDefault="003B40A6" w:rsidP="004A61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Bazinės kainos nustatomos 3 metų laikotarpiui, jos bus perskaičiuojamos kiekvienais metais</w:t>
      </w:r>
      <w:r w:rsidR="00F3714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37142">
        <w:rPr>
          <w:sz w:val="24"/>
          <w:szCs w:val="24"/>
        </w:rPr>
        <w:t>P</w:t>
      </w:r>
      <w:r>
        <w:rPr>
          <w:sz w:val="24"/>
          <w:szCs w:val="24"/>
        </w:rPr>
        <w:t xml:space="preserve">irmaisiais bazinių kainų galiojimo metais bus taikomos </w:t>
      </w:r>
      <w:r w:rsidR="00F37142">
        <w:rPr>
          <w:sz w:val="24"/>
          <w:szCs w:val="24"/>
        </w:rPr>
        <w:t xml:space="preserve">geriamojo </w:t>
      </w:r>
      <w:r>
        <w:rPr>
          <w:sz w:val="24"/>
          <w:szCs w:val="24"/>
        </w:rPr>
        <w:t xml:space="preserve">vandens tiekimo ir nuotekų tvarkymo paslaugų </w:t>
      </w:r>
      <w:r w:rsidR="00F37142" w:rsidRPr="003B40A6">
        <w:rPr>
          <w:sz w:val="24"/>
          <w:szCs w:val="24"/>
          <w:lang w:val="sv-SE"/>
        </w:rPr>
        <w:t>bei atsiskaitomųjų apskaitos prietaisų priežiūros ir vartotojų aptarnavimo paslaug</w:t>
      </w:r>
      <w:r w:rsidR="00F37142">
        <w:rPr>
          <w:sz w:val="24"/>
          <w:szCs w:val="24"/>
          <w:lang w:val="sv-SE"/>
        </w:rPr>
        <w:t>os</w:t>
      </w:r>
      <w:r w:rsidR="00F37142" w:rsidRPr="003B40A6">
        <w:rPr>
          <w:sz w:val="24"/>
          <w:szCs w:val="24"/>
          <w:lang w:val="sv-SE"/>
        </w:rPr>
        <w:t xml:space="preserve"> </w:t>
      </w:r>
      <w:r w:rsidR="00F37142">
        <w:rPr>
          <w:sz w:val="24"/>
          <w:szCs w:val="24"/>
          <w:lang w:val="sv-SE"/>
        </w:rPr>
        <w:t xml:space="preserve">bazinės </w:t>
      </w:r>
      <w:r>
        <w:rPr>
          <w:sz w:val="24"/>
          <w:szCs w:val="24"/>
        </w:rPr>
        <w:t xml:space="preserve">kainos lygios </w:t>
      </w:r>
      <w:r w:rsidR="00F37142">
        <w:rPr>
          <w:sz w:val="24"/>
          <w:szCs w:val="24"/>
        </w:rPr>
        <w:t xml:space="preserve">geriamojo vandens tiekimo ir nuotekų tvarkymo paslaugų </w:t>
      </w:r>
      <w:r w:rsidR="00F37142" w:rsidRPr="003B40A6">
        <w:rPr>
          <w:sz w:val="24"/>
          <w:szCs w:val="24"/>
          <w:lang w:val="sv-SE"/>
        </w:rPr>
        <w:t>bei atsiskaitomųjų apskaitos prietaisų priežiūros ir vartotojų aptarnavimo paslaug</w:t>
      </w:r>
      <w:r w:rsidR="00F37142">
        <w:rPr>
          <w:sz w:val="24"/>
          <w:szCs w:val="24"/>
          <w:lang w:val="sv-SE"/>
        </w:rPr>
        <w:t>os</w:t>
      </w:r>
      <w:r w:rsidR="00F37142">
        <w:rPr>
          <w:sz w:val="24"/>
          <w:szCs w:val="24"/>
        </w:rPr>
        <w:t xml:space="preserve"> </w:t>
      </w:r>
      <w:r>
        <w:rPr>
          <w:sz w:val="24"/>
          <w:szCs w:val="24"/>
        </w:rPr>
        <w:t>bazinėms kainoms.</w:t>
      </w:r>
    </w:p>
    <w:p w14:paraId="42ED082C" w14:textId="77777777" w:rsidR="000D7326" w:rsidRDefault="000D7326" w:rsidP="007C55F3">
      <w:pPr>
        <w:jc w:val="both"/>
        <w:rPr>
          <w:sz w:val="24"/>
          <w:szCs w:val="24"/>
        </w:rPr>
      </w:pPr>
    </w:p>
    <w:p w14:paraId="42ED082D" w14:textId="77777777" w:rsidR="008D3CE1" w:rsidRDefault="008D3CE1" w:rsidP="00F91DF8">
      <w:pPr>
        <w:ind w:firstLine="720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4. Skaičiavimai, išlaidų sąmatos, finansavimo šaltiniai:</w:t>
      </w:r>
    </w:p>
    <w:p w14:paraId="42ED082E" w14:textId="77777777" w:rsidR="006B1C76" w:rsidRDefault="00BD19C1" w:rsidP="004A6176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Sprendimo projektas parengtas atsižvelgiant į </w:t>
      </w:r>
      <w:r w:rsidR="006B1C76" w:rsidRPr="006B1C76">
        <w:rPr>
          <w:sz w:val="24"/>
          <w:szCs w:val="24"/>
          <w:lang w:val="sv-SE"/>
        </w:rPr>
        <w:t>V</w:t>
      </w:r>
      <w:r w:rsidR="006B1C76">
        <w:rPr>
          <w:sz w:val="24"/>
          <w:szCs w:val="24"/>
          <w:lang w:val="sv-SE"/>
        </w:rPr>
        <w:t>alstybinė</w:t>
      </w:r>
      <w:r>
        <w:rPr>
          <w:sz w:val="24"/>
          <w:szCs w:val="24"/>
          <w:lang w:val="sv-SE"/>
        </w:rPr>
        <w:t>s</w:t>
      </w:r>
      <w:r w:rsidR="006B1C76">
        <w:rPr>
          <w:sz w:val="24"/>
          <w:szCs w:val="24"/>
          <w:lang w:val="sv-SE"/>
        </w:rPr>
        <w:t xml:space="preserve"> kainų ir energetikos kontrolės komisij</w:t>
      </w:r>
      <w:r>
        <w:rPr>
          <w:sz w:val="24"/>
          <w:szCs w:val="24"/>
          <w:lang w:val="sv-SE"/>
        </w:rPr>
        <w:t>os</w:t>
      </w:r>
      <w:r w:rsidR="00B16F78">
        <w:rPr>
          <w:sz w:val="24"/>
          <w:szCs w:val="24"/>
          <w:lang w:val="sv-SE"/>
        </w:rPr>
        <w:t xml:space="preserve"> </w:t>
      </w:r>
      <w:r w:rsidR="00AE1D95" w:rsidRPr="00AE1D95">
        <w:rPr>
          <w:color w:val="000000"/>
          <w:sz w:val="24"/>
          <w:szCs w:val="24"/>
        </w:rPr>
        <w:t xml:space="preserve">2019 m. kovo 27 d. nutarimu </w:t>
      </w:r>
      <w:r w:rsidR="00AE1D95" w:rsidRPr="00AE1D95">
        <w:rPr>
          <w:sz w:val="24"/>
          <w:szCs w:val="24"/>
          <w:lang w:val="sv-SE"/>
        </w:rPr>
        <w:t xml:space="preserve">Nr. O3E-88 </w:t>
      </w:r>
      <w:r w:rsidR="00B16F78">
        <w:rPr>
          <w:sz w:val="24"/>
          <w:szCs w:val="24"/>
          <w:lang w:val="sv-SE"/>
        </w:rPr>
        <w:t xml:space="preserve">  „Dėl uždarosios akcinės bendrovės  „Aukštaitijos vandenys“ geriamojo vandens tiekimo ir nuotekų tvarkymo paslaugų</w:t>
      </w:r>
      <w:r w:rsidR="004D6DFD">
        <w:rPr>
          <w:sz w:val="24"/>
          <w:szCs w:val="24"/>
          <w:lang w:val="sv-SE"/>
        </w:rPr>
        <w:t xml:space="preserve"> bazinių</w:t>
      </w:r>
      <w:r w:rsidR="00B16F78">
        <w:rPr>
          <w:sz w:val="24"/>
          <w:szCs w:val="24"/>
          <w:lang w:val="sv-SE"/>
        </w:rPr>
        <w:t xml:space="preserve"> kainų derinimo“ suderin</w:t>
      </w:r>
      <w:r>
        <w:rPr>
          <w:sz w:val="24"/>
          <w:szCs w:val="24"/>
          <w:lang w:val="sv-SE"/>
        </w:rPr>
        <w:t>tas</w:t>
      </w:r>
      <w:r w:rsidR="00B16F78">
        <w:rPr>
          <w:sz w:val="24"/>
          <w:szCs w:val="24"/>
          <w:lang w:val="sv-SE"/>
        </w:rPr>
        <w:t xml:space="preserve"> kainas</w:t>
      </w:r>
      <w:r>
        <w:rPr>
          <w:sz w:val="24"/>
          <w:szCs w:val="24"/>
          <w:lang w:val="sv-SE"/>
        </w:rPr>
        <w:t>. Pateikiame kainų pokytį</w:t>
      </w:r>
      <w:r w:rsidR="00B16F78">
        <w:rPr>
          <w:sz w:val="24"/>
          <w:szCs w:val="24"/>
          <w:lang w:val="sv-SE"/>
        </w:rPr>
        <w:t>:</w:t>
      </w:r>
    </w:p>
    <w:p w14:paraId="42ED082F" w14:textId="77777777" w:rsidR="003B40A6" w:rsidRDefault="003B40A6" w:rsidP="00F91DF8">
      <w:pPr>
        <w:ind w:firstLine="720"/>
        <w:rPr>
          <w:sz w:val="24"/>
          <w:szCs w:val="24"/>
          <w:lang w:val="sv-SE"/>
        </w:rPr>
      </w:pPr>
    </w:p>
    <w:tbl>
      <w:tblPr>
        <w:tblW w:w="103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58"/>
        <w:gridCol w:w="1276"/>
        <w:gridCol w:w="1559"/>
        <w:gridCol w:w="1559"/>
      </w:tblGrid>
      <w:tr w:rsidR="00D31563" w:rsidRPr="00DA2323" w14:paraId="42ED0837" w14:textId="77777777" w:rsidTr="006E31C0">
        <w:trPr>
          <w:trHeight w:val="753"/>
        </w:trPr>
        <w:tc>
          <w:tcPr>
            <w:tcW w:w="993" w:type="dxa"/>
            <w:shd w:val="clear" w:color="auto" w:fill="auto"/>
          </w:tcPr>
          <w:p w14:paraId="42ED0830" w14:textId="77777777" w:rsidR="004C422D" w:rsidRPr="00181D49" w:rsidRDefault="004C422D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4958" w:type="dxa"/>
            <w:shd w:val="clear" w:color="auto" w:fill="auto"/>
          </w:tcPr>
          <w:p w14:paraId="42ED0831" w14:textId="77777777" w:rsidR="004C422D" w:rsidRDefault="004C422D" w:rsidP="004C422D">
            <w:pPr>
              <w:jc w:val="center"/>
              <w:rPr>
                <w:sz w:val="22"/>
                <w:szCs w:val="22"/>
              </w:rPr>
            </w:pPr>
          </w:p>
          <w:p w14:paraId="42ED0832" w14:textId="77777777" w:rsidR="004C422D" w:rsidRPr="00181D49" w:rsidRDefault="004C422D" w:rsidP="004C422D">
            <w:pPr>
              <w:jc w:val="center"/>
              <w:rPr>
                <w:sz w:val="22"/>
                <w:szCs w:val="22"/>
              </w:rPr>
            </w:pPr>
            <w:r w:rsidRPr="00181D49">
              <w:rPr>
                <w:sz w:val="22"/>
                <w:szCs w:val="22"/>
              </w:rPr>
              <w:t>Rodiklis</w:t>
            </w:r>
          </w:p>
        </w:tc>
        <w:tc>
          <w:tcPr>
            <w:tcW w:w="1276" w:type="dxa"/>
            <w:shd w:val="clear" w:color="auto" w:fill="auto"/>
          </w:tcPr>
          <w:p w14:paraId="42ED0833" w14:textId="77777777" w:rsidR="004C422D" w:rsidRDefault="004C422D" w:rsidP="004C422D">
            <w:pPr>
              <w:jc w:val="center"/>
              <w:rPr>
                <w:sz w:val="22"/>
                <w:szCs w:val="22"/>
              </w:rPr>
            </w:pPr>
          </w:p>
          <w:p w14:paraId="42ED0834" w14:textId="77777777" w:rsidR="004C422D" w:rsidRPr="00181D49" w:rsidRDefault="004C422D" w:rsidP="004C422D">
            <w:pPr>
              <w:jc w:val="center"/>
              <w:rPr>
                <w:sz w:val="22"/>
                <w:szCs w:val="22"/>
              </w:rPr>
            </w:pPr>
            <w:r w:rsidRPr="00181D49">
              <w:rPr>
                <w:sz w:val="22"/>
                <w:szCs w:val="22"/>
              </w:rPr>
              <w:t>Esama kaina</w:t>
            </w:r>
          </w:p>
        </w:tc>
        <w:tc>
          <w:tcPr>
            <w:tcW w:w="1559" w:type="dxa"/>
            <w:shd w:val="clear" w:color="auto" w:fill="auto"/>
          </w:tcPr>
          <w:p w14:paraId="42ED0835" w14:textId="77777777" w:rsidR="004C422D" w:rsidRPr="00181D49" w:rsidRDefault="004C422D" w:rsidP="004C422D">
            <w:pPr>
              <w:jc w:val="center"/>
              <w:rPr>
                <w:sz w:val="22"/>
                <w:szCs w:val="22"/>
              </w:rPr>
            </w:pPr>
            <w:r w:rsidRPr="00181D49">
              <w:rPr>
                <w:sz w:val="22"/>
                <w:szCs w:val="22"/>
              </w:rPr>
              <w:t>VKEKK suderinta bazinė kaina</w:t>
            </w:r>
          </w:p>
        </w:tc>
        <w:tc>
          <w:tcPr>
            <w:tcW w:w="1559" w:type="dxa"/>
            <w:shd w:val="clear" w:color="auto" w:fill="auto"/>
          </w:tcPr>
          <w:p w14:paraId="42ED0836" w14:textId="77777777" w:rsidR="004C422D" w:rsidRPr="00063F8B" w:rsidRDefault="004C422D" w:rsidP="004C422D">
            <w:pPr>
              <w:jc w:val="center"/>
            </w:pPr>
            <w:r w:rsidRPr="00063F8B">
              <w:t>Padidėjimas, sumažėjimas proc. (nuo kainos eurais)</w:t>
            </w:r>
          </w:p>
        </w:tc>
      </w:tr>
      <w:tr w:rsidR="00D31563" w:rsidRPr="00DA2323" w14:paraId="42ED083D" w14:textId="77777777" w:rsidTr="006E31C0">
        <w:tc>
          <w:tcPr>
            <w:tcW w:w="993" w:type="dxa"/>
            <w:shd w:val="clear" w:color="auto" w:fill="auto"/>
          </w:tcPr>
          <w:p w14:paraId="42ED0838" w14:textId="77777777" w:rsidR="004C422D" w:rsidRPr="00543B6C" w:rsidRDefault="004C422D" w:rsidP="004C4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  <w:shd w:val="clear" w:color="auto" w:fill="auto"/>
          </w:tcPr>
          <w:p w14:paraId="42ED0839" w14:textId="77777777" w:rsidR="004C422D" w:rsidRPr="00543B6C" w:rsidRDefault="004C422D" w:rsidP="004C422D">
            <w:pPr>
              <w:jc w:val="center"/>
              <w:rPr>
                <w:sz w:val="22"/>
                <w:szCs w:val="22"/>
              </w:rPr>
            </w:pPr>
            <w:r w:rsidRPr="00543B6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2ED083A" w14:textId="77777777" w:rsidR="004C422D" w:rsidRPr="00543B6C" w:rsidRDefault="004C422D" w:rsidP="004C422D">
            <w:pPr>
              <w:jc w:val="center"/>
              <w:rPr>
                <w:sz w:val="22"/>
                <w:szCs w:val="22"/>
              </w:rPr>
            </w:pPr>
            <w:r w:rsidRPr="00543B6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2ED083B" w14:textId="77777777" w:rsidR="004C422D" w:rsidRPr="00543B6C" w:rsidRDefault="004C422D" w:rsidP="004C422D">
            <w:pPr>
              <w:jc w:val="center"/>
              <w:rPr>
                <w:sz w:val="22"/>
                <w:szCs w:val="22"/>
              </w:rPr>
            </w:pPr>
            <w:r w:rsidRPr="00543B6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2ED083C" w14:textId="77777777" w:rsidR="004C422D" w:rsidRPr="00543B6C" w:rsidRDefault="004C422D" w:rsidP="004C422D">
            <w:pPr>
              <w:jc w:val="center"/>
              <w:rPr>
                <w:sz w:val="22"/>
                <w:szCs w:val="22"/>
              </w:rPr>
            </w:pPr>
            <w:r w:rsidRPr="00543B6C">
              <w:rPr>
                <w:sz w:val="22"/>
                <w:szCs w:val="22"/>
              </w:rPr>
              <w:t>4</w:t>
            </w:r>
          </w:p>
        </w:tc>
      </w:tr>
      <w:tr w:rsidR="00D31563" w:rsidRPr="00D0090B" w14:paraId="42ED084A" w14:textId="77777777" w:rsidTr="006E31C0">
        <w:tc>
          <w:tcPr>
            <w:tcW w:w="993" w:type="dxa"/>
            <w:shd w:val="clear" w:color="auto" w:fill="auto"/>
          </w:tcPr>
          <w:p w14:paraId="42ED083E" w14:textId="77777777" w:rsidR="004C422D" w:rsidRPr="00D31563" w:rsidRDefault="004C422D" w:rsidP="006E31C0">
            <w:pPr>
              <w:jc w:val="center"/>
              <w:rPr>
                <w:color w:val="000000"/>
                <w:lang w:eastAsia="lt-LT"/>
              </w:rPr>
            </w:pPr>
          </w:p>
          <w:p w14:paraId="42ED083F" w14:textId="77777777" w:rsidR="004C422D" w:rsidRPr="00D31563" w:rsidRDefault="00D31563" w:rsidP="006E31C0">
            <w:pPr>
              <w:jc w:val="center"/>
              <w:rPr>
                <w:color w:val="000000"/>
                <w:lang w:eastAsia="lt-LT"/>
              </w:rPr>
            </w:pPr>
            <w:r w:rsidRPr="00D31563">
              <w:rPr>
                <w:color w:val="000000"/>
                <w:lang w:eastAsia="lt-LT"/>
              </w:rPr>
              <w:t>1.1.</w:t>
            </w:r>
          </w:p>
          <w:p w14:paraId="42ED0840" w14:textId="77777777" w:rsidR="004C422D" w:rsidRPr="00D31563" w:rsidRDefault="004C422D" w:rsidP="006E31C0">
            <w:pPr>
              <w:jc w:val="center"/>
              <w:rPr>
                <w:b/>
              </w:rPr>
            </w:pPr>
          </w:p>
        </w:tc>
        <w:tc>
          <w:tcPr>
            <w:tcW w:w="4958" w:type="dxa"/>
            <w:shd w:val="clear" w:color="auto" w:fill="auto"/>
          </w:tcPr>
          <w:p w14:paraId="42ED0841" w14:textId="77777777" w:rsidR="004C422D" w:rsidRDefault="004C422D" w:rsidP="004C422D">
            <w:pPr>
              <w:rPr>
                <w:color w:val="000000"/>
                <w:sz w:val="21"/>
                <w:szCs w:val="21"/>
                <w:lang w:eastAsia="lt-LT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Geriamojo vandens tiekimo ir nuotekų tvarkymo </w:t>
            </w:r>
          </w:p>
          <w:p w14:paraId="42ED0842" w14:textId="77777777" w:rsidR="004C422D" w:rsidRDefault="004C422D" w:rsidP="004C422D">
            <w:pPr>
              <w:rPr>
                <w:color w:val="000000"/>
                <w:sz w:val="21"/>
                <w:szCs w:val="21"/>
                <w:lang w:eastAsia="lt-LT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paslaugų kainos vartotojams, kuriems vanduo </w:t>
            </w:r>
          </w:p>
          <w:p w14:paraId="42ED0843" w14:textId="77777777" w:rsidR="004C422D" w:rsidRPr="00D0090B" w:rsidRDefault="004C422D" w:rsidP="004C422D">
            <w:pPr>
              <w:rPr>
                <w:b/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apskaitomas </w:t>
            </w:r>
            <w:r w:rsidRPr="00DF42DB">
              <w:rPr>
                <w:b/>
                <w:color w:val="000000"/>
                <w:sz w:val="21"/>
                <w:szCs w:val="21"/>
                <w:lang w:eastAsia="lt-LT"/>
              </w:rPr>
              <w:t>bute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>, Eur/</w:t>
            </w:r>
            <w:r>
              <w:rPr>
                <w:color w:val="000000"/>
                <w:sz w:val="21"/>
                <w:szCs w:val="21"/>
                <w:lang w:eastAsia="lt-LT"/>
              </w:rPr>
              <w:t>m³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2ED0844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</w:p>
          <w:p w14:paraId="42ED0845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  <w:r w:rsidRPr="005470C1">
              <w:rPr>
                <w:b/>
                <w:sz w:val="22"/>
                <w:szCs w:val="22"/>
              </w:rPr>
              <w:t>1,</w:t>
            </w:r>
            <w:r>
              <w:rPr>
                <w:b/>
                <w:sz w:val="22"/>
                <w:szCs w:val="22"/>
              </w:rPr>
              <w:t>32</w:t>
            </w:r>
            <w:r w:rsidRPr="005470C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46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</w:p>
          <w:p w14:paraId="42ED0847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  <w:r w:rsidRPr="005470C1">
              <w:rPr>
                <w:b/>
                <w:sz w:val="22"/>
                <w:szCs w:val="22"/>
              </w:rPr>
              <w:t>1,</w:t>
            </w: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42ED0848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</w:p>
          <w:p w14:paraId="42ED0849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  <w:r w:rsidRPr="005470C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2,3</w:t>
            </w:r>
          </w:p>
        </w:tc>
      </w:tr>
      <w:tr w:rsidR="00D31563" w:rsidRPr="00DA2323" w14:paraId="42ED0850" w14:textId="77777777" w:rsidTr="006E31C0">
        <w:tc>
          <w:tcPr>
            <w:tcW w:w="993" w:type="dxa"/>
            <w:shd w:val="clear" w:color="auto" w:fill="auto"/>
          </w:tcPr>
          <w:p w14:paraId="42ED084B" w14:textId="77777777" w:rsidR="004C422D" w:rsidRPr="00D31563" w:rsidRDefault="00D31563" w:rsidP="006E31C0">
            <w:pPr>
              <w:jc w:val="center"/>
            </w:pPr>
            <w:r w:rsidRPr="00D31563">
              <w:t>1.1.</w:t>
            </w:r>
            <w:r>
              <w:t>1</w:t>
            </w:r>
            <w:r w:rsidRPr="00D31563">
              <w:t>.</w:t>
            </w:r>
          </w:p>
        </w:tc>
        <w:tc>
          <w:tcPr>
            <w:tcW w:w="4958" w:type="dxa"/>
            <w:shd w:val="clear" w:color="auto" w:fill="auto"/>
          </w:tcPr>
          <w:p w14:paraId="42ED084C" w14:textId="77777777" w:rsidR="004C422D" w:rsidRPr="00D0090B" w:rsidRDefault="004C422D" w:rsidP="004C422D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Geriamojo vandens tiekimo</w:t>
            </w:r>
          </w:p>
        </w:tc>
        <w:tc>
          <w:tcPr>
            <w:tcW w:w="1276" w:type="dxa"/>
            <w:shd w:val="clear" w:color="auto" w:fill="auto"/>
          </w:tcPr>
          <w:p w14:paraId="42ED084D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6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4E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8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4F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70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D31563" w:rsidRPr="00DA2323" w14:paraId="42ED0856" w14:textId="77777777" w:rsidTr="006E31C0">
        <w:tc>
          <w:tcPr>
            <w:tcW w:w="993" w:type="dxa"/>
            <w:shd w:val="clear" w:color="auto" w:fill="auto"/>
          </w:tcPr>
          <w:p w14:paraId="42ED0851" w14:textId="77777777" w:rsidR="004C422D" w:rsidRPr="00D31563" w:rsidRDefault="00D31563" w:rsidP="006E31C0">
            <w:pPr>
              <w:jc w:val="center"/>
            </w:pPr>
            <w:r>
              <w:t>1.</w:t>
            </w:r>
            <w:r w:rsidRPr="00D31563">
              <w:t>1.2.</w:t>
            </w:r>
          </w:p>
        </w:tc>
        <w:tc>
          <w:tcPr>
            <w:tcW w:w="4958" w:type="dxa"/>
            <w:shd w:val="clear" w:color="auto" w:fill="auto"/>
          </w:tcPr>
          <w:p w14:paraId="42ED0852" w14:textId="77777777" w:rsidR="004C422D" w:rsidRPr="00D0090B" w:rsidRDefault="004C422D" w:rsidP="004C422D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Nuotekų tvarkymo:</w:t>
            </w:r>
          </w:p>
        </w:tc>
        <w:tc>
          <w:tcPr>
            <w:tcW w:w="1276" w:type="dxa"/>
            <w:shd w:val="clear" w:color="auto" w:fill="auto"/>
          </w:tcPr>
          <w:p w14:paraId="42ED0853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76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54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71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55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  <w:r w:rsidRPr="005470C1">
              <w:rPr>
                <w:sz w:val="22"/>
                <w:szCs w:val="22"/>
              </w:rPr>
              <w:t>,6</w:t>
            </w:r>
          </w:p>
        </w:tc>
      </w:tr>
      <w:tr w:rsidR="00D31563" w:rsidRPr="00DA2323" w14:paraId="42ED085C" w14:textId="77777777" w:rsidTr="006E31C0">
        <w:tc>
          <w:tcPr>
            <w:tcW w:w="993" w:type="dxa"/>
            <w:shd w:val="clear" w:color="auto" w:fill="auto"/>
          </w:tcPr>
          <w:p w14:paraId="42ED0857" w14:textId="77777777" w:rsidR="004C422D" w:rsidRPr="00D31563" w:rsidRDefault="00D31563" w:rsidP="006E31C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  <w:r w:rsidRPr="00D31563">
              <w:rPr>
                <w:color w:val="000000"/>
                <w:lang w:eastAsia="lt-LT"/>
              </w:rPr>
              <w:t>1.</w:t>
            </w:r>
            <w:r>
              <w:rPr>
                <w:color w:val="000000"/>
                <w:lang w:eastAsia="lt-LT"/>
              </w:rPr>
              <w:t>2</w:t>
            </w:r>
            <w:r w:rsidRPr="00D31563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4958" w:type="dxa"/>
            <w:shd w:val="clear" w:color="auto" w:fill="auto"/>
          </w:tcPr>
          <w:p w14:paraId="42ED0858" w14:textId="77777777" w:rsidR="004C422D" w:rsidRPr="00181D49" w:rsidRDefault="004C422D" w:rsidP="004C42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lt-LT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nuotekų surinkimo </w:t>
            </w:r>
          </w:p>
        </w:tc>
        <w:tc>
          <w:tcPr>
            <w:tcW w:w="1276" w:type="dxa"/>
            <w:shd w:val="clear" w:color="auto" w:fill="auto"/>
          </w:tcPr>
          <w:p w14:paraId="42ED0859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42ED085A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5470C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</w:tcPr>
          <w:p w14:paraId="42ED085B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470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D31563" w:rsidRPr="00DA2323" w14:paraId="42ED0862" w14:textId="77777777" w:rsidTr="006E31C0">
        <w:tc>
          <w:tcPr>
            <w:tcW w:w="993" w:type="dxa"/>
            <w:shd w:val="clear" w:color="auto" w:fill="auto"/>
          </w:tcPr>
          <w:p w14:paraId="42ED085D" w14:textId="77777777" w:rsidR="004C422D" w:rsidRPr="00D31563" w:rsidRDefault="00D31563" w:rsidP="006E31C0">
            <w:pPr>
              <w:jc w:val="center"/>
            </w:pPr>
            <w:r>
              <w:t>1.1.2.2</w:t>
            </w:r>
          </w:p>
        </w:tc>
        <w:tc>
          <w:tcPr>
            <w:tcW w:w="4958" w:type="dxa"/>
            <w:shd w:val="clear" w:color="auto" w:fill="auto"/>
          </w:tcPr>
          <w:p w14:paraId="42ED085E" w14:textId="77777777" w:rsidR="004C422D" w:rsidRPr="00D0090B" w:rsidRDefault="004C422D" w:rsidP="004C422D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nuotekų valymo</w:t>
            </w:r>
          </w:p>
        </w:tc>
        <w:tc>
          <w:tcPr>
            <w:tcW w:w="1276" w:type="dxa"/>
            <w:shd w:val="clear" w:color="auto" w:fill="auto"/>
          </w:tcPr>
          <w:p w14:paraId="42ED085F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5470C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14:paraId="42ED0860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5470C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  <w:shd w:val="clear" w:color="auto" w:fill="auto"/>
          </w:tcPr>
          <w:p w14:paraId="42ED0861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0</w:t>
            </w:r>
            <w:r w:rsidRPr="005470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D31563" w:rsidRPr="00DA2323" w14:paraId="42ED0868" w14:textId="77777777" w:rsidTr="006E31C0">
        <w:tc>
          <w:tcPr>
            <w:tcW w:w="993" w:type="dxa"/>
            <w:shd w:val="clear" w:color="auto" w:fill="auto"/>
          </w:tcPr>
          <w:p w14:paraId="42ED0863" w14:textId="77777777" w:rsidR="004C422D" w:rsidRPr="00D31563" w:rsidRDefault="006E31C0" w:rsidP="006E31C0">
            <w:pPr>
              <w:ind w:hanging="392"/>
              <w:jc w:val="center"/>
            </w:pPr>
            <w:r>
              <w:t xml:space="preserve">        </w:t>
            </w:r>
            <w:r w:rsidR="00D31563" w:rsidRPr="00D31563">
              <w:t>1.1.2.3</w:t>
            </w:r>
          </w:p>
        </w:tc>
        <w:tc>
          <w:tcPr>
            <w:tcW w:w="4958" w:type="dxa"/>
            <w:shd w:val="clear" w:color="auto" w:fill="auto"/>
          </w:tcPr>
          <w:p w14:paraId="42ED0864" w14:textId="77777777" w:rsidR="004C422D" w:rsidRPr="00D0090B" w:rsidRDefault="004C422D" w:rsidP="004C422D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dumblo tvarkymo</w:t>
            </w:r>
          </w:p>
        </w:tc>
        <w:tc>
          <w:tcPr>
            <w:tcW w:w="1276" w:type="dxa"/>
            <w:shd w:val="clear" w:color="auto" w:fill="auto"/>
          </w:tcPr>
          <w:p w14:paraId="42ED0865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17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66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42ED0867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</w:t>
            </w:r>
            <w:r w:rsidRPr="005470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D31563" w:rsidRPr="00DA2323" w14:paraId="42ED0875" w14:textId="77777777" w:rsidTr="006E31C0">
        <w:tc>
          <w:tcPr>
            <w:tcW w:w="993" w:type="dxa"/>
            <w:shd w:val="clear" w:color="auto" w:fill="auto"/>
          </w:tcPr>
          <w:p w14:paraId="42ED0869" w14:textId="77777777" w:rsidR="004C422D" w:rsidRDefault="004C422D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</w:p>
          <w:p w14:paraId="42ED086A" w14:textId="77777777" w:rsidR="004C422D" w:rsidRDefault="00D31563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1.2.</w:t>
            </w:r>
          </w:p>
          <w:p w14:paraId="42ED086B" w14:textId="77777777" w:rsidR="004C422D" w:rsidRPr="00D0090B" w:rsidRDefault="004C422D" w:rsidP="006E31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8" w:type="dxa"/>
            <w:shd w:val="clear" w:color="auto" w:fill="auto"/>
          </w:tcPr>
          <w:p w14:paraId="42ED086C" w14:textId="77777777" w:rsidR="004C422D" w:rsidRDefault="004C422D" w:rsidP="004C422D">
            <w:pPr>
              <w:rPr>
                <w:color w:val="000000"/>
                <w:sz w:val="21"/>
                <w:szCs w:val="21"/>
                <w:lang w:eastAsia="lt-LT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Geriamojo vandens tiekimo ir nuotekų tvarkymo </w:t>
            </w:r>
          </w:p>
          <w:p w14:paraId="42ED086D" w14:textId="77777777" w:rsidR="004C422D" w:rsidRDefault="004C422D" w:rsidP="004C422D">
            <w:pPr>
              <w:rPr>
                <w:color w:val="000000"/>
                <w:sz w:val="21"/>
                <w:szCs w:val="21"/>
                <w:lang w:eastAsia="lt-LT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paslaugų kainos vartotojams, kuriems vanduo </w:t>
            </w:r>
          </w:p>
          <w:p w14:paraId="42ED086E" w14:textId="77777777" w:rsidR="004C422D" w:rsidRPr="00D0090B" w:rsidRDefault="004C422D" w:rsidP="004C422D">
            <w:pPr>
              <w:rPr>
                <w:b/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apskaitomas </w:t>
            </w:r>
            <w:r w:rsidRPr="00DF42DB">
              <w:rPr>
                <w:b/>
                <w:color w:val="000000"/>
                <w:sz w:val="21"/>
                <w:szCs w:val="21"/>
                <w:lang w:eastAsia="lt-LT"/>
              </w:rPr>
              <w:t>individualiame name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>, Eur/</w:t>
            </w:r>
            <w:r>
              <w:rPr>
                <w:color w:val="000000"/>
                <w:sz w:val="21"/>
                <w:szCs w:val="21"/>
                <w:lang w:eastAsia="lt-LT"/>
              </w:rPr>
              <w:t>m³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2ED086F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</w:p>
          <w:p w14:paraId="42ED0870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  <w:r w:rsidRPr="005470C1">
              <w:rPr>
                <w:b/>
                <w:sz w:val="22"/>
                <w:szCs w:val="22"/>
              </w:rPr>
              <w:t>1,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42ED0871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</w:p>
          <w:p w14:paraId="42ED0872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  <w:r w:rsidRPr="005470C1">
              <w:rPr>
                <w:b/>
                <w:sz w:val="22"/>
                <w:szCs w:val="22"/>
              </w:rPr>
              <w:t>1,2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42ED0873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</w:p>
          <w:p w14:paraId="42ED0874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4,1</w:t>
            </w:r>
          </w:p>
        </w:tc>
      </w:tr>
      <w:tr w:rsidR="004C422D" w:rsidRPr="00DA2323" w14:paraId="42ED087B" w14:textId="77777777" w:rsidTr="006E31C0">
        <w:tc>
          <w:tcPr>
            <w:tcW w:w="993" w:type="dxa"/>
            <w:shd w:val="clear" w:color="auto" w:fill="auto"/>
          </w:tcPr>
          <w:p w14:paraId="42ED0876" w14:textId="77777777" w:rsidR="004C422D" w:rsidRPr="00D0090B" w:rsidRDefault="00D31563" w:rsidP="006E3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958" w:type="dxa"/>
            <w:shd w:val="clear" w:color="auto" w:fill="auto"/>
          </w:tcPr>
          <w:p w14:paraId="42ED0877" w14:textId="77777777" w:rsidR="004C422D" w:rsidRPr="00D0090B" w:rsidRDefault="004C422D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Geriamojo vandens tiekimo</w:t>
            </w:r>
          </w:p>
        </w:tc>
        <w:tc>
          <w:tcPr>
            <w:tcW w:w="1276" w:type="dxa"/>
            <w:shd w:val="clear" w:color="auto" w:fill="auto"/>
          </w:tcPr>
          <w:p w14:paraId="42ED0878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2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79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7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7A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 w:rsidR="004C422D" w:rsidRPr="00DA2323" w14:paraId="42ED0881" w14:textId="77777777" w:rsidTr="006E31C0">
        <w:tc>
          <w:tcPr>
            <w:tcW w:w="993" w:type="dxa"/>
            <w:shd w:val="clear" w:color="auto" w:fill="auto"/>
          </w:tcPr>
          <w:p w14:paraId="42ED087C" w14:textId="77777777" w:rsidR="004C422D" w:rsidRPr="00D0090B" w:rsidRDefault="00D31563" w:rsidP="006E3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4958" w:type="dxa"/>
            <w:shd w:val="clear" w:color="auto" w:fill="auto"/>
          </w:tcPr>
          <w:p w14:paraId="42ED087D" w14:textId="77777777" w:rsidR="004C422D" w:rsidRPr="00D0090B" w:rsidRDefault="004C422D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Nuotekų tvarkymo:</w:t>
            </w:r>
          </w:p>
        </w:tc>
        <w:tc>
          <w:tcPr>
            <w:tcW w:w="1276" w:type="dxa"/>
            <w:shd w:val="clear" w:color="auto" w:fill="auto"/>
          </w:tcPr>
          <w:p w14:paraId="42ED087E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  <w:r w:rsidRPr="005470C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14:paraId="42ED087F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69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80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</w:t>
            </w:r>
          </w:p>
        </w:tc>
      </w:tr>
      <w:tr w:rsidR="004C422D" w:rsidRPr="00DA2323" w14:paraId="42ED0887" w14:textId="77777777" w:rsidTr="006E31C0">
        <w:tc>
          <w:tcPr>
            <w:tcW w:w="993" w:type="dxa"/>
            <w:shd w:val="clear" w:color="auto" w:fill="auto"/>
          </w:tcPr>
          <w:p w14:paraId="42ED0882" w14:textId="77777777" w:rsidR="004C422D" w:rsidRPr="00181D49" w:rsidRDefault="00D31563" w:rsidP="006E3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1.2.2.1</w:t>
            </w:r>
          </w:p>
        </w:tc>
        <w:tc>
          <w:tcPr>
            <w:tcW w:w="4958" w:type="dxa"/>
            <w:shd w:val="clear" w:color="auto" w:fill="auto"/>
          </w:tcPr>
          <w:p w14:paraId="42ED0883" w14:textId="77777777" w:rsidR="004C422D" w:rsidRPr="00181D49" w:rsidRDefault="004C422D" w:rsidP="00625D5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lt-LT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nuotekų surinkimo </w:t>
            </w:r>
          </w:p>
        </w:tc>
        <w:tc>
          <w:tcPr>
            <w:tcW w:w="1276" w:type="dxa"/>
            <w:shd w:val="clear" w:color="auto" w:fill="auto"/>
          </w:tcPr>
          <w:p w14:paraId="42ED0884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8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85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5470C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</w:tcPr>
          <w:p w14:paraId="42ED0886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</w:t>
            </w:r>
          </w:p>
        </w:tc>
      </w:tr>
      <w:tr w:rsidR="004C422D" w:rsidRPr="00DA2323" w14:paraId="42ED088D" w14:textId="77777777" w:rsidTr="006E31C0">
        <w:tc>
          <w:tcPr>
            <w:tcW w:w="993" w:type="dxa"/>
            <w:shd w:val="clear" w:color="auto" w:fill="auto"/>
          </w:tcPr>
          <w:p w14:paraId="42ED0888" w14:textId="77777777" w:rsidR="004C422D" w:rsidRPr="00D31563" w:rsidRDefault="00D31563" w:rsidP="006E31C0">
            <w:pPr>
              <w:jc w:val="center"/>
            </w:pPr>
            <w:r w:rsidRPr="00D31563">
              <w:t>1.2.2.2</w:t>
            </w:r>
          </w:p>
        </w:tc>
        <w:tc>
          <w:tcPr>
            <w:tcW w:w="4958" w:type="dxa"/>
            <w:shd w:val="clear" w:color="auto" w:fill="auto"/>
          </w:tcPr>
          <w:p w14:paraId="42ED0889" w14:textId="77777777" w:rsidR="004C422D" w:rsidRPr="00D0090B" w:rsidRDefault="004C422D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nuotekų valymo</w:t>
            </w:r>
          </w:p>
        </w:tc>
        <w:tc>
          <w:tcPr>
            <w:tcW w:w="1276" w:type="dxa"/>
            <w:shd w:val="clear" w:color="auto" w:fill="auto"/>
          </w:tcPr>
          <w:p w14:paraId="42ED088A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42ED088B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22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8C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-15,4</w:t>
            </w:r>
          </w:p>
        </w:tc>
      </w:tr>
      <w:tr w:rsidR="004C422D" w:rsidRPr="00DA2323" w14:paraId="42ED0893" w14:textId="77777777" w:rsidTr="006E31C0">
        <w:tc>
          <w:tcPr>
            <w:tcW w:w="993" w:type="dxa"/>
            <w:shd w:val="clear" w:color="auto" w:fill="auto"/>
          </w:tcPr>
          <w:p w14:paraId="42ED088E" w14:textId="77777777" w:rsidR="004C422D" w:rsidRPr="00D31563" w:rsidRDefault="00D31563" w:rsidP="006E31C0">
            <w:pPr>
              <w:jc w:val="center"/>
            </w:pPr>
            <w:r>
              <w:t>1.2.2.3</w:t>
            </w:r>
          </w:p>
        </w:tc>
        <w:tc>
          <w:tcPr>
            <w:tcW w:w="4958" w:type="dxa"/>
            <w:shd w:val="clear" w:color="auto" w:fill="auto"/>
          </w:tcPr>
          <w:p w14:paraId="42ED088F" w14:textId="77777777" w:rsidR="004C422D" w:rsidRPr="00D0090B" w:rsidRDefault="004C422D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dumblo tvarkymo</w:t>
            </w:r>
          </w:p>
        </w:tc>
        <w:tc>
          <w:tcPr>
            <w:tcW w:w="1276" w:type="dxa"/>
            <w:shd w:val="clear" w:color="auto" w:fill="auto"/>
          </w:tcPr>
          <w:p w14:paraId="42ED0890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42ED0891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15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92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</w:t>
            </w:r>
          </w:p>
        </w:tc>
      </w:tr>
      <w:tr w:rsidR="004C422D" w:rsidRPr="00D0090B" w14:paraId="42ED089E" w14:textId="77777777" w:rsidTr="006E31C0">
        <w:tc>
          <w:tcPr>
            <w:tcW w:w="993" w:type="dxa"/>
            <w:shd w:val="clear" w:color="auto" w:fill="auto"/>
          </w:tcPr>
          <w:p w14:paraId="42ED0894" w14:textId="77777777" w:rsidR="004C422D" w:rsidRPr="006E31C0" w:rsidRDefault="004C422D" w:rsidP="006E31C0">
            <w:pPr>
              <w:jc w:val="center"/>
              <w:rPr>
                <w:color w:val="000000"/>
                <w:lang w:eastAsia="lt-LT"/>
              </w:rPr>
            </w:pPr>
          </w:p>
          <w:p w14:paraId="42ED0895" w14:textId="77777777" w:rsidR="004C422D" w:rsidRPr="00D31563" w:rsidRDefault="00D31563" w:rsidP="006E31C0">
            <w:pPr>
              <w:jc w:val="center"/>
              <w:rPr>
                <w:b/>
              </w:rPr>
            </w:pPr>
            <w:r w:rsidRPr="006E31C0">
              <w:t>1.3.</w:t>
            </w:r>
          </w:p>
        </w:tc>
        <w:tc>
          <w:tcPr>
            <w:tcW w:w="4958" w:type="dxa"/>
            <w:shd w:val="clear" w:color="auto" w:fill="auto"/>
          </w:tcPr>
          <w:p w14:paraId="42ED0896" w14:textId="77777777" w:rsidR="004C422D" w:rsidRDefault="004C422D" w:rsidP="00625D5F">
            <w:pPr>
              <w:jc w:val="both"/>
              <w:rPr>
                <w:color w:val="000000"/>
                <w:sz w:val="21"/>
                <w:szCs w:val="21"/>
                <w:lang w:eastAsia="lt-LT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Geriamojo vandens tiekimo ir nuotekų tvarkymo </w:t>
            </w:r>
          </w:p>
          <w:p w14:paraId="42ED0897" w14:textId="77777777" w:rsidR="004C422D" w:rsidRPr="00D0090B" w:rsidRDefault="004C422D" w:rsidP="00625D5F">
            <w:pPr>
              <w:jc w:val="both"/>
              <w:rPr>
                <w:b/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paslaugų kainos </w:t>
            </w:r>
            <w:r w:rsidRPr="00DF42DB">
              <w:rPr>
                <w:b/>
                <w:color w:val="000000"/>
                <w:sz w:val="21"/>
                <w:szCs w:val="21"/>
                <w:lang w:eastAsia="lt-LT"/>
              </w:rPr>
              <w:t>abonentams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>, Eur/</w:t>
            </w:r>
            <w:r>
              <w:rPr>
                <w:color w:val="000000"/>
                <w:sz w:val="21"/>
                <w:szCs w:val="21"/>
                <w:lang w:eastAsia="lt-LT"/>
              </w:rPr>
              <w:t>m³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2ED0898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</w:p>
          <w:p w14:paraId="42ED0899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  <w:r w:rsidRPr="005470C1">
              <w:rPr>
                <w:b/>
                <w:sz w:val="22"/>
                <w:szCs w:val="22"/>
              </w:rPr>
              <w:t>1,</w:t>
            </w: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14:paraId="42ED089A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</w:p>
          <w:p w14:paraId="42ED089B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  <w:r w:rsidRPr="005470C1">
              <w:rPr>
                <w:b/>
                <w:sz w:val="22"/>
                <w:szCs w:val="22"/>
              </w:rPr>
              <w:t>1,3</w:t>
            </w:r>
            <w:r>
              <w:rPr>
                <w:b/>
                <w:sz w:val="22"/>
                <w:szCs w:val="22"/>
              </w:rPr>
              <w:t>3</w:t>
            </w:r>
            <w:r w:rsidRPr="005470C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9C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</w:p>
          <w:p w14:paraId="42ED089D" w14:textId="77777777" w:rsidR="004C422D" w:rsidRPr="005470C1" w:rsidRDefault="004C422D" w:rsidP="004C42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</w:tr>
      <w:tr w:rsidR="004C422D" w:rsidRPr="00DA2323" w14:paraId="42ED08A4" w14:textId="77777777" w:rsidTr="006E31C0">
        <w:tc>
          <w:tcPr>
            <w:tcW w:w="993" w:type="dxa"/>
            <w:shd w:val="clear" w:color="auto" w:fill="auto"/>
          </w:tcPr>
          <w:p w14:paraId="42ED089F" w14:textId="77777777" w:rsidR="004C422D" w:rsidRPr="00D31563" w:rsidRDefault="00D31563" w:rsidP="006E31C0">
            <w:pPr>
              <w:jc w:val="center"/>
            </w:pPr>
            <w:r>
              <w:t>1.3.1.</w:t>
            </w:r>
          </w:p>
        </w:tc>
        <w:tc>
          <w:tcPr>
            <w:tcW w:w="4958" w:type="dxa"/>
            <w:shd w:val="clear" w:color="auto" w:fill="auto"/>
          </w:tcPr>
          <w:p w14:paraId="42ED08A0" w14:textId="77777777" w:rsidR="004C422D" w:rsidRPr="00D0090B" w:rsidRDefault="004C422D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Geriamojo vandens tiekimo</w:t>
            </w:r>
          </w:p>
        </w:tc>
        <w:tc>
          <w:tcPr>
            <w:tcW w:w="1276" w:type="dxa"/>
            <w:shd w:val="clear" w:color="auto" w:fill="auto"/>
          </w:tcPr>
          <w:p w14:paraId="42ED08A1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59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A2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  <w:r w:rsidRPr="005470C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559" w:type="dxa"/>
            <w:shd w:val="clear" w:color="auto" w:fill="auto"/>
          </w:tcPr>
          <w:p w14:paraId="42ED08A3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4C422D" w:rsidRPr="00DA2323" w14:paraId="42ED08AA" w14:textId="77777777" w:rsidTr="006E31C0">
        <w:tc>
          <w:tcPr>
            <w:tcW w:w="993" w:type="dxa"/>
            <w:shd w:val="clear" w:color="auto" w:fill="auto"/>
          </w:tcPr>
          <w:p w14:paraId="42ED08A5" w14:textId="77777777" w:rsidR="004C422D" w:rsidRPr="00D31563" w:rsidRDefault="00D31563" w:rsidP="006E31C0">
            <w:pPr>
              <w:jc w:val="center"/>
            </w:pPr>
            <w:r>
              <w:t>1.3.2.</w:t>
            </w:r>
          </w:p>
        </w:tc>
        <w:tc>
          <w:tcPr>
            <w:tcW w:w="4958" w:type="dxa"/>
            <w:shd w:val="clear" w:color="auto" w:fill="auto"/>
          </w:tcPr>
          <w:p w14:paraId="42ED08A6" w14:textId="77777777" w:rsidR="004C422D" w:rsidRPr="00D0090B" w:rsidRDefault="004C422D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Nuotekų tvarkymo:</w:t>
            </w:r>
          </w:p>
        </w:tc>
        <w:tc>
          <w:tcPr>
            <w:tcW w:w="1276" w:type="dxa"/>
            <w:shd w:val="clear" w:color="auto" w:fill="auto"/>
          </w:tcPr>
          <w:p w14:paraId="42ED08A7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  <w:r w:rsidRPr="005470C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14:paraId="42ED08A8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A9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,4</w:t>
            </w:r>
          </w:p>
        </w:tc>
      </w:tr>
      <w:tr w:rsidR="004C422D" w:rsidRPr="00DA2323" w14:paraId="42ED08B0" w14:textId="77777777" w:rsidTr="006E31C0">
        <w:tc>
          <w:tcPr>
            <w:tcW w:w="993" w:type="dxa"/>
            <w:shd w:val="clear" w:color="auto" w:fill="auto"/>
          </w:tcPr>
          <w:p w14:paraId="42ED08AB" w14:textId="77777777" w:rsidR="004C422D" w:rsidRPr="00D31563" w:rsidRDefault="00D31563" w:rsidP="006E31C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1.3.2.1</w:t>
            </w:r>
          </w:p>
        </w:tc>
        <w:tc>
          <w:tcPr>
            <w:tcW w:w="4958" w:type="dxa"/>
            <w:shd w:val="clear" w:color="auto" w:fill="auto"/>
          </w:tcPr>
          <w:p w14:paraId="42ED08AC" w14:textId="77777777" w:rsidR="004C422D" w:rsidRPr="00181D49" w:rsidRDefault="004C422D" w:rsidP="00625D5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lt-LT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nuotekų surinkimo </w:t>
            </w:r>
          </w:p>
        </w:tc>
        <w:tc>
          <w:tcPr>
            <w:tcW w:w="1276" w:type="dxa"/>
            <w:shd w:val="clear" w:color="auto" w:fill="auto"/>
          </w:tcPr>
          <w:p w14:paraId="42ED08AD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8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AE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31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AF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4C422D" w:rsidRPr="00DA2323" w14:paraId="42ED08B6" w14:textId="77777777" w:rsidTr="006E31C0">
        <w:tc>
          <w:tcPr>
            <w:tcW w:w="993" w:type="dxa"/>
            <w:shd w:val="clear" w:color="auto" w:fill="auto"/>
          </w:tcPr>
          <w:p w14:paraId="42ED08B1" w14:textId="77777777" w:rsidR="004C422D" w:rsidRPr="00D31563" w:rsidRDefault="00D31563" w:rsidP="006E31C0">
            <w:pPr>
              <w:jc w:val="center"/>
            </w:pPr>
            <w:r>
              <w:t>1.3.2.2</w:t>
            </w:r>
          </w:p>
        </w:tc>
        <w:tc>
          <w:tcPr>
            <w:tcW w:w="4958" w:type="dxa"/>
            <w:shd w:val="clear" w:color="auto" w:fill="auto"/>
          </w:tcPr>
          <w:p w14:paraId="42ED08B2" w14:textId="77777777" w:rsidR="004C422D" w:rsidRPr="00D0090B" w:rsidRDefault="004C422D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nuotekų valymo</w:t>
            </w:r>
          </w:p>
        </w:tc>
        <w:tc>
          <w:tcPr>
            <w:tcW w:w="1276" w:type="dxa"/>
            <w:shd w:val="clear" w:color="auto" w:fill="auto"/>
          </w:tcPr>
          <w:p w14:paraId="42ED08B3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42ED08B4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22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B5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15,4</w:t>
            </w:r>
          </w:p>
        </w:tc>
      </w:tr>
      <w:tr w:rsidR="004C422D" w:rsidRPr="00DA2323" w14:paraId="42ED08BC" w14:textId="77777777" w:rsidTr="006E31C0">
        <w:tc>
          <w:tcPr>
            <w:tcW w:w="993" w:type="dxa"/>
            <w:shd w:val="clear" w:color="auto" w:fill="auto"/>
          </w:tcPr>
          <w:p w14:paraId="42ED08B7" w14:textId="77777777" w:rsidR="004C422D" w:rsidRPr="00D31563" w:rsidRDefault="00D31563" w:rsidP="006E31C0">
            <w:pPr>
              <w:jc w:val="center"/>
            </w:pPr>
            <w:r>
              <w:t>1.3.2.3</w:t>
            </w:r>
          </w:p>
        </w:tc>
        <w:tc>
          <w:tcPr>
            <w:tcW w:w="4958" w:type="dxa"/>
            <w:shd w:val="clear" w:color="auto" w:fill="auto"/>
          </w:tcPr>
          <w:p w14:paraId="42ED08B8" w14:textId="77777777" w:rsidR="004C422D" w:rsidRPr="00D0090B" w:rsidRDefault="004C422D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dumblo tvarkymo</w:t>
            </w:r>
          </w:p>
        </w:tc>
        <w:tc>
          <w:tcPr>
            <w:tcW w:w="1276" w:type="dxa"/>
            <w:shd w:val="clear" w:color="auto" w:fill="auto"/>
          </w:tcPr>
          <w:p w14:paraId="42ED08B9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42ED08BA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42ED08BB" w14:textId="77777777" w:rsidR="004C422D" w:rsidRPr="005470C1" w:rsidRDefault="004C422D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</w:t>
            </w:r>
          </w:p>
        </w:tc>
      </w:tr>
      <w:tr w:rsidR="00E219B8" w:rsidRPr="00DA2323" w14:paraId="42ED08C5" w14:textId="77777777" w:rsidTr="00CF1EE7">
        <w:tc>
          <w:tcPr>
            <w:tcW w:w="993" w:type="dxa"/>
            <w:shd w:val="clear" w:color="auto" w:fill="auto"/>
          </w:tcPr>
          <w:p w14:paraId="42ED08BD" w14:textId="77777777" w:rsidR="00E219B8" w:rsidRPr="00D31563" w:rsidRDefault="00E219B8" w:rsidP="006E31C0">
            <w:pPr>
              <w:jc w:val="center"/>
              <w:rPr>
                <w:color w:val="000000"/>
                <w:lang w:eastAsia="lt-LT"/>
              </w:rPr>
            </w:pPr>
          </w:p>
          <w:p w14:paraId="42ED08BE" w14:textId="77777777" w:rsidR="00E219B8" w:rsidRPr="00D31563" w:rsidRDefault="00D31563" w:rsidP="006E31C0">
            <w:pPr>
              <w:jc w:val="center"/>
              <w:rPr>
                <w:b/>
              </w:rPr>
            </w:pPr>
            <w:r w:rsidRPr="006E31C0">
              <w:t>1.4</w:t>
            </w:r>
            <w:r>
              <w:rPr>
                <w:b/>
              </w:rPr>
              <w:t>.</w:t>
            </w:r>
          </w:p>
        </w:tc>
        <w:tc>
          <w:tcPr>
            <w:tcW w:w="4958" w:type="dxa"/>
            <w:shd w:val="clear" w:color="auto" w:fill="auto"/>
          </w:tcPr>
          <w:p w14:paraId="42ED08BF" w14:textId="77777777" w:rsidR="00E219B8" w:rsidRPr="00D0090B" w:rsidRDefault="00E219B8" w:rsidP="00625D5F">
            <w:pPr>
              <w:rPr>
                <w:b/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Geriamojo vandens tiekimo ir nuotekų tvarkymo paslaugų kainos </w:t>
            </w:r>
            <w:r>
              <w:rPr>
                <w:color w:val="000000"/>
                <w:sz w:val="21"/>
                <w:szCs w:val="21"/>
                <w:lang w:eastAsia="lt-LT"/>
              </w:rPr>
              <w:t>abonent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ams, </w:t>
            </w:r>
            <w:r>
              <w:rPr>
                <w:color w:val="000000"/>
                <w:sz w:val="21"/>
                <w:szCs w:val="21"/>
                <w:lang w:eastAsia="lt-LT"/>
              </w:rPr>
              <w:t>perkant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iems </w:t>
            </w:r>
            <w:r>
              <w:rPr>
                <w:color w:val="000000"/>
                <w:sz w:val="21"/>
                <w:szCs w:val="21"/>
                <w:lang w:eastAsia="lt-LT"/>
              </w:rPr>
              <w:t xml:space="preserve">geriamąjį     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>vand</w:t>
            </w:r>
            <w:r>
              <w:rPr>
                <w:color w:val="000000"/>
                <w:sz w:val="21"/>
                <w:szCs w:val="21"/>
                <w:lang w:eastAsia="lt-LT"/>
              </w:rPr>
              <w:t>enį patalpoms šildyti ir karštam vandeniui ruošti</w:t>
            </w:r>
            <w:r w:rsidR="00625D5F">
              <w:rPr>
                <w:color w:val="000000"/>
                <w:sz w:val="21"/>
                <w:szCs w:val="21"/>
                <w:lang w:eastAsia="lt-LT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lt-LT"/>
              </w:rPr>
              <w:t xml:space="preserve">ir vartotojų grupei, atsiskaitančiai </w:t>
            </w:r>
            <w:r w:rsidRPr="00DF42DB">
              <w:rPr>
                <w:b/>
                <w:color w:val="000000"/>
                <w:sz w:val="21"/>
                <w:szCs w:val="21"/>
                <w:lang w:eastAsia="lt-LT"/>
              </w:rPr>
              <w:t>daugiabučio namo įvade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>, Eur/</w:t>
            </w:r>
            <w:r>
              <w:rPr>
                <w:color w:val="000000"/>
                <w:sz w:val="21"/>
                <w:szCs w:val="21"/>
                <w:lang w:eastAsia="lt-LT"/>
              </w:rPr>
              <w:t>m³</w:t>
            </w:r>
            <w:r w:rsidRPr="00181D49">
              <w:rPr>
                <w:color w:val="000000"/>
                <w:sz w:val="21"/>
                <w:szCs w:val="21"/>
                <w:lang w:eastAsia="lt-LT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D08C0" w14:textId="77777777" w:rsidR="00E219B8" w:rsidRPr="005470C1" w:rsidRDefault="00E219B8" w:rsidP="00CF1EE7">
            <w:pPr>
              <w:jc w:val="center"/>
              <w:rPr>
                <w:b/>
                <w:sz w:val="22"/>
                <w:szCs w:val="22"/>
              </w:rPr>
            </w:pPr>
          </w:p>
          <w:p w14:paraId="42ED08C1" w14:textId="77777777" w:rsidR="00E219B8" w:rsidRPr="005470C1" w:rsidRDefault="00E219B8" w:rsidP="00CF1EE7">
            <w:pPr>
              <w:jc w:val="center"/>
              <w:rPr>
                <w:b/>
                <w:sz w:val="22"/>
                <w:szCs w:val="22"/>
              </w:rPr>
            </w:pPr>
            <w:r w:rsidRPr="005470C1">
              <w:rPr>
                <w:b/>
                <w:sz w:val="22"/>
                <w:szCs w:val="22"/>
              </w:rPr>
              <w:t>1,</w:t>
            </w:r>
            <w:r>
              <w:rPr>
                <w:b/>
                <w:sz w:val="22"/>
                <w:szCs w:val="22"/>
              </w:rPr>
              <w:t>20</w:t>
            </w:r>
          </w:p>
          <w:p w14:paraId="42ED08C2" w14:textId="77777777" w:rsidR="00E219B8" w:rsidRPr="005470C1" w:rsidRDefault="00E219B8" w:rsidP="00CF1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ED08C3" w14:textId="77777777" w:rsidR="00E219B8" w:rsidRPr="005470C1" w:rsidRDefault="00E219B8" w:rsidP="00CF1EE7">
            <w:pPr>
              <w:jc w:val="center"/>
              <w:rPr>
                <w:b/>
                <w:sz w:val="22"/>
                <w:szCs w:val="22"/>
              </w:rPr>
            </w:pPr>
            <w:r w:rsidRPr="005470C1">
              <w:rPr>
                <w:b/>
                <w:sz w:val="22"/>
                <w:szCs w:val="22"/>
              </w:rPr>
              <w:t>1,2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8C4" w14:textId="77777777" w:rsidR="00E219B8" w:rsidRPr="005470C1" w:rsidRDefault="00E219B8" w:rsidP="00CF1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3,3</w:t>
            </w:r>
          </w:p>
        </w:tc>
      </w:tr>
      <w:tr w:rsidR="00E219B8" w:rsidRPr="00DA2323" w14:paraId="42ED08CB" w14:textId="77777777" w:rsidTr="006E31C0">
        <w:tc>
          <w:tcPr>
            <w:tcW w:w="993" w:type="dxa"/>
            <w:shd w:val="clear" w:color="auto" w:fill="auto"/>
          </w:tcPr>
          <w:p w14:paraId="42ED08C6" w14:textId="77777777" w:rsidR="00E219B8" w:rsidRPr="00D31563" w:rsidRDefault="00D31563" w:rsidP="006E31C0">
            <w:pPr>
              <w:jc w:val="center"/>
            </w:pPr>
            <w:r>
              <w:t>1.4.1.</w:t>
            </w:r>
          </w:p>
        </w:tc>
        <w:tc>
          <w:tcPr>
            <w:tcW w:w="4958" w:type="dxa"/>
            <w:shd w:val="clear" w:color="auto" w:fill="auto"/>
          </w:tcPr>
          <w:p w14:paraId="42ED08C7" w14:textId="77777777" w:rsidR="00E219B8" w:rsidRPr="00D0090B" w:rsidRDefault="00E219B8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Geriamojo vandens tiekimo</w:t>
            </w:r>
          </w:p>
        </w:tc>
        <w:tc>
          <w:tcPr>
            <w:tcW w:w="1276" w:type="dxa"/>
            <w:shd w:val="clear" w:color="auto" w:fill="auto"/>
          </w:tcPr>
          <w:p w14:paraId="42ED08C8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1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C9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6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CA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</w:tr>
      <w:tr w:rsidR="00E219B8" w:rsidRPr="00DA2323" w14:paraId="42ED08D1" w14:textId="77777777" w:rsidTr="006E31C0">
        <w:tc>
          <w:tcPr>
            <w:tcW w:w="993" w:type="dxa"/>
            <w:shd w:val="clear" w:color="auto" w:fill="auto"/>
          </w:tcPr>
          <w:p w14:paraId="42ED08CC" w14:textId="77777777" w:rsidR="00E219B8" w:rsidRPr="00D0090B" w:rsidRDefault="00D31563" w:rsidP="006E3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4958" w:type="dxa"/>
            <w:shd w:val="clear" w:color="auto" w:fill="auto"/>
          </w:tcPr>
          <w:p w14:paraId="42ED08CD" w14:textId="77777777" w:rsidR="00E219B8" w:rsidRPr="00D0090B" w:rsidRDefault="00E219B8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Nuotekų tvarkymo:</w:t>
            </w:r>
          </w:p>
        </w:tc>
        <w:tc>
          <w:tcPr>
            <w:tcW w:w="1276" w:type="dxa"/>
            <w:shd w:val="clear" w:color="auto" w:fill="auto"/>
          </w:tcPr>
          <w:p w14:paraId="42ED08CE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  <w:r w:rsidRPr="005470C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14:paraId="42ED08CF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D0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,4</w:t>
            </w:r>
          </w:p>
        </w:tc>
      </w:tr>
      <w:tr w:rsidR="00E219B8" w:rsidRPr="00DA2323" w14:paraId="42ED08D7" w14:textId="77777777" w:rsidTr="006E31C0">
        <w:tc>
          <w:tcPr>
            <w:tcW w:w="993" w:type="dxa"/>
            <w:shd w:val="clear" w:color="auto" w:fill="auto"/>
          </w:tcPr>
          <w:p w14:paraId="42ED08D2" w14:textId="77777777" w:rsidR="00E219B8" w:rsidRPr="00181D49" w:rsidRDefault="00D31563" w:rsidP="006E3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1.4.2.1</w:t>
            </w:r>
          </w:p>
        </w:tc>
        <w:tc>
          <w:tcPr>
            <w:tcW w:w="4958" w:type="dxa"/>
            <w:shd w:val="clear" w:color="auto" w:fill="auto"/>
          </w:tcPr>
          <w:p w14:paraId="42ED08D3" w14:textId="77777777" w:rsidR="00E219B8" w:rsidRPr="00181D49" w:rsidRDefault="00E219B8" w:rsidP="00625D5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lt-LT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 xml:space="preserve">nuotekų surinkimo </w:t>
            </w:r>
          </w:p>
        </w:tc>
        <w:tc>
          <w:tcPr>
            <w:tcW w:w="1276" w:type="dxa"/>
            <w:shd w:val="clear" w:color="auto" w:fill="auto"/>
          </w:tcPr>
          <w:p w14:paraId="42ED08D4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8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D5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31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D6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E219B8" w:rsidRPr="00DA2323" w14:paraId="42ED08DD" w14:textId="77777777" w:rsidTr="006E31C0">
        <w:tc>
          <w:tcPr>
            <w:tcW w:w="993" w:type="dxa"/>
            <w:shd w:val="clear" w:color="auto" w:fill="auto"/>
          </w:tcPr>
          <w:p w14:paraId="42ED08D8" w14:textId="77777777" w:rsidR="00E219B8" w:rsidRPr="00D31563" w:rsidRDefault="00D31563" w:rsidP="006E31C0">
            <w:pPr>
              <w:jc w:val="center"/>
            </w:pPr>
            <w:r w:rsidRPr="00D31563">
              <w:t>1.4.2.2</w:t>
            </w:r>
          </w:p>
        </w:tc>
        <w:tc>
          <w:tcPr>
            <w:tcW w:w="4958" w:type="dxa"/>
            <w:shd w:val="clear" w:color="auto" w:fill="auto"/>
          </w:tcPr>
          <w:p w14:paraId="42ED08D9" w14:textId="77777777" w:rsidR="00E219B8" w:rsidRPr="00D0090B" w:rsidRDefault="00E219B8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nuotekų valymo</w:t>
            </w:r>
          </w:p>
        </w:tc>
        <w:tc>
          <w:tcPr>
            <w:tcW w:w="1276" w:type="dxa"/>
            <w:shd w:val="clear" w:color="auto" w:fill="auto"/>
          </w:tcPr>
          <w:p w14:paraId="42ED08DA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26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DB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22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DC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  <w:r w:rsidRPr="005470C1">
              <w:rPr>
                <w:sz w:val="22"/>
                <w:szCs w:val="22"/>
              </w:rPr>
              <w:t>,4</w:t>
            </w:r>
          </w:p>
        </w:tc>
      </w:tr>
      <w:tr w:rsidR="00E219B8" w:rsidRPr="00DA2323" w14:paraId="42ED08E3" w14:textId="77777777" w:rsidTr="006E31C0">
        <w:tc>
          <w:tcPr>
            <w:tcW w:w="993" w:type="dxa"/>
            <w:shd w:val="clear" w:color="auto" w:fill="auto"/>
          </w:tcPr>
          <w:p w14:paraId="42ED08DE" w14:textId="77777777" w:rsidR="00E219B8" w:rsidRPr="00D31563" w:rsidRDefault="00625D5F" w:rsidP="006E31C0">
            <w:pPr>
              <w:jc w:val="center"/>
            </w:pPr>
            <w:r>
              <w:t>1.4.2.3</w:t>
            </w:r>
          </w:p>
        </w:tc>
        <w:tc>
          <w:tcPr>
            <w:tcW w:w="4958" w:type="dxa"/>
            <w:shd w:val="clear" w:color="auto" w:fill="auto"/>
          </w:tcPr>
          <w:p w14:paraId="42ED08DF" w14:textId="77777777" w:rsidR="00E219B8" w:rsidRPr="00D0090B" w:rsidRDefault="00E219B8" w:rsidP="00625D5F">
            <w:pPr>
              <w:rPr>
                <w:sz w:val="24"/>
                <w:szCs w:val="24"/>
              </w:rPr>
            </w:pPr>
            <w:r w:rsidRPr="00181D49">
              <w:rPr>
                <w:color w:val="000000"/>
                <w:sz w:val="21"/>
                <w:szCs w:val="21"/>
                <w:lang w:eastAsia="lt-LT"/>
              </w:rPr>
              <w:t>dumblo tvarkymo</w:t>
            </w:r>
          </w:p>
        </w:tc>
        <w:tc>
          <w:tcPr>
            <w:tcW w:w="1276" w:type="dxa"/>
            <w:shd w:val="clear" w:color="auto" w:fill="auto"/>
          </w:tcPr>
          <w:p w14:paraId="42ED08E0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15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E1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5</w:t>
            </w:r>
            <w:r w:rsidRPr="00547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2ED08E2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 w:rsidRPr="005470C1">
              <w:rPr>
                <w:sz w:val="22"/>
                <w:szCs w:val="22"/>
              </w:rPr>
              <w:t>-</w:t>
            </w:r>
          </w:p>
        </w:tc>
      </w:tr>
      <w:tr w:rsidR="00E219B8" w:rsidRPr="00DA2323" w14:paraId="42ED08F8" w14:textId="77777777" w:rsidTr="006E31C0">
        <w:tc>
          <w:tcPr>
            <w:tcW w:w="993" w:type="dxa"/>
            <w:shd w:val="clear" w:color="auto" w:fill="auto"/>
          </w:tcPr>
          <w:p w14:paraId="42ED08E4" w14:textId="77777777" w:rsidR="00E219B8" w:rsidRDefault="00625D5F" w:rsidP="006E31C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1.5.</w:t>
            </w:r>
          </w:p>
          <w:p w14:paraId="42ED08E5" w14:textId="77777777" w:rsidR="00625D5F" w:rsidRDefault="00625D5F" w:rsidP="006E31C0">
            <w:pPr>
              <w:jc w:val="center"/>
              <w:rPr>
                <w:color w:val="000000"/>
                <w:lang w:eastAsia="lt-LT"/>
              </w:rPr>
            </w:pPr>
          </w:p>
          <w:p w14:paraId="42ED08E6" w14:textId="77777777" w:rsidR="00625D5F" w:rsidRDefault="00625D5F" w:rsidP="006E31C0">
            <w:pPr>
              <w:jc w:val="center"/>
              <w:rPr>
                <w:color w:val="000000"/>
                <w:lang w:eastAsia="lt-LT"/>
              </w:rPr>
            </w:pPr>
          </w:p>
          <w:p w14:paraId="42ED08E7" w14:textId="77777777" w:rsidR="00625D5F" w:rsidRDefault="00625D5F" w:rsidP="006E31C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1.5.1.</w:t>
            </w:r>
          </w:p>
          <w:p w14:paraId="42ED08E8" w14:textId="77777777" w:rsidR="00625D5F" w:rsidRPr="00D31563" w:rsidRDefault="00625D5F" w:rsidP="006E31C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1.5.2.</w:t>
            </w:r>
          </w:p>
        </w:tc>
        <w:tc>
          <w:tcPr>
            <w:tcW w:w="4958" w:type="dxa"/>
            <w:shd w:val="clear" w:color="auto" w:fill="auto"/>
          </w:tcPr>
          <w:p w14:paraId="42ED08E9" w14:textId="77777777" w:rsidR="00E219B8" w:rsidRDefault="00E219B8" w:rsidP="00625D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Atsiskaitomųjų apskaitos prietaisų priežiūros ir</w:t>
            </w:r>
            <w:r w:rsidR="00625D5F">
              <w:rPr>
                <w:rFonts w:ascii="TimesNewRomanPSMT" w:hAnsi="TimesNewRomanPSMT" w:cs="TimesNewRomanPSMT"/>
                <w:lang w:eastAsia="lt-LT"/>
              </w:rPr>
              <w:t xml:space="preserve"> </w:t>
            </w:r>
            <w:r>
              <w:rPr>
                <w:rFonts w:ascii="TimesNewRomanPSMT" w:hAnsi="TimesNewRomanPSMT" w:cs="TimesNewRomanPSMT"/>
                <w:lang w:eastAsia="lt-LT"/>
              </w:rPr>
              <w:t xml:space="preserve">vartotojų aptarnavimo paslaugos kaina vartotojams, kuriems vanduo apskaitomas </w:t>
            </w:r>
            <w:r w:rsidRPr="008A7A9A">
              <w:rPr>
                <w:rFonts w:ascii="TimesNewRomanPSMT" w:hAnsi="TimesNewRomanPSMT" w:cs="TimesNewRomanPSMT"/>
                <w:b/>
                <w:lang w:eastAsia="lt-LT"/>
              </w:rPr>
              <w:t>daugiabučio namo bute</w:t>
            </w:r>
            <w:r>
              <w:rPr>
                <w:rFonts w:ascii="TimesNewRomanPSMT" w:hAnsi="TimesNewRomanPSMT" w:cs="TimesNewRomanPSMT"/>
                <w:lang w:eastAsia="lt-LT"/>
              </w:rPr>
              <w:t>, Eur/butui per mėn.:</w:t>
            </w:r>
          </w:p>
          <w:p w14:paraId="42ED08EA" w14:textId="77777777" w:rsidR="00E219B8" w:rsidRDefault="00E219B8" w:rsidP="00625D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kai apskaitos prietaisas priklauso vandens tiekėjui</w:t>
            </w:r>
          </w:p>
          <w:p w14:paraId="42ED08EB" w14:textId="77777777" w:rsidR="00E219B8" w:rsidRPr="00181D49" w:rsidRDefault="00E219B8" w:rsidP="00625D5F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kai dėl techninių ar kitų priežasčių nėra galimybės</w:t>
            </w:r>
            <w:r w:rsidR="00625D5F">
              <w:rPr>
                <w:rFonts w:ascii="TimesNewRomanPSMT" w:hAnsi="TimesNewRomanPSMT" w:cs="TimesNewRomanPSMT"/>
                <w:lang w:eastAsia="lt-LT"/>
              </w:rPr>
              <w:t xml:space="preserve"> </w:t>
            </w:r>
            <w:r>
              <w:rPr>
                <w:rFonts w:ascii="TimesNewRomanPSMT" w:hAnsi="TimesNewRomanPSMT" w:cs="TimesNewRomanPSMT"/>
                <w:lang w:eastAsia="lt-LT"/>
              </w:rPr>
              <w:t>įrengti atsiskaitomųjų apskaitos prietaisų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D08EC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</w:p>
          <w:p w14:paraId="42ED08ED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</w:p>
          <w:p w14:paraId="42ED08EE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</w:t>
            </w:r>
          </w:p>
          <w:p w14:paraId="42ED08EF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8F0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</w:p>
          <w:p w14:paraId="42ED08F1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</w:p>
          <w:p w14:paraId="42ED08F2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1,09</w:t>
            </w:r>
          </w:p>
          <w:p w14:paraId="42ED08F3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8F4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</w:p>
          <w:p w14:paraId="42ED08F5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</w:p>
          <w:p w14:paraId="42ED08F6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14:paraId="42ED08F7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</w:tr>
      <w:tr w:rsidR="00E219B8" w:rsidRPr="00DA2323" w14:paraId="42ED0903" w14:textId="77777777" w:rsidTr="006E31C0">
        <w:tc>
          <w:tcPr>
            <w:tcW w:w="993" w:type="dxa"/>
            <w:shd w:val="clear" w:color="auto" w:fill="auto"/>
          </w:tcPr>
          <w:p w14:paraId="42ED08F9" w14:textId="77777777" w:rsidR="00E219B8" w:rsidRDefault="00625D5F" w:rsidP="006E31C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1.6.</w:t>
            </w:r>
          </w:p>
          <w:p w14:paraId="42ED08FA" w14:textId="77777777" w:rsidR="00E219B8" w:rsidRPr="00181D49" w:rsidRDefault="00E219B8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958" w:type="dxa"/>
            <w:shd w:val="clear" w:color="auto" w:fill="auto"/>
          </w:tcPr>
          <w:p w14:paraId="42ED08FB" w14:textId="77777777" w:rsidR="00E219B8" w:rsidRPr="00181D49" w:rsidRDefault="00E219B8" w:rsidP="00625D5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Atsiskaitomųjų apskaitos prietaisų priežiūros ir vartotojų aptarnavimo paslaugos kaina vartotojams,</w:t>
            </w:r>
            <w:r w:rsidR="006A1B99">
              <w:rPr>
                <w:rFonts w:ascii="TimesNewRomanPSMT" w:hAnsi="TimesNewRomanPSMT" w:cs="TimesNewRomanPSMT"/>
                <w:lang w:eastAsia="lt-LT"/>
              </w:rPr>
              <w:t xml:space="preserve"> </w:t>
            </w:r>
            <w:r>
              <w:rPr>
                <w:rFonts w:ascii="TimesNewRomanPSMT" w:hAnsi="TimesNewRomanPSMT" w:cs="TimesNewRomanPSMT"/>
                <w:lang w:eastAsia="lt-LT"/>
              </w:rPr>
              <w:t xml:space="preserve">kuriems vanduo apskaitomas </w:t>
            </w:r>
            <w:r w:rsidRPr="008A7A9A">
              <w:rPr>
                <w:rFonts w:ascii="TimesNewRomanPSMT" w:hAnsi="TimesNewRomanPSMT" w:cs="TimesNewRomanPSMT"/>
                <w:b/>
                <w:lang w:eastAsia="lt-LT"/>
              </w:rPr>
              <w:t>daugiabučio namo įvade</w:t>
            </w:r>
            <w:r>
              <w:rPr>
                <w:rFonts w:ascii="TimesNewRomanPSMT" w:hAnsi="TimesNewRomanPSMT" w:cs="TimesNewRomanPSMT"/>
                <w:lang w:eastAsia="lt-LT"/>
              </w:rPr>
              <w:t>, Eur/namui per mėn.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D08FC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8FD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</w:p>
          <w:p w14:paraId="42ED08FE" w14:textId="77777777" w:rsidR="00E219B8" w:rsidRDefault="00E219B8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6,91</w:t>
            </w:r>
          </w:p>
          <w:p w14:paraId="42ED08FF" w14:textId="77777777" w:rsidR="00E219B8" w:rsidRPr="005470C1" w:rsidRDefault="00E219B8" w:rsidP="004C4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ED0900" w14:textId="77777777" w:rsidR="00E219B8" w:rsidRDefault="00E219B8" w:rsidP="00625D5F">
            <w:pPr>
              <w:jc w:val="center"/>
              <w:rPr>
                <w:sz w:val="22"/>
                <w:szCs w:val="22"/>
              </w:rPr>
            </w:pPr>
          </w:p>
          <w:p w14:paraId="42ED0901" w14:textId="77777777" w:rsidR="00E219B8" w:rsidRDefault="00E219B8" w:rsidP="00625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  <w:p w14:paraId="42ED0902" w14:textId="77777777" w:rsidR="00E219B8" w:rsidRPr="005470C1" w:rsidRDefault="00E219B8" w:rsidP="00625D5F">
            <w:pPr>
              <w:jc w:val="center"/>
              <w:rPr>
                <w:sz w:val="22"/>
                <w:szCs w:val="22"/>
              </w:rPr>
            </w:pPr>
          </w:p>
        </w:tc>
      </w:tr>
      <w:tr w:rsidR="00611440" w:rsidRPr="00DA2323" w14:paraId="42ED091F" w14:textId="77777777" w:rsidTr="006E31C0">
        <w:tc>
          <w:tcPr>
            <w:tcW w:w="993" w:type="dxa"/>
            <w:shd w:val="clear" w:color="auto" w:fill="auto"/>
          </w:tcPr>
          <w:p w14:paraId="42ED0904" w14:textId="77777777" w:rsidR="00611440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1.7.</w:t>
            </w:r>
          </w:p>
          <w:p w14:paraId="42ED0905" w14:textId="77777777" w:rsidR="00625D5F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</w:p>
          <w:p w14:paraId="42ED0906" w14:textId="77777777" w:rsidR="00625D5F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</w:p>
          <w:p w14:paraId="42ED0907" w14:textId="77777777" w:rsidR="00625D5F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</w:p>
          <w:p w14:paraId="42ED0908" w14:textId="77777777" w:rsidR="00625D5F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1.7.1.</w:t>
            </w:r>
          </w:p>
          <w:p w14:paraId="42ED0909" w14:textId="77777777" w:rsidR="00625D5F" w:rsidRPr="00181D49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1.7.2.</w:t>
            </w:r>
          </w:p>
        </w:tc>
        <w:tc>
          <w:tcPr>
            <w:tcW w:w="4958" w:type="dxa"/>
            <w:shd w:val="clear" w:color="auto" w:fill="auto"/>
          </w:tcPr>
          <w:p w14:paraId="42ED090A" w14:textId="77777777" w:rsidR="00611440" w:rsidRDefault="00611440" w:rsidP="00625D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lastRenderedPageBreak/>
              <w:t xml:space="preserve">Atsiskaitomųjų apskaitos prietaisų priežiūros ir vartotojų </w:t>
            </w:r>
            <w:r>
              <w:rPr>
                <w:lang w:eastAsia="lt-LT"/>
              </w:rPr>
              <w:t xml:space="preserve">aptarnavimo paslaugos kaina vartotojams, kuriems </w:t>
            </w:r>
            <w:r>
              <w:rPr>
                <w:rFonts w:ascii="TimesNewRomanPSMT" w:hAnsi="TimesNewRomanPSMT" w:cs="TimesNewRomanPSMT"/>
                <w:lang w:eastAsia="lt-LT"/>
              </w:rPr>
              <w:t xml:space="preserve">vanduo </w:t>
            </w:r>
            <w:r>
              <w:rPr>
                <w:rFonts w:ascii="TimesNewRomanPSMT" w:hAnsi="TimesNewRomanPSMT" w:cs="TimesNewRomanPSMT"/>
                <w:lang w:eastAsia="lt-LT"/>
              </w:rPr>
              <w:lastRenderedPageBreak/>
              <w:t xml:space="preserve">apskaitomas </w:t>
            </w:r>
            <w:r w:rsidRPr="008A7A9A">
              <w:rPr>
                <w:rFonts w:ascii="TimesNewRomanPSMT" w:hAnsi="TimesNewRomanPSMT" w:cs="TimesNewRomanPSMT"/>
                <w:b/>
                <w:lang w:eastAsia="lt-LT"/>
              </w:rPr>
              <w:t>individualaus namo įvade</w:t>
            </w:r>
            <w:r>
              <w:rPr>
                <w:rFonts w:ascii="TimesNewRomanPSMT" w:hAnsi="TimesNewRomanPSMT" w:cs="TimesNewRomanPSMT"/>
                <w:lang w:eastAsia="lt-LT"/>
              </w:rPr>
              <w:t>, Eur/apskaitos prietaisui per mėn.; Eur/namui per mėn.:</w:t>
            </w:r>
          </w:p>
          <w:p w14:paraId="42ED090B" w14:textId="77777777" w:rsidR="00611440" w:rsidRDefault="00611440" w:rsidP="00625D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kai apskaitos prietaisas priklauso vandens tiekėjui</w:t>
            </w:r>
          </w:p>
          <w:p w14:paraId="42ED090C" w14:textId="77777777" w:rsidR="00611440" w:rsidRPr="00181D49" w:rsidRDefault="00611440" w:rsidP="00625D5F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kai dėl techninių ar kitų priežasčių nėra galimybės įrengti atsiskaitomųjų apskaitos prietaisų</w:t>
            </w:r>
          </w:p>
        </w:tc>
        <w:tc>
          <w:tcPr>
            <w:tcW w:w="1276" w:type="dxa"/>
            <w:shd w:val="clear" w:color="auto" w:fill="auto"/>
          </w:tcPr>
          <w:p w14:paraId="42ED090D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0E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0F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0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1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  <w:p w14:paraId="42ED0912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  <w:tc>
          <w:tcPr>
            <w:tcW w:w="1559" w:type="dxa"/>
            <w:shd w:val="clear" w:color="auto" w:fill="auto"/>
          </w:tcPr>
          <w:p w14:paraId="42ED0913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4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5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6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7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</w:t>
            </w:r>
          </w:p>
          <w:p w14:paraId="42ED0918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559" w:type="dxa"/>
            <w:shd w:val="clear" w:color="auto" w:fill="auto"/>
          </w:tcPr>
          <w:p w14:paraId="42ED0919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A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B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C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1D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  <w:p w14:paraId="42ED091E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611440" w:rsidRPr="00DA2323" w14:paraId="42ED092B" w14:textId="77777777" w:rsidTr="006E31C0">
        <w:tc>
          <w:tcPr>
            <w:tcW w:w="993" w:type="dxa"/>
            <w:shd w:val="clear" w:color="auto" w:fill="auto"/>
          </w:tcPr>
          <w:p w14:paraId="42ED0920" w14:textId="77777777" w:rsidR="00611440" w:rsidRDefault="00625D5F" w:rsidP="006E31C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lastRenderedPageBreak/>
              <w:t>1.8.</w:t>
            </w:r>
          </w:p>
          <w:p w14:paraId="42ED0921" w14:textId="77777777" w:rsidR="00611440" w:rsidRDefault="00611440" w:rsidP="006E31C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eastAsia="lt-LT"/>
              </w:rPr>
            </w:pPr>
          </w:p>
          <w:p w14:paraId="42ED0922" w14:textId="77777777" w:rsidR="00611440" w:rsidRPr="00181D49" w:rsidRDefault="00611440" w:rsidP="006E3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958" w:type="dxa"/>
            <w:shd w:val="clear" w:color="auto" w:fill="auto"/>
          </w:tcPr>
          <w:p w14:paraId="42ED0923" w14:textId="77777777" w:rsidR="00611440" w:rsidRDefault="00611440" w:rsidP="00625D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 xml:space="preserve">Vidutinė atsiskaitomųjų apskaitos prietaisų priežiūros ir </w:t>
            </w:r>
          </w:p>
          <w:p w14:paraId="42ED0924" w14:textId="77777777" w:rsidR="00611440" w:rsidRDefault="00611440" w:rsidP="00625D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 xml:space="preserve">vartotojų aptarnavimo paslaugos kaina </w:t>
            </w:r>
            <w:r w:rsidRPr="008A7A9A">
              <w:rPr>
                <w:rFonts w:ascii="TimesNewRomanPSMT" w:hAnsi="TimesNewRomanPSMT" w:cs="TimesNewRomanPSMT"/>
                <w:b/>
                <w:lang w:eastAsia="lt-LT"/>
              </w:rPr>
              <w:t>abonentams</w:t>
            </w:r>
            <w:r>
              <w:rPr>
                <w:rFonts w:ascii="TimesNewRomanPSMT" w:hAnsi="TimesNewRomanPSMT" w:cs="TimesNewRomanPSMT"/>
                <w:lang w:eastAsia="lt-LT"/>
              </w:rPr>
              <w:t xml:space="preserve">, </w:t>
            </w:r>
          </w:p>
          <w:p w14:paraId="42ED0925" w14:textId="77777777" w:rsidR="00611440" w:rsidRPr="00181D49" w:rsidRDefault="00611440" w:rsidP="00625D5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Eur/apskaitos prietaisui per mėn.</w:t>
            </w:r>
          </w:p>
        </w:tc>
        <w:tc>
          <w:tcPr>
            <w:tcW w:w="1276" w:type="dxa"/>
            <w:shd w:val="clear" w:color="auto" w:fill="auto"/>
          </w:tcPr>
          <w:p w14:paraId="42ED0926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27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2,47</w:t>
            </w:r>
          </w:p>
        </w:tc>
        <w:tc>
          <w:tcPr>
            <w:tcW w:w="1559" w:type="dxa"/>
            <w:shd w:val="clear" w:color="auto" w:fill="auto"/>
          </w:tcPr>
          <w:p w14:paraId="42ED0928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29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92A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</w:tr>
      <w:tr w:rsidR="00611440" w:rsidRPr="00DA2323" w14:paraId="42ED0934" w14:textId="77777777" w:rsidTr="006E31C0">
        <w:tc>
          <w:tcPr>
            <w:tcW w:w="993" w:type="dxa"/>
            <w:shd w:val="clear" w:color="auto" w:fill="auto"/>
          </w:tcPr>
          <w:p w14:paraId="42ED092C" w14:textId="77777777" w:rsidR="00611440" w:rsidRDefault="00611440" w:rsidP="006E31C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eastAsia="lt-LT"/>
              </w:rPr>
            </w:pPr>
          </w:p>
          <w:p w14:paraId="42ED092D" w14:textId="77777777" w:rsidR="00611440" w:rsidRPr="00181D49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1.9.</w:t>
            </w:r>
          </w:p>
        </w:tc>
        <w:tc>
          <w:tcPr>
            <w:tcW w:w="4958" w:type="dxa"/>
            <w:shd w:val="clear" w:color="auto" w:fill="auto"/>
          </w:tcPr>
          <w:p w14:paraId="42ED092E" w14:textId="77777777" w:rsidR="00611440" w:rsidRPr="00181D49" w:rsidRDefault="00611440" w:rsidP="00625D5F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Nuotekų valymo kaina abonentams už kiekvieną100 mg/l virš bazinės taršos BDS</w:t>
            </w:r>
            <w:r>
              <w:rPr>
                <w:sz w:val="13"/>
                <w:szCs w:val="13"/>
                <w:lang w:eastAsia="lt-LT"/>
              </w:rPr>
              <w:t xml:space="preserve">7 </w:t>
            </w:r>
            <w:r>
              <w:rPr>
                <w:lang w:eastAsia="lt-LT"/>
              </w:rPr>
              <w:t>koncentracijos</w:t>
            </w:r>
            <w:r w:rsidR="00625D5F">
              <w:rPr>
                <w:lang w:eastAsia="lt-LT"/>
              </w:rPr>
              <w:t xml:space="preserve"> </w:t>
            </w:r>
            <w:r>
              <w:rPr>
                <w:rFonts w:ascii="TimesNewRomanPSMT" w:hAnsi="TimesNewRomanPSMT" w:cs="TimesNewRomanPSMT"/>
                <w:lang w:eastAsia="lt-LT"/>
              </w:rPr>
              <w:t>padidėjimą, Eur/</w:t>
            </w:r>
            <w:r>
              <w:rPr>
                <w:color w:val="000000"/>
                <w:sz w:val="21"/>
                <w:szCs w:val="21"/>
                <w:lang w:eastAsia="lt-LT"/>
              </w:rPr>
              <w:t>m³</w:t>
            </w:r>
          </w:p>
        </w:tc>
        <w:tc>
          <w:tcPr>
            <w:tcW w:w="1276" w:type="dxa"/>
            <w:shd w:val="clear" w:color="auto" w:fill="auto"/>
          </w:tcPr>
          <w:p w14:paraId="42ED092F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30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0,015</w:t>
            </w:r>
          </w:p>
        </w:tc>
        <w:tc>
          <w:tcPr>
            <w:tcW w:w="1559" w:type="dxa"/>
            <w:shd w:val="clear" w:color="auto" w:fill="auto"/>
          </w:tcPr>
          <w:p w14:paraId="42ED0931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32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933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</w:tr>
      <w:tr w:rsidR="00611440" w:rsidRPr="00DA2323" w14:paraId="42ED093F" w14:textId="77777777" w:rsidTr="006E31C0">
        <w:trPr>
          <w:trHeight w:val="805"/>
        </w:trPr>
        <w:tc>
          <w:tcPr>
            <w:tcW w:w="993" w:type="dxa"/>
            <w:shd w:val="clear" w:color="auto" w:fill="auto"/>
          </w:tcPr>
          <w:p w14:paraId="42ED0935" w14:textId="77777777" w:rsidR="00611440" w:rsidRDefault="00611440" w:rsidP="006E31C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eastAsia="lt-LT"/>
              </w:rPr>
            </w:pPr>
          </w:p>
          <w:p w14:paraId="42ED0936" w14:textId="77777777" w:rsidR="00611440" w:rsidRPr="00181D49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1.10.</w:t>
            </w:r>
          </w:p>
          <w:p w14:paraId="42ED0937" w14:textId="77777777" w:rsidR="00611440" w:rsidRPr="00181D49" w:rsidRDefault="00611440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4958" w:type="dxa"/>
            <w:shd w:val="clear" w:color="auto" w:fill="auto"/>
          </w:tcPr>
          <w:p w14:paraId="42ED0938" w14:textId="77777777" w:rsidR="00611440" w:rsidRPr="00181D49" w:rsidRDefault="00611440" w:rsidP="00625D5F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Nuotekų valymo kaina abonentams už kiekvieną100 mg/l virš bazinės taršos skendinčių medžiagų (SM) koncentracijos padidėjimą, Eur/</w:t>
            </w:r>
            <w:r>
              <w:rPr>
                <w:color w:val="000000"/>
                <w:sz w:val="21"/>
                <w:szCs w:val="21"/>
                <w:lang w:eastAsia="lt-LT"/>
              </w:rPr>
              <w:t>m³</w:t>
            </w:r>
          </w:p>
        </w:tc>
        <w:tc>
          <w:tcPr>
            <w:tcW w:w="1276" w:type="dxa"/>
            <w:shd w:val="clear" w:color="auto" w:fill="auto"/>
          </w:tcPr>
          <w:p w14:paraId="42ED0939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3A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0,011</w:t>
            </w:r>
          </w:p>
        </w:tc>
        <w:tc>
          <w:tcPr>
            <w:tcW w:w="1559" w:type="dxa"/>
            <w:shd w:val="clear" w:color="auto" w:fill="auto"/>
          </w:tcPr>
          <w:p w14:paraId="42ED093B" w14:textId="77777777" w:rsidR="00611440" w:rsidRDefault="00611440" w:rsidP="004C422D">
            <w:pPr>
              <w:jc w:val="center"/>
              <w:rPr>
                <w:sz w:val="22"/>
                <w:szCs w:val="22"/>
              </w:rPr>
            </w:pPr>
          </w:p>
          <w:p w14:paraId="42ED093C" w14:textId="77777777" w:rsidR="00611440" w:rsidRPr="005470C1" w:rsidRDefault="00611440" w:rsidP="004C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559" w:type="dxa"/>
            <w:shd w:val="clear" w:color="auto" w:fill="auto"/>
          </w:tcPr>
          <w:p w14:paraId="42ED093D" w14:textId="77777777" w:rsidR="00625D5F" w:rsidRDefault="00625D5F" w:rsidP="00625D5F">
            <w:pPr>
              <w:jc w:val="center"/>
              <w:rPr>
                <w:sz w:val="22"/>
                <w:szCs w:val="22"/>
              </w:rPr>
            </w:pPr>
          </w:p>
          <w:p w14:paraId="42ED093E" w14:textId="77777777" w:rsidR="00611440" w:rsidRPr="005470C1" w:rsidRDefault="00611440" w:rsidP="00625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</w:tr>
      <w:tr w:rsidR="00611440" w:rsidRPr="00DA2323" w14:paraId="42ED0947" w14:textId="77777777" w:rsidTr="006E31C0">
        <w:tc>
          <w:tcPr>
            <w:tcW w:w="993" w:type="dxa"/>
            <w:shd w:val="clear" w:color="auto" w:fill="auto"/>
          </w:tcPr>
          <w:p w14:paraId="42ED0940" w14:textId="77777777" w:rsidR="00611440" w:rsidRDefault="00611440" w:rsidP="006E31C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eastAsia="lt-LT"/>
              </w:rPr>
            </w:pPr>
          </w:p>
          <w:p w14:paraId="42ED0941" w14:textId="77777777" w:rsidR="00611440" w:rsidRPr="00181D49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1.11.</w:t>
            </w:r>
          </w:p>
        </w:tc>
        <w:tc>
          <w:tcPr>
            <w:tcW w:w="4958" w:type="dxa"/>
            <w:shd w:val="clear" w:color="auto" w:fill="auto"/>
          </w:tcPr>
          <w:p w14:paraId="42ED0942" w14:textId="77777777" w:rsidR="00611440" w:rsidRDefault="00611440" w:rsidP="00625D5F">
            <w:pPr>
              <w:rPr>
                <w:rFonts w:ascii="TimesNewRomanPSMT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Nuotekų valymo kaina abonentams už kiekvieną10 mg/l virš bazinės taršos bendrojo azoto (N)</w:t>
            </w:r>
          </w:p>
          <w:p w14:paraId="42ED0943" w14:textId="77777777" w:rsidR="00611440" w:rsidRPr="00181D49" w:rsidRDefault="00611440" w:rsidP="00AD6554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koncentracijos padidėjimą, Eur/</w:t>
            </w:r>
            <w:r>
              <w:rPr>
                <w:color w:val="000000"/>
                <w:sz w:val="21"/>
                <w:szCs w:val="21"/>
                <w:lang w:eastAsia="lt-LT"/>
              </w:rPr>
              <w:t>m³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D0944" w14:textId="77777777" w:rsidR="00611440" w:rsidRPr="005470C1" w:rsidRDefault="00611440" w:rsidP="00AD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945" w14:textId="77777777" w:rsidR="00611440" w:rsidRPr="005470C1" w:rsidRDefault="00611440" w:rsidP="00AD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946" w14:textId="77777777" w:rsidR="00611440" w:rsidRPr="005470C1" w:rsidRDefault="00611440" w:rsidP="00AD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D6DBD" w:rsidRPr="00DA2323" w14:paraId="42ED094E" w14:textId="77777777" w:rsidTr="006E31C0">
        <w:tc>
          <w:tcPr>
            <w:tcW w:w="993" w:type="dxa"/>
            <w:shd w:val="clear" w:color="auto" w:fill="auto"/>
          </w:tcPr>
          <w:p w14:paraId="42ED0948" w14:textId="77777777" w:rsidR="001D6DBD" w:rsidRPr="00181D49" w:rsidRDefault="00625D5F" w:rsidP="006E3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1.12.</w:t>
            </w:r>
          </w:p>
        </w:tc>
        <w:tc>
          <w:tcPr>
            <w:tcW w:w="4958" w:type="dxa"/>
            <w:shd w:val="clear" w:color="auto" w:fill="auto"/>
          </w:tcPr>
          <w:p w14:paraId="42ED0949" w14:textId="77777777" w:rsidR="001D6DBD" w:rsidRPr="00181D49" w:rsidRDefault="001D6DBD" w:rsidP="00625D5F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Nuotekų valymo kaina abonentams už kiekvieną 1 mg/l virš bazinės taršos bendrojo fosforo (P) koncentracijos padidėjimą, Eur/</w:t>
            </w:r>
            <w:r>
              <w:rPr>
                <w:color w:val="000000"/>
                <w:sz w:val="21"/>
                <w:szCs w:val="21"/>
                <w:lang w:eastAsia="lt-LT"/>
              </w:rPr>
              <w:t>m³</w:t>
            </w:r>
          </w:p>
        </w:tc>
        <w:tc>
          <w:tcPr>
            <w:tcW w:w="1276" w:type="dxa"/>
            <w:shd w:val="clear" w:color="auto" w:fill="auto"/>
          </w:tcPr>
          <w:p w14:paraId="42ED094A" w14:textId="77777777" w:rsidR="001D6DBD" w:rsidRPr="00181D49" w:rsidRDefault="001D6DBD" w:rsidP="001D6DB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42ED094B" w14:textId="77777777" w:rsidR="001D6DBD" w:rsidRDefault="001D6DBD" w:rsidP="001D6DBD">
            <w:pPr>
              <w:jc w:val="center"/>
              <w:rPr>
                <w:sz w:val="22"/>
                <w:szCs w:val="22"/>
              </w:rPr>
            </w:pPr>
          </w:p>
          <w:p w14:paraId="42ED094C" w14:textId="77777777" w:rsidR="001D6DBD" w:rsidRPr="005470C1" w:rsidRDefault="001D6DBD" w:rsidP="001D6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94D" w14:textId="77777777" w:rsidR="001D6DBD" w:rsidRPr="005470C1" w:rsidRDefault="001D6DBD" w:rsidP="001D6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6DBD" w:rsidRPr="00DA2323" w14:paraId="42ED0955" w14:textId="77777777" w:rsidTr="006E31C0">
        <w:trPr>
          <w:trHeight w:val="553"/>
        </w:trPr>
        <w:tc>
          <w:tcPr>
            <w:tcW w:w="993" w:type="dxa"/>
            <w:shd w:val="clear" w:color="auto" w:fill="auto"/>
          </w:tcPr>
          <w:p w14:paraId="42ED094F" w14:textId="77777777" w:rsidR="001D6DBD" w:rsidRDefault="001D6DBD" w:rsidP="006E31C0">
            <w:pPr>
              <w:jc w:val="center"/>
              <w:rPr>
                <w:rFonts w:ascii="TimesNewRomanPSMT" w:hAnsi="TimesNewRomanPSMT" w:cs="TimesNewRomanPSMT"/>
                <w:sz w:val="21"/>
                <w:szCs w:val="21"/>
                <w:lang w:eastAsia="lt-LT"/>
              </w:rPr>
            </w:pPr>
          </w:p>
          <w:p w14:paraId="42ED0950" w14:textId="77777777" w:rsidR="001D6DBD" w:rsidRPr="00181D49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1.14.</w:t>
            </w:r>
          </w:p>
        </w:tc>
        <w:tc>
          <w:tcPr>
            <w:tcW w:w="4958" w:type="dxa"/>
            <w:shd w:val="clear" w:color="auto" w:fill="auto"/>
          </w:tcPr>
          <w:p w14:paraId="42ED0951" w14:textId="77777777" w:rsidR="001D6DBD" w:rsidRPr="00181D49" w:rsidRDefault="001D6DBD" w:rsidP="006E31C0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  <w:lang w:eastAsia="lt-LT"/>
              </w:rPr>
              <w:t>Atvežto sausinto nuotekų dumblo apdorojimo(džiovinimo) kaina, Eur/t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D0952" w14:textId="77777777" w:rsidR="001D6DBD" w:rsidRPr="005470C1" w:rsidRDefault="001D6DBD" w:rsidP="001D6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953" w14:textId="77777777" w:rsidR="001D6DBD" w:rsidRPr="005470C1" w:rsidRDefault="001D6DBD" w:rsidP="001D6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954" w14:textId="77777777" w:rsidR="001D6DBD" w:rsidRPr="005470C1" w:rsidRDefault="001D6DBD" w:rsidP="001D6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</w:tr>
      <w:tr w:rsidR="001D6DBD" w:rsidRPr="00DA2323" w14:paraId="42ED095C" w14:textId="77777777" w:rsidTr="006E31C0">
        <w:tc>
          <w:tcPr>
            <w:tcW w:w="993" w:type="dxa"/>
            <w:shd w:val="clear" w:color="auto" w:fill="auto"/>
          </w:tcPr>
          <w:p w14:paraId="42ED0956" w14:textId="77777777" w:rsidR="001D6DBD" w:rsidRPr="00181D49" w:rsidRDefault="00625D5F" w:rsidP="006E31C0">
            <w:pPr>
              <w:jc w:val="center"/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color w:val="000000"/>
                <w:sz w:val="21"/>
                <w:szCs w:val="21"/>
                <w:lang w:eastAsia="lt-LT"/>
              </w:rPr>
              <w:t>1.13.</w:t>
            </w:r>
          </w:p>
        </w:tc>
        <w:tc>
          <w:tcPr>
            <w:tcW w:w="4958" w:type="dxa"/>
            <w:shd w:val="clear" w:color="auto" w:fill="auto"/>
          </w:tcPr>
          <w:p w14:paraId="42ED0957" w14:textId="77777777" w:rsidR="001D6DBD" w:rsidRDefault="001D6DBD" w:rsidP="00625D5F">
            <w:pPr>
              <w:rPr>
                <w:rFonts w:ascii="TimesNewRomanPSMT" w:hAnsi="TimesNewRomanPSMT" w:cs="TimesNewRomanPSMT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  <w:lang w:eastAsia="lt-LT"/>
              </w:rPr>
              <w:t>Atvežto tankinto nuotekų dumblo apdorojimo</w:t>
            </w:r>
          </w:p>
          <w:p w14:paraId="42ED0958" w14:textId="77777777" w:rsidR="001D6DBD" w:rsidRPr="00181D49" w:rsidRDefault="001D6DBD" w:rsidP="00625D5F">
            <w:pPr>
              <w:rPr>
                <w:color w:val="000000"/>
                <w:sz w:val="21"/>
                <w:szCs w:val="21"/>
                <w:lang w:eastAsia="lt-LT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  <w:lang w:eastAsia="lt-LT"/>
              </w:rPr>
              <w:t>(sausinimo ir džiovinimo) kaina, Eur/t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D0959" w14:textId="77777777" w:rsidR="001D6DBD" w:rsidRPr="005470C1" w:rsidRDefault="001D6DBD" w:rsidP="001D6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95A" w14:textId="77777777" w:rsidR="001D6DBD" w:rsidRPr="005470C1" w:rsidRDefault="001D6DBD" w:rsidP="001D6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095B" w14:textId="77777777" w:rsidR="001D6DBD" w:rsidRPr="005470C1" w:rsidRDefault="001D6DBD" w:rsidP="001D6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</w:tr>
    </w:tbl>
    <w:p w14:paraId="42ED095D" w14:textId="77777777" w:rsidR="00BD19C1" w:rsidRDefault="00EE6694" w:rsidP="008D3CE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14:paraId="42ED095E" w14:textId="77777777" w:rsidR="003A2EB9" w:rsidRDefault="003A2EB9" w:rsidP="000E4224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Pagrindinės suskaičiuotų geriamojo vandens tiekimo ir nuotekų tvarkymo paslaugų bazinių</w:t>
      </w:r>
    </w:p>
    <w:p w14:paraId="42ED095F" w14:textId="77777777" w:rsidR="003A2EB9" w:rsidRDefault="003A2EB9" w:rsidP="000E422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kainų pasikeitimo priežastys:</w:t>
      </w:r>
    </w:p>
    <w:p w14:paraId="42ED0960" w14:textId="77777777" w:rsidR="003A2EB9" w:rsidRDefault="003A2EB9" w:rsidP="000E422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- bendros 1</w:t>
      </w:r>
      <w:r w:rsidR="009C15F7">
        <w:rPr>
          <w:color w:val="000000"/>
          <w:sz w:val="21"/>
          <w:szCs w:val="21"/>
          <w:lang w:eastAsia="lt-LT"/>
        </w:rPr>
        <w:t>m³</w:t>
      </w:r>
      <w:r>
        <w:rPr>
          <w:sz w:val="16"/>
          <w:szCs w:val="16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geriamojo vandens tiekimo ir nuotekų tvarkymo paslaugų bazinės kainos</w:t>
      </w:r>
      <w:r w:rsidR="000E4224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visoms vartotojų ir abonentų kategorijoms suskaičiuotos </w:t>
      </w:r>
      <w:r w:rsidRPr="000E4224">
        <w:rPr>
          <w:rFonts w:ascii="TimesNewRomanPSMT" w:hAnsi="TimesNewRomanPSMT" w:cs="TimesNewRomanPSMT"/>
          <w:b/>
          <w:sz w:val="24"/>
          <w:szCs w:val="24"/>
          <w:lang w:eastAsia="lt-LT"/>
        </w:rPr>
        <w:t>mažesnės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negu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ankstesnio derinimo bazinės</w:t>
      </w:r>
    </w:p>
    <w:p w14:paraId="42ED0961" w14:textId="77777777" w:rsidR="003A2EB9" w:rsidRDefault="003A2EB9" w:rsidP="000E4224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kaino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s dėl įvertintų didesnių realizuojamų paslaugų kiekių apimties </w:t>
      </w:r>
      <w:r>
        <w:rPr>
          <w:sz w:val="24"/>
          <w:szCs w:val="24"/>
          <w:lang w:eastAsia="lt-LT"/>
        </w:rPr>
        <w:t xml:space="preserve">(441,1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tūkst. </w:t>
      </w:r>
      <w:r w:rsidR="009C15F7">
        <w:rPr>
          <w:color w:val="000000"/>
          <w:sz w:val="21"/>
          <w:szCs w:val="21"/>
          <w:lang w:eastAsia="lt-LT"/>
        </w:rPr>
        <w:t>m³</w:t>
      </w:r>
      <w:r>
        <w:rPr>
          <w:sz w:val="16"/>
          <w:szCs w:val="16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didesnė</w:t>
      </w:r>
      <w:r w:rsidR="000E4224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geriamojo vandens realizacija, 340,6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tūkst. </w:t>
      </w:r>
      <w:r w:rsidR="009C15F7">
        <w:rPr>
          <w:color w:val="000000"/>
          <w:sz w:val="21"/>
          <w:szCs w:val="21"/>
          <w:lang w:eastAsia="lt-LT"/>
        </w:rPr>
        <w:t>m³</w:t>
      </w:r>
      <w:r>
        <w:rPr>
          <w:sz w:val="16"/>
          <w:szCs w:val="16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didesnė nuotekų tvarkymo paslaugų realizacija)</w:t>
      </w:r>
      <w:r>
        <w:rPr>
          <w:sz w:val="24"/>
          <w:szCs w:val="24"/>
          <w:lang w:eastAsia="lt-LT"/>
        </w:rPr>
        <w:t>,</w:t>
      </w:r>
    </w:p>
    <w:p w14:paraId="42ED0962" w14:textId="77777777" w:rsidR="003A2EB9" w:rsidRDefault="003A2EB9" w:rsidP="000E4224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kainos, taikomos vartotojams, perkantiems paslaugas bute, </w:t>
      </w:r>
      <w:r w:rsidRPr="004C422D">
        <w:rPr>
          <w:rFonts w:ascii="TimesNewRomanPSMT" w:hAnsi="TimesNewRomanPSMT" w:cs="TimesNewRomanPSMT"/>
          <w:b/>
          <w:sz w:val="24"/>
          <w:szCs w:val="24"/>
          <w:lang w:eastAsia="lt-LT"/>
        </w:rPr>
        <w:t>mažėjimui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įtakos turėjo </w:t>
      </w:r>
      <w:r>
        <w:rPr>
          <w:sz w:val="24"/>
          <w:szCs w:val="24"/>
          <w:lang w:eastAsia="lt-LT"/>
        </w:rPr>
        <w:t>Metodikos</w:t>
      </w:r>
    </w:p>
    <w:p w14:paraId="42ED0963" w14:textId="77777777" w:rsidR="003A2EB9" w:rsidRDefault="003A2EB9" w:rsidP="000E422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nuostatų pasikeitim</w:t>
      </w:r>
      <w:r>
        <w:rPr>
          <w:sz w:val="24"/>
          <w:szCs w:val="24"/>
          <w:lang w:eastAsia="lt-LT"/>
        </w:rPr>
        <w:t xml:space="preserve">as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dėl įvertinamų </w:t>
      </w:r>
      <w:r>
        <w:rPr>
          <w:sz w:val="24"/>
          <w:szCs w:val="24"/>
          <w:lang w:eastAsia="lt-LT"/>
        </w:rPr>
        <w:t>ne didesni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ų </w:t>
      </w:r>
      <w:r>
        <w:rPr>
          <w:sz w:val="24"/>
          <w:szCs w:val="24"/>
          <w:lang w:eastAsia="lt-LT"/>
        </w:rPr>
        <w:t>kaip 2 proc. geriamojo vandens nuostoli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ų daugiabučių </w:t>
      </w:r>
      <w:r>
        <w:rPr>
          <w:sz w:val="24"/>
          <w:szCs w:val="24"/>
          <w:lang w:eastAsia="lt-LT"/>
        </w:rPr>
        <w:t>nam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ų tinkluose, susidarančių dėl apskaitos prietaisų paklaidų (ankstesnio derinimo metu</w:t>
      </w:r>
    </w:p>
    <w:p w14:paraId="42ED0964" w14:textId="77777777" w:rsidR="003A2EB9" w:rsidRDefault="003A2EB9" w:rsidP="000E422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vartotojams, perkantiems paslaugas bute kaina buvo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suskaičiuo</w:t>
      </w:r>
      <w:r>
        <w:rPr>
          <w:sz w:val="24"/>
          <w:szCs w:val="24"/>
          <w:lang w:eastAsia="lt-LT"/>
        </w:rPr>
        <w:t xml:space="preserve">ta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8,3 proc. didesnė, įskaičiuojant</w:t>
      </w:r>
    </w:p>
    <w:p w14:paraId="42ED0965" w14:textId="77777777" w:rsidR="003A2EB9" w:rsidRDefault="003A2EB9" w:rsidP="000E4224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leistinus faktinius 8,3 proc. vandens nuostolius daugiabučiuose namuose</w:t>
      </w:r>
      <w:r>
        <w:rPr>
          <w:sz w:val="24"/>
          <w:szCs w:val="24"/>
          <w:lang w:eastAsia="lt-LT"/>
        </w:rPr>
        <w:t>);</w:t>
      </w:r>
    </w:p>
    <w:p w14:paraId="42ED0966" w14:textId="77777777" w:rsidR="003A2EB9" w:rsidRDefault="000E4224" w:rsidP="000E422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</w:t>
      </w:r>
      <w:r w:rsidR="003A2EB9">
        <w:rPr>
          <w:sz w:val="24"/>
          <w:szCs w:val="24"/>
          <w:lang w:eastAsia="lt-LT"/>
        </w:rPr>
        <w:t xml:space="preserve">-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a</w:t>
      </w:r>
      <w:r w:rsidR="003A2EB9">
        <w:rPr>
          <w:rFonts w:ascii="TimesNewRomanPSMT" w:hAnsi="TimesNewRomanPSMT" w:cs="TimesNewRomanPSMT"/>
          <w:sz w:val="24"/>
          <w:szCs w:val="24"/>
          <w:lang w:eastAsia="lt-LT"/>
        </w:rPr>
        <w:t xml:space="preserve">pskaitos veiklos bazinės kainos, lyginant su dabar galiojančiomis, iš esmės </w:t>
      </w:r>
      <w:r w:rsidR="003A2EB9" w:rsidRPr="000E4224">
        <w:rPr>
          <w:rFonts w:ascii="TimesNewRomanPSMT" w:hAnsi="TimesNewRomanPSMT" w:cs="TimesNewRomanPSMT"/>
          <w:b/>
          <w:sz w:val="24"/>
          <w:szCs w:val="24"/>
          <w:lang w:eastAsia="lt-LT"/>
        </w:rPr>
        <w:t>didėja</w:t>
      </w:r>
      <w:r w:rsidR="003A2EB9">
        <w:rPr>
          <w:rFonts w:ascii="TimesNewRomanPSMT" w:hAnsi="TimesNewRomanPSMT" w:cs="TimesNewRomanPSMT"/>
          <w:sz w:val="24"/>
          <w:szCs w:val="24"/>
          <w:lang w:eastAsia="lt-LT"/>
        </w:rPr>
        <w:t xml:space="preserve"> dėl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 w:rsidR="003A2EB9">
        <w:rPr>
          <w:rFonts w:ascii="TimesNewRomanPSMT" w:hAnsi="TimesNewRomanPSMT" w:cs="TimesNewRomanPSMT"/>
          <w:sz w:val="24"/>
          <w:szCs w:val="24"/>
          <w:lang w:eastAsia="lt-LT"/>
        </w:rPr>
        <w:t xml:space="preserve">Metodikos nuostatų </w:t>
      </w:r>
      <w:r w:rsidR="003A2EB9">
        <w:rPr>
          <w:sz w:val="24"/>
          <w:szCs w:val="24"/>
          <w:lang w:eastAsia="lt-LT"/>
        </w:rPr>
        <w:t xml:space="preserve">pasikeitimo </w:t>
      </w:r>
      <w:r w:rsidR="003A2EB9">
        <w:rPr>
          <w:rFonts w:ascii="TimesNewRomanPSMT" w:hAnsi="TimesNewRomanPSMT" w:cs="TimesNewRomanPSMT"/>
          <w:sz w:val="24"/>
          <w:szCs w:val="24"/>
          <w:lang w:eastAsia="lt-LT"/>
        </w:rPr>
        <w:t>– netiesioginių ir bendrųjų (administracinių) sąnaudų dalies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 w:rsidR="003A2EB9">
        <w:rPr>
          <w:sz w:val="24"/>
          <w:szCs w:val="24"/>
          <w:lang w:eastAsia="lt-LT"/>
        </w:rPr>
        <w:t>priskyrimo Apskaitos veiklai (</w:t>
      </w:r>
      <w:r w:rsidR="003A2EB9">
        <w:rPr>
          <w:rFonts w:ascii="TimesNewRomanPSMT" w:hAnsi="TimesNewRomanPSMT" w:cs="TimesNewRomanPSMT"/>
          <w:sz w:val="24"/>
          <w:szCs w:val="24"/>
          <w:lang w:eastAsia="lt-LT"/>
        </w:rPr>
        <w:t xml:space="preserve">iš viso įvertinta </w:t>
      </w:r>
      <w:r w:rsidR="003A2EB9">
        <w:rPr>
          <w:sz w:val="24"/>
          <w:szCs w:val="24"/>
          <w:lang w:eastAsia="lt-LT"/>
        </w:rPr>
        <w:t xml:space="preserve">87,77 </w:t>
      </w:r>
      <w:r w:rsidR="003A2EB9">
        <w:rPr>
          <w:rFonts w:ascii="TimesNewRomanPSMT" w:hAnsi="TimesNewRomanPSMT" w:cs="TimesNewRomanPSMT"/>
          <w:sz w:val="24"/>
          <w:szCs w:val="24"/>
          <w:lang w:eastAsia="lt-LT"/>
        </w:rPr>
        <w:t>tūkst. Eur daugiau būtinųjų sąnaudų nei planuota</w:t>
      </w:r>
    </w:p>
    <w:p w14:paraId="42ED0967" w14:textId="77777777" w:rsidR="003A2EB9" w:rsidRDefault="003A2EB9" w:rsidP="000E422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ankstesnių kainų derinimo metu: 14,55 tūkst. Eur netiesioginių sąnaudų ir </w:t>
      </w:r>
      <w:r>
        <w:rPr>
          <w:sz w:val="24"/>
          <w:szCs w:val="24"/>
          <w:lang w:eastAsia="lt-LT"/>
        </w:rPr>
        <w:t xml:space="preserve">73,11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tūkst. Eur bendrųjų</w:t>
      </w:r>
    </w:p>
    <w:p w14:paraId="42ED0968" w14:textId="77777777" w:rsidR="003A2EB9" w:rsidRDefault="003A2EB9" w:rsidP="000E4224">
      <w:pPr>
        <w:autoSpaceDE w:val="0"/>
        <w:autoSpaceDN w:val="0"/>
        <w:adjustRightInd w:val="0"/>
        <w:jc w:val="both"/>
        <w:rPr>
          <w:sz w:val="24"/>
          <w:szCs w:val="24"/>
          <w:lang w:val="sv-SE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(administracinių) sąnaudų) bei įvertintų </w:t>
      </w:r>
      <w:r>
        <w:rPr>
          <w:sz w:val="24"/>
          <w:szCs w:val="24"/>
          <w:lang w:eastAsia="lt-LT"/>
        </w:rPr>
        <w:t xml:space="preserve">141,25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tūkst. Eur didesnių personalo sąnaudų, padidėjus</w:t>
      </w:r>
      <w:r w:rsidR="000E4224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vidutiniam darbuotojų darbo užmokesčiui</w:t>
      </w:r>
      <w:r>
        <w:rPr>
          <w:sz w:val="24"/>
          <w:szCs w:val="24"/>
          <w:lang w:eastAsia="lt-LT"/>
        </w:rPr>
        <w:t>).</w:t>
      </w:r>
    </w:p>
    <w:p w14:paraId="42ED0969" w14:textId="77777777" w:rsidR="00EB626D" w:rsidRDefault="00EB626D" w:rsidP="00DD72E7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Bendrovės veiklos efektyvumas bei sąnaudų pagrįstumas </w:t>
      </w:r>
      <w:r w:rsidR="00DD72E7">
        <w:rPr>
          <w:sz w:val="24"/>
          <w:szCs w:val="24"/>
          <w:lang w:val="sv-SE"/>
        </w:rPr>
        <w:t xml:space="preserve">VKEKK buvo vertinamas palyginus bendrovės veiklą su II grupės vandens tiekėjų veikla (paslaugų </w:t>
      </w:r>
      <w:r w:rsidR="003A40A6">
        <w:rPr>
          <w:sz w:val="24"/>
          <w:szCs w:val="24"/>
          <w:lang w:val="sv-SE"/>
        </w:rPr>
        <w:t>realizacija</w:t>
      </w:r>
      <w:r w:rsidR="00DD72E7">
        <w:rPr>
          <w:sz w:val="24"/>
          <w:szCs w:val="24"/>
          <w:lang w:val="sv-SE"/>
        </w:rPr>
        <w:t xml:space="preserve"> nuo 1501 iki 7500 tūkst.</w:t>
      </w:r>
      <w:r w:rsidR="00DD72E7" w:rsidRPr="00DD72E7">
        <w:rPr>
          <w:color w:val="000000"/>
          <w:sz w:val="22"/>
          <w:szCs w:val="22"/>
        </w:rPr>
        <w:t xml:space="preserve"> </w:t>
      </w:r>
      <w:r w:rsidR="00DD72E7" w:rsidRPr="00DD72E7">
        <w:rPr>
          <w:color w:val="000000"/>
          <w:sz w:val="24"/>
          <w:szCs w:val="24"/>
        </w:rPr>
        <w:t>m</w:t>
      </w:r>
      <w:r w:rsidR="00DD72E7" w:rsidRPr="00DD72E7">
        <w:rPr>
          <w:color w:val="000000"/>
          <w:sz w:val="24"/>
          <w:szCs w:val="24"/>
          <w:vertAlign w:val="superscript"/>
        </w:rPr>
        <w:t>3</w:t>
      </w:r>
      <w:r w:rsidR="00DD72E7">
        <w:rPr>
          <w:color w:val="000000"/>
          <w:sz w:val="24"/>
          <w:szCs w:val="24"/>
          <w:vertAlign w:val="superscript"/>
        </w:rPr>
        <w:t xml:space="preserve"> </w:t>
      </w:r>
      <w:r w:rsidR="00DD72E7">
        <w:rPr>
          <w:sz w:val="24"/>
          <w:szCs w:val="24"/>
          <w:lang w:val="sv-SE"/>
        </w:rPr>
        <w:t>per metus).</w:t>
      </w:r>
    </w:p>
    <w:p w14:paraId="42ED096A" w14:textId="77777777" w:rsidR="008D3CE1" w:rsidRDefault="008D3CE1" w:rsidP="00DD72E7">
      <w:pPr>
        <w:ind w:firstLine="720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42ED096B" w14:textId="77777777" w:rsidR="008D3CE1" w:rsidRPr="00577078" w:rsidRDefault="00DD72E7" w:rsidP="00222A58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Neigiamų pasekmių nesitikima.</w:t>
      </w:r>
      <w:r w:rsidR="00222A58">
        <w:rPr>
          <w:sz w:val="24"/>
          <w:szCs w:val="24"/>
          <w:lang w:val="sv-SE"/>
        </w:rPr>
        <w:t xml:space="preserve"> Savivaldybės tarybai nustačius naujas geriamojo vandens tiekimo ir nuotekų tvarkymo paslaugų </w:t>
      </w:r>
      <w:r w:rsidR="00420401">
        <w:rPr>
          <w:sz w:val="24"/>
          <w:szCs w:val="24"/>
          <w:lang w:val="sv-SE"/>
        </w:rPr>
        <w:t xml:space="preserve">bazines </w:t>
      </w:r>
      <w:r w:rsidR="00222A58">
        <w:rPr>
          <w:sz w:val="24"/>
          <w:szCs w:val="24"/>
          <w:lang w:val="sv-SE"/>
        </w:rPr>
        <w:t xml:space="preserve">kainas, UAB „Aukštaitijos vandenys“ aptarnaujamoje licencijuojamoje teritorijoje vartotojų </w:t>
      </w:r>
      <w:r w:rsidR="00435226">
        <w:rPr>
          <w:sz w:val="24"/>
          <w:szCs w:val="24"/>
          <w:lang w:val="sv-SE"/>
        </w:rPr>
        <w:t xml:space="preserve">perkančių geriamojo vandens tiekimo ir nuotekų tvarkymo </w:t>
      </w:r>
      <w:r w:rsidR="00222A58">
        <w:rPr>
          <w:sz w:val="24"/>
          <w:szCs w:val="24"/>
          <w:lang w:val="sv-SE"/>
        </w:rPr>
        <w:t xml:space="preserve"> paslaugas</w:t>
      </w:r>
      <w:r w:rsidR="00435226">
        <w:rPr>
          <w:sz w:val="24"/>
          <w:szCs w:val="24"/>
          <w:lang w:val="sv-SE"/>
        </w:rPr>
        <w:t xml:space="preserve"> bute, mokama suma už paslaugas</w:t>
      </w:r>
      <w:r w:rsidR="00222A58">
        <w:rPr>
          <w:sz w:val="24"/>
          <w:szCs w:val="24"/>
          <w:lang w:val="sv-SE"/>
        </w:rPr>
        <w:t xml:space="preserve"> sudarys 0,9</w:t>
      </w:r>
      <w:r w:rsidR="00435226">
        <w:rPr>
          <w:sz w:val="24"/>
          <w:szCs w:val="24"/>
          <w:lang w:val="sv-SE"/>
        </w:rPr>
        <w:t>7</w:t>
      </w:r>
      <w:r w:rsidR="00222A58">
        <w:rPr>
          <w:sz w:val="24"/>
          <w:szCs w:val="24"/>
          <w:lang w:val="sv-SE"/>
        </w:rPr>
        <w:t xml:space="preserve"> proc. vidutinių šeimos pajamų, t.y. neviršys 4,0 proc. vidutinių šeimos pajamų.</w:t>
      </w:r>
    </w:p>
    <w:p w14:paraId="42ED096C" w14:textId="77777777" w:rsidR="008D3CE1" w:rsidRDefault="008D3CE1" w:rsidP="00222A58">
      <w:pPr>
        <w:ind w:firstLine="720"/>
        <w:rPr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6. Kieno iniciatyva parengtas sprendimo projektas</w:t>
      </w:r>
      <w:r w:rsidRPr="00577078">
        <w:rPr>
          <w:sz w:val="24"/>
          <w:szCs w:val="24"/>
          <w:lang w:val="sv-SE"/>
        </w:rPr>
        <w:t>:</w:t>
      </w:r>
    </w:p>
    <w:p w14:paraId="42ED096D" w14:textId="77777777" w:rsidR="008D3CE1" w:rsidRDefault="008D3CE1" w:rsidP="00513206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lastRenderedPageBreak/>
        <w:t xml:space="preserve">Sprendimo projektas parengtas </w:t>
      </w:r>
      <w:r w:rsidR="00513206">
        <w:rPr>
          <w:sz w:val="24"/>
          <w:szCs w:val="24"/>
          <w:lang w:val="sv-SE"/>
        </w:rPr>
        <w:t>Savivaldybės administracijos</w:t>
      </w:r>
      <w:r w:rsidR="00AE1D95">
        <w:rPr>
          <w:sz w:val="24"/>
          <w:szCs w:val="24"/>
          <w:lang w:val="sv-SE"/>
        </w:rPr>
        <w:t xml:space="preserve"> Miesto plėtros skyriaus</w:t>
      </w:r>
      <w:r w:rsidR="00513206">
        <w:rPr>
          <w:sz w:val="24"/>
          <w:szCs w:val="24"/>
          <w:lang w:val="sv-SE"/>
        </w:rPr>
        <w:t xml:space="preserve"> pagal </w:t>
      </w:r>
      <w:r w:rsidR="007B0CF0">
        <w:rPr>
          <w:sz w:val="24"/>
          <w:szCs w:val="24"/>
          <w:lang w:val="sv-SE"/>
        </w:rPr>
        <w:t>UAB „Aukštaitijos vandenys“</w:t>
      </w:r>
      <w:r w:rsidR="00513206">
        <w:rPr>
          <w:sz w:val="24"/>
          <w:szCs w:val="24"/>
          <w:lang w:val="sv-SE"/>
        </w:rPr>
        <w:t xml:space="preserve"> 201</w:t>
      </w:r>
      <w:r w:rsidR="00AE1D95">
        <w:rPr>
          <w:sz w:val="24"/>
          <w:szCs w:val="24"/>
          <w:lang w:val="sv-SE"/>
        </w:rPr>
        <w:t>9</w:t>
      </w:r>
      <w:r w:rsidR="00513206">
        <w:rPr>
          <w:sz w:val="24"/>
          <w:szCs w:val="24"/>
          <w:lang w:val="sv-SE"/>
        </w:rPr>
        <w:t xml:space="preserve"> m. b</w:t>
      </w:r>
      <w:r w:rsidR="00AE1D95">
        <w:rPr>
          <w:sz w:val="24"/>
          <w:szCs w:val="24"/>
          <w:lang w:val="sv-SE"/>
        </w:rPr>
        <w:t>alandž</w:t>
      </w:r>
      <w:r w:rsidR="00513206">
        <w:rPr>
          <w:sz w:val="24"/>
          <w:szCs w:val="24"/>
          <w:lang w:val="sv-SE"/>
        </w:rPr>
        <w:t>io 1 d. raštą Nr. 2.1-</w:t>
      </w:r>
      <w:r w:rsidR="00AE1D95">
        <w:rPr>
          <w:sz w:val="24"/>
          <w:szCs w:val="24"/>
          <w:lang w:val="sv-SE"/>
        </w:rPr>
        <w:t>2</w:t>
      </w:r>
      <w:r w:rsidR="00513206">
        <w:rPr>
          <w:sz w:val="24"/>
          <w:szCs w:val="24"/>
          <w:lang w:val="sv-SE"/>
        </w:rPr>
        <w:t>4</w:t>
      </w:r>
      <w:r w:rsidR="00AE1D95">
        <w:rPr>
          <w:sz w:val="24"/>
          <w:szCs w:val="24"/>
          <w:lang w:val="sv-SE"/>
        </w:rPr>
        <w:t>1</w:t>
      </w:r>
      <w:r w:rsidR="007B0CF0">
        <w:rPr>
          <w:sz w:val="24"/>
          <w:szCs w:val="24"/>
          <w:lang w:val="sv-SE"/>
        </w:rPr>
        <w:t xml:space="preserve"> </w:t>
      </w:r>
      <w:r w:rsidR="00513206">
        <w:rPr>
          <w:sz w:val="24"/>
          <w:szCs w:val="24"/>
          <w:lang w:val="sv-SE"/>
        </w:rPr>
        <w:t>„Dėl</w:t>
      </w:r>
      <w:r w:rsidR="004A6176">
        <w:rPr>
          <w:sz w:val="24"/>
          <w:szCs w:val="24"/>
          <w:lang w:val="sv-SE"/>
        </w:rPr>
        <w:t xml:space="preserve"> </w:t>
      </w:r>
      <w:r w:rsidR="00513206">
        <w:rPr>
          <w:sz w:val="24"/>
          <w:szCs w:val="24"/>
          <w:lang w:val="sv-SE"/>
        </w:rPr>
        <w:t xml:space="preserve">UAB </w:t>
      </w:r>
      <w:r w:rsidR="004A6176">
        <w:rPr>
          <w:sz w:val="24"/>
          <w:szCs w:val="24"/>
          <w:lang w:val="sv-SE"/>
        </w:rPr>
        <w:t>„</w:t>
      </w:r>
      <w:r w:rsidR="00513206">
        <w:rPr>
          <w:sz w:val="24"/>
          <w:szCs w:val="24"/>
          <w:lang w:val="sv-SE"/>
        </w:rPr>
        <w:t>Aukštaitijos vandenys“ geriamojo vandens tiekimo ir nuotekų tvarkymo paslaugų bazinių kainų nustatymo“.</w:t>
      </w:r>
    </w:p>
    <w:p w14:paraId="42ED096E" w14:textId="77777777" w:rsidR="0056466D" w:rsidRDefault="0056466D" w:rsidP="00513206">
      <w:pPr>
        <w:jc w:val="both"/>
        <w:rPr>
          <w:sz w:val="24"/>
          <w:szCs w:val="24"/>
          <w:lang w:val="sv-SE"/>
        </w:rPr>
      </w:pPr>
    </w:p>
    <w:p w14:paraId="42ED096F" w14:textId="77777777" w:rsidR="008D3CE1" w:rsidRDefault="008D3CE1" w:rsidP="00F359C0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</w:t>
      </w:r>
      <w:r w:rsidR="00420401">
        <w:rPr>
          <w:sz w:val="24"/>
          <w:szCs w:val="24"/>
          <w:lang w:val="sv-SE"/>
        </w:rPr>
        <w:t>RIDEDAMA</w:t>
      </w:r>
      <w:r>
        <w:rPr>
          <w:sz w:val="24"/>
          <w:szCs w:val="24"/>
          <w:lang w:val="sv-SE"/>
        </w:rPr>
        <w:t xml:space="preserve">: </w:t>
      </w:r>
    </w:p>
    <w:p w14:paraId="42ED0970" w14:textId="77777777" w:rsidR="005070EC" w:rsidRDefault="005070EC" w:rsidP="00F359C0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1.UAB „Aukštaitijos vandenys“</w:t>
      </w:r>
      <w:r w:rsidR="00B9466D">
        <w:rPr>
          <w:sz w:val="24"/>
          <w:szCs w:val="24"/>
          <w:lang w:val="sv-SE"/>
        </w:rPr>
        <w:t xml:space="preserve"> </w:t>
      </w:r>
      <w:r w:rsidR="00AE1D95">
        <w:rPr>
          <w:sz w:val="24"/>
          <w:szCs w:val="24"/>
          <w:lang w:val="sv-SE"/>
        </w:rPr>
        <w:t xml:space="preserve">2019 m. balandžio 1 d. raštą Nr. 2.1-241 </w:t>
      </w:r>
      <w:r w:rsidR="00B9466D">
        <w:rPr>
          <w:sz w:val="24"/>
          <w:szCs w:val="24"/>
          <w:lang w:val="sv-SE"/>
        </w:rPr>
        <w:t xml:space="preserve"> „Dėl  UAB Aukštaitijos vandenys“ geriamojo vandens tiekimo ir nuotekų tvarkymo paslaugų </w:t>
      </w:r>
      <w:r w:rsidR="00F359C0">
        <w:rPr>
          <w:sz w:val="24"/>
          <w:szCs w:val="24"/>
          <w:lang w:val="sv-SE"/>
        </w:rPr>
        <w:t xml:space="preserve">bazinių </w:t>
      </w:r>
      <w:r w:rsidR="00B9466D">
        <w:rPr>
          <w:sz w:val="24"/>
          <w:szCs w:val="24"/>
          <w:lang w:val="sv-SE"/>
        </w:rPr>
        <w:t xml:space="preserve">kainų </w:t>
      </w:r>
      <w:r w:rsidR="00F359C0">
        <w:rPr>
          <w:sz w:val="24"/>
          <w:szCs w:val="24"/>
          <w:lang w:val="sv-SE"/>
        </w:rPr>
        <w:t>nustaty</w:t>
      </w:r>
      <w:r w:rsidR="00B9466D">
        <w:rPr>
          <w:sz w:val="24"/>
          <w:szCs w:val="24"/>
          <w:lang w:val="sv-SE"/>
        </w:rPr>
        <w:t>mo“</w:t>
      </w:r>
      <w:r w:rsidR="00420401">
        <w:rPr>
          <w:sz w:val="24"/>
          <w:szCs w:val="24"/>
          <w:lang w:val="sv-SE"/>
        </w:rPr>
        <w:t xml:space="preserve"> – </w:t>
      </w:r>
      <w:r w:rsidR="00B9466D">
        <w:rPr>
          <w:sz w:val="24"/>
          <w:szCs w:val="24"/>
          <w:lang w:val="sv-SE"/>
        </w:rPr>
        <w:t xml:space="preserve"> </w:t>
      </w:r>
      <w:r w:rsidR="00FE289D">
        <w:rPr>
          <w:sz w:val="24"/>
          <w:szCs w:val="24"/>
          <w:lang w:val="sv-SE"/>
        </w:rPr>
        <w:t>3</w:t>
      </w:r>
      <w:r w:rsidR="00B9466D">
        <w:rPr>
          <w:sz w:val="24"/>
          <w:szCs w:val="24"/>
          <w:lang w:val="sv-SE"/>
        </w:rPr>
        <w:t xml:space="preserve"> lapai</w:t>
      </w:r>
      <w:r w:rsidR="00765CB3">
        <w:rPr>
          <w:sz w:val="24"/>
          <w:szCs w:val="24"/>
          <w:lang w:val="sv-SE"/>
        </w:rPr>
        <w:t>;</w:t>
      </w:r>
    </w:p>
    <w:p w14:paraId="42ED0971" w14:textId="77777777" w:rsidR="00F46D0B" w:rsidRDefault="00765CB3" w:rsidP="00F359C0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2.Valstybinės kainų ir energetikos kontrolės komisijos </w:t>
      </w:r>
      <w:r w:rsidR="00AE1D95">
        <w:rPr>
          <w:sz w:val="24"/>
          <w:szCs w:val="24"/>
          <w:lang w:val="sv-SE"/>
        </w:rPr>
        <w:t>2019 m. kovo 27 d. nutarimas Nr. O3E-88</w:t>
      </w:r>
      <w:r w:rsidR="00F46D0B">
        <w:rPr>
          <w:sz w:val="24"/>
          <w:szCs w:val="24"/>
          <w:lang w:val="sv-SE"/>
        </w:rPr>
        <w:t xml:space="preserve"> „Dėl uždarosios akcinės bendrovės  „Aukštaitijos vandenys“ geriamojo vandens tiekimo ir nuotekų tvarkymo paslaugų </w:t>
      </w:r>
      <w:r w:rsidR="00F633CA">
        <w:rPr>
          <w:sz w:val="24"/>
          <w:szCs w:val="24"/>
          <w:lang w:val="sv-SE"/>
        </w:rPr>
        <w:t xml:space="preserve">bazinių </w:t>
      </w:r>
      <w:r w:rsidR="00F46D0B">
        <w:rPr>
          <w:sz w:val="24"/>
          <w:szCs w:val="24"/>
          <w:lang w:val="sv-SE"/>
        </w:rPr>
        <w:t>kainų derinimo“</w:t>
      </w:r>
      <w:r w:rsidR="00F633CA">
        <w:rPr>
          <w:sz w:val="24"/>
          <w:szCs w:val="24"/>
          <w:lang w:val="sv-SE"/>
        </w:rPr>
        <w:t xml:space="preserve"> – 3 </w:t>
      </w:r>
      <w:r w:rsidR="00F46D0B">
        <w:rPr>
          <w:sz w:val="24"/>
          <w:szCs w:val="24"/>
          <w:lang w:val="sv-SE"/>
        </w:rPr>
        <w:t>lapai</w:t>
      </w:r>
      <w:r w:rsidR="00F633CA">
        <w:rPr>
          <w:sz w:val="24"/>
          <w:szCs w:val="24"/>
          <w:lang w:val="sv-SE"/>
        </w:rPr>
        <w:t>;</w:t>
      </w:r>
    </w:p>
    <w:p w14:paraId="42ED0972" w14:textId="77777777" w:rsidR="00F46D0B" w:rsidRDefault="00F46D0B" w:rsidP="00F359C0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3. Valstybinės kainų ir energetikos kontrolės komisijos </w:t>
      </w:r>
      <w:r w:rsidR="00F633CA">
        <w:rPr>
          <w:sz w:val="24"/>
          <w:szCs w:val="24"/>
          <w:lang w:val="sv-SE"/>
        </w:rPr>
        <w:t>Š</w:t>
      </w:r>
      <w:r>
        <w:rPr>
          <w:sz w:val="24"/>
          <w:szCs w:val="24"/>
          <w:lang w:val="sv-SE"/>
        </w:rPr>
        <w:t xml:space="preserve">ilumos ir vandens departamento </w:t>
      </w:r>
      <w:r w:rsidR="00F633CA">
        <w:rPr>
          <w:sz w:val="24"/>
          <w:szCs w:val="24"/>
          <w:lang w:val="sv-SE"/>
        </w:rPr>
        <w:t>Vandens</w:t>
      </w:r>
      <w:r>
        <w:rPr>
          <w:sz w:val="24"/>
          <w:szCs w:val="24"/>
          <w:lang w:val="sv-SE"/>
        </w:rPr>
        <w:t xml:space="preserve"> skyriaus </w:t>
      </w:r>
      <w:r w:rsidR="00FE289D">
        <w:rPr>
          <w:sz w:val="24"/>
          <w:szCs w:val="24"/>
          <w:lang w:val="sv-SE"/>
        </w:rPr>
        <w:t xml:space="preserve">2019 m. kovo 19 d. pažyma Nr. O5E-65 </w:t>
      </w:r>
      <w:r>
        <w:rPr>
          <w:sz w:val="24"/>
          <w:szCs w:val="24"/>
          <w:lang w:val="sv-SE"/>
        </w:rPr>
        <w:t xml:space="preserve">„Dėl uždarosios akcinės bendrovės  „Aukštaitijos vandenys“ geriamojo vandens tiekimo ir nuotekų tvarkymo paslaugų </w:t>
      </w:r>
      <w:r w:rsidR="00F633CA">
        <w:rPr>
          <w:sz w:val="24"/>
          <w:szCs w:val="24"/>
          <w:lang w:val="sv-SE"/>
        </w:rPr>
        <w:t xml:space="preserve">bazinių </w:t>
      </w:r>
      <w:r>
        <w:rPr>
          <w:sz w:val="24"/>
          <w:szCs w:val="24"/>
          <w:lang w:val="sv-SE"/>
        </w:rPr>
        <w:t>kainų derinimo“</w:t>
      </w:r>
      <w:r w:rsidR="00F633CA">
        <w:rPr>
          <w:sz w:val="24"/>
          <w:szCs w:val="24"/>
          <w:lang w:val="sv-SE"/>
        </w:rPr>
        <w:t xml:space="preserve"> – 5</w:t>
      </w:r>
      <w:r w:rsidR="00FE289D">
        <w:rPr>
          <w:sz w:val="24"/>
          <w:szCs w:val="24"/>
          <w:lang w:val="sv-SE"/>
        </w:rPr>
        <w:t>8</w:t>
      </w:r>
      <w:r w:rsidR="00F633C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lapai</w:t>
      </w:r>
      <w:r w:rsidR="00F633CA">
        <w:rPr>
          <w:sz w:val="24"/>
          <w:szCs w:val="24"/>
          <w:lang w:val="sv-SE"/>
        </w:rPr>
        <w:t>;</w:t>
      </w:r>
    </w:p>
    <w:p w14:paraId="42ED0973" w14:textId="77777777" w:rsidR="0043257B" w:rsidRDefault="0043257B" w:rsidP="00F359C0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4.</w:t>
      </w:r>
      <w:r w:rsidR="002A0C92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UAB  „Aukštaitijos vandenys“</w:t>
      </w:r>
      <w:r w:rsidR="002A0C92">
        <w:rPr>
          <w:sz w:val="24"/>
          <w:szCs w:val="24"/>
          <w:lang w:val="sv-SE"/>
        </w:rPr>
        <w:t xml:space="preserve"> 201</w:t>
      </w:r>
      <w:r w:rsidR="00FE289D">
        <w:rPr>
          <w:sz w:val="24"/>
          <w:szCs w:val="24"/>
          <w:lang w:val="sv-SE"/>
        </w:rPr>
        <w:t>9</w:t>
      </w:r>
      <w:r w:rsidR="00F633CA">
        <w:rPr>
          <w:sz w:val="24"/>
          <w:szCs w:val="24"/>
          <w:lang w:val="sv-SE"/>
        </w:rPr>
        <w:t xml:space="preserve"> m. </w:t>
      </w:r>
      <w:r w:rsidR="00FE289D">
        <w:rPr>
          <w:sz w:val="24"/>
          <w:szCs w:val="24"/>
          <w:lang w:val="sv-SE"/>
        </w:rPr>
        <w:t>kovo</w:t>
      </w:r>
      <w:r w:rsidR="00F633CA">
        <w:rPr>
          <w:sz w:val="24"/>
          <w:szCs w:val="24"/>
          <w:lang w:val="sv-SE"/>
        </w:rPr>
        <w:t xml:space="preserve"> 2</w:t>
      </w:r>
      <w:r w:rsidR="00FE289D">
        <w:rPr>
          <w:sz w:val="24"/>
          <w:szCs w:val="24"/>
          <w:lang w:val="sv-SE"/>
        </w:rPr>
        <w:t>7</w:t>
      </w:r>
      <w:r w:rsidR="00F633CA">
        <w:rPr>
          <w:sz w:val="24"/>
          <w:szCs w:val="24"/>
          <w:lang w:val="sv-SE"/>
        </w:rPr>
        <w:t xml:space="preserve"> </w:t>
      </w:r>
      <w:r w:rsidR="002A0C92">
        <w:rPr>
          <w:sz w:val="24"/>
          <w:szCs w:val="24"/>
          <w:lang w:val="sv-SE"/>
        </w:rPr>
        <w:t>d. raštas „</w:t>
      </w:r>
      <w:r w:rsidR="00F633CA">
        <w:rPr>
          <w:sz w:val="24"/>
          <w:szCs w:val="24"/>
          <w:lang w:val="sv-SE"/>
        </w:rPr>
        <w:t xml:space="preserve">Vidutinės atsiskaitomųjų apskaitos prietaisų priežiūros ir vartotojų aptarnavimo paslaugos </w:t>
      </w:r>
      <w:r w:rsidR="002A0C92">
        <w:rPr>
          <w:sz w:val="24"/>
          <w:szCs w:val="24"/>
          <w:lang w:val="sv-SE"/>
        </w:rPr>
        <w:t>kainos abonentams diferencijavimas“</w:t>
      </w:r>
      <w:r w:rsidR="00F633CA">
        <w:rPr>
          <w:sz w:val="24"/>
          <w:szCs w:val="24"/>
          <w:lang w:val="sv-SE"/>
        </w:rPr>
        <w:t xml:space="preserve"> – 2 </w:t>
      </w:r>
      <w:r w:rsidR="002A0C92">
        <w:rPr>
          <w:sz w:val="24"/>
          <w:szCs w:val="24"/>
          <w:lang w:val="sv-SE"/>
        </w:rPr>
        <w:t>lapai</w:t>
      </w:r>
      <w:r w:rsidR="00F633CA">
        <w:rPr>
          <w:sz w:val="24"/>
          <w:szCs w:val="24"/>
          <w:lang w:val="sv-SE"/>
        </w:rPr>
        <w:t>;</w:t>
      </w:r>
    </w:p>
    <w:p w14:paraId="42ED0974" w14:textId="77777777" w:rsidR="008D3CE1" w:rsidRPr="00577078" w:rsidRDefault="008D3CE1" w:rsidP="008D3CE1">
      <w:pPr>
        <w:jc w:val="both"/>
        <w:rPr>
          <w:sz w:val="24"/>
          <w:szCs w:val="24"/>
          <w:lang w:val="sv-SE"/>
        </w:rPr>
      </w:pPr>
    </w:p>
    <w:p w14:paraId="42ED0975" w14:textId="77777777" w:rsidR="008D3CE1" w:rsidRPr="00577078" w:rsidRDefault="008D3CE1" w:rsidP="008D3CE1">
      <w:pPr>
        <w:jc w:val="both"/>
        <w:rPr>
          <w:sz w:val="24"/>
          <w:szCs w:val="24"/>
          <w:lang w:val="sv-SE"/>
        </w:rPr>
      </w:pPr>
    </w:p>
    <w:p w14:paraId="42ED0976" w14:textId="77777777" w:rsidR="008D3CE1" w:rsidRPr="00577078" w:rsidRDefault="008D3CE1" w:rsidP="008D3CE1">
      <w:pPr>
        <w:rPr>
          <w:sz w:val="24"/>
          <w:szCs w:val="24"/>
          <w:lang w:val="sv-SE"/>
        </w:rPr>
      </w:pPr>
    </w:p>
    <w:p w14:paraId="42ED0977" w14:textId="77777777" w:rsidR="008D3CE1" w:rsidRPr="00577078" w:rsidRDefault="00FE289D" w:rsidP="008D3CE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Miesto plėtros</w:t>
      </w:r>
      <w:r w:rsidR="008D3CE1" w:rsidRPr="00577078">
        <w:rPr>
          <w:sz w:val="24"/>
          <w:szCs w:val="24"/>
          <w:lang w:val="sv-SE"/>
        </w:rPr>
        <w:t xml:space="preserve"> skyriaus</w:t>
      </w:r>
      <w:r w:rsidR="008D3CE1">
        <w:rPr>
          <w:sz w:val="24"/>
          <w:szCs w:val="24"/>
          <w:lang w:val="sv-SE"/>
        </w:rPr>
        <w:t xml:space="preserve"> v</w:t>
      </w:r>
      <w:r w:rsidR="00420401">
        <w:rPr>
          <w:sz w:val="24"/>
          <w:szCs w:val="24"/>
          <w:lang w:val="sv-SE"/>
        </w:rPr>
        <w:t>yr. specialistė</w:t>
      </w:r>
      <w:r w:rsidR="008D3CE1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8D3CE1">
        <w:rPr>
          <w:sz w:val="24"/>
          <w:szCs w:val="24"/>
          <w:lang w:val="sv-SE"/>
        </w:rPr>
        <w:tab/>
      </w:r>
      <w:r w:rsidR="00420401">
        <w:rPr>
          <w:sz w:val="24"/>
          <w:szCs w:val="24"/>
          <w:lang w:val="sv-SE"/>
        </w:rPr>
        <w:t>Rit</w:t>
      </w:r>
      <w:r w:rsidR="008D3CE1">
        <w:rPr>
          <w:sz w:val="24"/>
          <w:szCs w:val="24"/>
          <w:lang w:val="sv-SE"/>
        </w:rPr>
        <w:t>a S</w:t>
      </w:r>
      <w:r w:rsidR="00420401">
        <w:rPr>
          <w:sz w:val="24"/>
          <w:szCs w:val="24"/>
          <w:lang w:val="sv-SE"/>
        </w:rPr>
        <w:t>ervienė</w:t>
      </w:r>
    </w:p>
    <w:p w14:paraId="42ED0978" w14:textId="77777777" w:rsidR="008D3CE1" w:rsidRDefault="008D3CE1" w:rsidP="008D3CE1">
      <w:pPr>
        <w:jc w:val="center"/>
        <w:rPr>
          <w:b/>
          <w:bCs/>
          <w:sz w:val="24"/>
        </w:rPr>
      </w:pPr>
    </w:p>
    <w:p w14:paraId="42ED0979" w14:textId="77777777" w:rsidR="008D3CE1" w:rsidRDefault="008D3CE1" w:rsidP="008D3CE1">
      <w:pPr>
        <w:jc w:val="both"/>
        <w:rPr>
          <w:sz w:val="24"/>
        </w:rPr>
      </w:pPr>
    </w:p>
    <w:p w14:paraId="42ED097A" w14:textId="77777777" w:rsidR="008D3CE1" w:rsidRDefault="008D3CE1" w:rsidP="008D3CE1">
      <w:pPr>
        <w:jc w:val="center"/>
        <w:rPr>
          <w:b/>
          <w:bCs/>
          <w:sz w:val="24"/>
        </w:rPr>
      </w:pPr>
    </w:p>
    <w:p w14:paraId="42ED097B" w14:textId="77777777" w:rsidR="00FA4856" w:rsidRDefault="00FA4856" w:rsidP="00FA4856">
      <w:pPr>
        <w:ind w:firstLine="720"/>
        <w:jc w:val="both"/>
        <w:rPr>
          <w:sz w:val="24"/>
          <w:szCs w:val="24"/>
        </w:rPr>
      </w:pPr>
    </w:p>
    <w:sectPr w:rsidR="00FA4856" w:rsidSect="00DA2323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644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D097E" w14:textId="77777777" w:rsidR="0096587B" w:rsidRDefault="0096587B">
      <w:r>
        <w:separator/>
      </w:r>
    </w:p>
  </w:endnote>
  <w:endnote w:type="continuationSeparator" w:id="0">
    <w:p w14:paraId="42ED097F" w14:textId="77777777" w:rsidR="0096587B" w:rsidRDefault="0096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0984" w14:textId="77777777" w:rsidR="00B3679E" w:rsidRDefault="00B3679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2ED0985" w14:textId="77777777" w:rsidR="00B3679E" w:rsidRDefault="00B3679E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D097C" w14:textId="77777777" w:rsidR="0096587B" w:rsidRDefault="0096587B">
      <w:r>
        <w:separator/>
      </w:r>
    </w:p>
  </w:footnote>
  <w:footnote w:type="continuationSeparator" w:id="0">
    <w:p w14:paraId="42ED097D" w14:textId="77777777" w:rsidR="0096587B" w:rsidRDefault="00965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0980" w14:textId="77777777" w:rsidR="00B3679E" w:rsidRDefault="00B3679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ED0981" w14:textId="77777777" w:rsidR="00B3679E" w:rsidRDefault="00B3679E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0982" w14:textId="77777777" w:rsidR="00B3679E" w:rsidRDefault="00B3679E">
    <w:pPr>
      <w:pStyle w:val="Antrats"/>
      <w:framePr w:wrap="around" w:vAnchor="text" w:hAnchor="page" w:x="6107" w:y="-2"/>
      <w:rPr>
        <w:rStyle w:val="Puslapionumeris"/>
      </w:rPr>
    </w:pPr>
  </w:p>
  <w:p w14:paraId="42ED0983" w14:textId="77777777" w:rsidR="00B3679E" w:rsidRDefault="00B3679E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0986" w14:textId="77777777" w:rsidR="00B3679E" w:rsidRDefault="00B3679E">
    <w:pPr>
      <w:ind w:left="7200" w:firstLine="720"/>
      <w:rPr>
        <w:sz w:val="22"/>
      </w:rPr>
    </w:pPr>
  </w:p>
  <w:p w14:paraId="42ED0987" w14:textId="77777777" w:rsidR="00B3679E" w:rsidRDefault="00B3679E">
    <w:pPr>
      <w:pStyle w:val="Antrat1"/>
      <w:rPr>
        <w:rFonts w:ascii="Times New Roman" w:hAnsi="Times New Roman"/>
        <w:sz w:val="22"/>
      </w:rPr>
    </w:pPr>
  </w:p>
  <w:p w14:paraId="42ED0988" w14:textId="77777777" w:rsidR="00B3679E" w:rsidRDefault="00B3679E">
    <w:pPr>
      <w:pStyle w:val="Antrat1"/>
      <w:rPr>
        <w:rFonts w:ascii="Times New Roman" w:hAnsi="Times New Roman"/>
        <w:sz w:val="22"/>
      </w:rPr>
    </w:pPr>
  </w:p>
  <w:p w14:paraId="42ED0989" w14:textId="77777777" w:rsidR="00B3679E" w:rsidRDefault="00B3679E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7A8432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660370"/>
    <w:multiLevelType w:val="hybridMultilevel"/>
    <w:tmpl w:val="08E6D42E"/>
    <w:lvl w:ilvl="0" w:tplc="FBDA9142">
      <w:start w:val="2"/>
      <w:numFmt w:val="bullet"/>
      <w:lvlText w:val="-"/>
      <w:lvlJc w:val="left"/>
      <w:pPr>
        <w:ind w:left="30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2" w15:restartNumberingAfterBreak="0">
    <w:nsid w:val="38334B25"/>
    <w:multiLevelType w:val="hybridMultilevel"/>
    <w:tmpl w:val="1EFE49B8"/>
    <w:lvl w:ilvl="0" w:tplc="FDAE81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B4AE6"/>
    <w:multiLevelType w:val="hybridMultilevel"/>
    <w:tmpl w:val="8AECF85E"/>
    <w:lvl w:ilvl="0" w:tplc="79C86162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C2F6AB5"/>
    <w:multiLevelType w:val="hybridMultilevel"/>
    <w:tmpl w:val="69FC659E"/>
    <w:lvl w:ilvl="0" w:tplc="E1AAF95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7313BE"/>
    <w:multiLevelType w:val="hybridMultilevel"/>
    <w:tmpl w:val="747ACE1A"/>
    <w:lvl w:ilvl="0" w:tplc="F0FA3E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09060C"/>
    <w:multiLevelType w:val="hybridMultilevel"/>
    <w:tmpl w:val="71EE219E"/>
    <w:lvl w:ilvl="0" w:tplc="B6AC64E0">
      <w:start w:val="2"/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0AD0C0B"/>
    <w:multiLevelType w:val="hybridMultilevel"/>
    <w:tmpl w:val="15FA843A"/>
    <w:lvl w:ilvl="0" w:tplc="8F3C9C2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7855FA"/>
    <w:multiLevelType w:val="hybridMultilevel"/>
    <w:tmpl w:val="77FC73F8"/>
    <w:lvl w:ilvl="0" w:tplc="2EEEE1C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2B749A"/>
    <w:multiLevelType w:val="hybridMultilevel"/>
    <w:tmpl w:val="C20E24CC"/>
    <w:lvl w:ilvl="0" w:tplc="E58EF5FE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0165303"/>
    <w:multiLevelType w:val="hybridMultilevel"/>
    <w:tmpl w:val="7AE6513C"/>
    <w:lvl w:ilvl="0" w:tplc="ABA0A5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51C21"/>
    <w:multiLevelType w:val="hybridMultilevel"/>
    <w:tmpl w:val="D69A4E7A"/>
    <w:lvl w:ilvl="0" w:tplc="39CA6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68D548E"/>
    <w:multiLevelType w:val="hybridMultilevel"/>
    <w:tmpl w:val="190061C2"/>
    <w:lvl w:ilvl="0" w:tplc="A9780A0E">
      <w:start w:val="4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E1"/>
    <w:rsid w:val="000638B0"/>
    <w:rsid w:val="00063F8B"/>
    <w:rsid w:val="000844DC"/>
    <w:rsid w:val="000A2544"/>
    <w:rsid w:val="000C581A"/>
    <w:rsid w:val="000D7326"/>
    <w:rsid w:val="000E4224"/>
    <w:rsid w:val="001029A2"/>
    <w:rsid w:val="00114958"/>
    <w:rsid w:val="00117D60"/>
    <w:rsid w:val="00121784"/>
    <w:rsid w:val="0016798F"/>
    <w:rsid w:val="00181D49"/>
    <w:rsid w:val="00196AFB"/>
    <w:rsid w:val="001B1CB4"/>
    <w:rsid w:val="001C7C41"/>
    <w:rsid w:val="001D6499"/>
    <w:rsid w:val="001D6DBD"/>
    <w:rsid w:val="001D7067"/>
    <w:rsid w:val="001E0FA5"/>
    <w:rsid w:val="001F3F6A"/>
    <w:rsid w:val="002075C2"/>
    <w:rsid w:val="00222A58"/>
    <w:rsid w:val="00252CEF"/>
    <w:rsid w:val="00276345"/>
    <w:rsid w:val="00294966"/>
    <w:rsid w:val="002A0C92"/>
    <w:rsid w:val="002C3238"/>
    <w:rsid w:val="002C40EB"/>
    <w:rsid w:val="002D71D3"/>
    <w:rsid w:val="002F29FD"/>
    <w:rsid w:val="003023FE"/>
    <w:rsid w:val="00392340"/>
    <w:rsid w:val="003A2EB9"/>
    <w:rsid w:val="003A40A6"/>
    <w:rsid w:val="003B40A6"/>
    <w:rsid w:val="003C2B17"/>
    <w:rsid w:val="003C6453"/>
    <w:rsid w:val="003D46EE"/>
    <w:rsid w:val="003E2396"/>
    <w:rsid w:val="004008ED"/>
    <w:rsid w:val="00420401"/>
    <w:rsid w:val="0043257B"/>
    <w:rsid w:val="00435226"/>
    <w:rsid w:val="0044613D"/>
    <w:rsid w:val="0045446A"/>
    <w:rsid w:val="004819E3"/>
    <w:rsid w:val="004A32D1"/>
    <w:rsid w:val="004A6176"/>
    <w:rsid w:val="004C121D"/>
    <w:rsid w:val="004C422D"/>
    <w:rsid w:val="004D6DFD"/>
    <w:rsid w:val="005070EC"/>
    <w:rsid w:val="00513206"/>
    <w:rsid w:val="00522418"/>
    <w:rsid w:val="00525B61"/>
    <w:rsid w:val="00530BFD"/>
    <w:rsid w:val="00543B6C"/>
    <w:rsid w:val="00545D7A"/>
    <w:rsid w:val="005465CC"/>
    <w:rsid w:val="005470C1"/>
    <w:rsid w:val="0056466D"/>
    <w:rsid w:val="00576A04"/>
    <w:rsid w:val="005A6347"/>
    <w:rsid w:val="005B4052"/>
    <w:rsid w:val="005C095C"/>
    <w:rsid w:val="005E7120"/>
    <w:rsid w:val="00605736"/>
    <w:rsid w:val="00611440"/>
    <w:rsid w:val="0062306D"/>
    <w:rsid w:val="00625D5F"/>
    <w:rsid w:val="00656EBA"/>
    <w:rsid w:val="006612F7"/>
    <w:rsid w:val="00686530"/>
    <w:rsid w:val="006A1B99"/>
    <w:rsid w:val="006B1C76"/>
    <w:rsid w:val="006B4195"/>
    <w:rsid w:val="006C7F96"/>
    <w:rsid w:val="006E31C0"/>
    <w:rsid w:val="006E71A7"/>
    <w:rsid w:val="0070195C"/>
    <w:rsid w:val="00704EDB"/>
    <w:rsid w:val="00746FB2"/>
    <w:rsid w:val="00765CB3"/>
    <w:rsid w:val="00775173"/>
    <w:rsid w:val="00784F5B"/>
    <w:rsid w:val="00793EAA"/>
    <w:rsid w:val="007A245C"/>
    <w:rsid w:val="007B0CF0"/>
    <w:rsid w:val="007C55F3"/>
    <w:rsid w:val="007E2CDC"/>
    <w:rsid w:val="008700D8"/>
    <w:rsid w:val="008A7A9A"/>
    <w:rsid w:val="008B28F0"/>
    <w:rsid w:val="008D1C8B"/>
    <w:rsid w:val="008D3CE1"/>
    <w:rsid w:val="008E06E6"/>
    <w:rsid w:val="009465AE"/>
    <w:rsid w:val="009646DC"/>
    <w:rsid w:val="0096587B"/>
    <w:rsid w:val="00966934"/>
    <w:rsid w:val="00972892"/>
    <w:rsid w:val="009A489B"/>
    <w:rsid w:val="009C15F7"/>
    <w:rsid w:val="009C6631"/>
    <w:rsid w:val="009D12BA"/>
    <w:rsid w:val="00A114D4"/>
    <w:rsid w:val="00A34040"/>
    <w:rsid w:val="00AD3DB0"/>
    <w:rsid w:val="00AD6554"/>
    <w:rsid w:val="00AD733C"/>
    <w:rsid w:val="00AE1D95"/>
    <w:rsid w:val="00AF7240"/>
    <w:rsid w:val="00B015C3"/>
    <w:rsid w:val="00B16F78"/>
    <w:rsid w:val="00B335A1"/>
    <w:rsid w:val="00B3679E"/>
    <w:rsid w:val="00B42BE5"/>
    <w:rsid w:val="00B61D00"/>
    <w:rsid w:val="00B87566"/>
    <w:rsid w:val="00B9466D"/>
    <w:rsid w:val="00B9777B"/>
    <w:rsid w:val="00BA0110"/>
    <w:rsid w:val="00BB7475"/>
    <w:rsid w:val="00BC050C"/>
    <w:rsid w:val="00BD19C1"/>
    <w:rsid w:val="00BD2144"/>
    <w:rsid w:val="00BF21A4"/>
    <w:rsid w:val="00BF22B5"/>
    <w:rsid w:val="00BF275A"/>
    <w:rsid w:val="00C04728"/>
    <w:rsid w:val="00C049E4"/>
    <w:rsid w:val="00C1531A"/>
    <w:rsid w:val="00C30EFB"/>
    <w:rsid w:val="00C50D3C"/>
    <w:rsid w:val="00C53F92"/>
    <w:rsid w:val="00C57FC8"/>
    <w:rsid w:val="00CB2728"/>
    <w:rsid w:val="00CB3F95"/>
    <w:rsid w:val="00CC3636"/>
    <w:rsid w:val="00CF1EE7"/>
    <w:rsid w:val="00D0090B"/>
    <w:rsid w:val="00D13921"/>
    <w:rsid w:val="00D31563"/>
    <w:rsid w:val="00D5340C"/>
    <w:rsid w:val="00DA2323"/>
    <w:rsid w:val="00DA746D"/>
    <w:rsid w:val="00DB093D"/>
    <w:rsid w:val="00DB5877"/>
    <w:rsid w:val="00DC1DBE"/>
    <w:rsid w:val="00DD72E7"/>
    <w:rsid w:val="00DE11C3"/>
    <w:rsid w:val="00DF42DB"/>
    <w:rsid w:val="00E01321"/>
    <w:rsid w:val="00E12BA3"/>
    <w:rsid w:val="00E219B8"/>
    <w:rsid w:val="00E2251B"/>
    <w:rsid w:val="00E45E84"/>
    <w:rsid w:val="00E55FE1"/>
    <w:rsid w:val="00EB610B"/>
    <w:rsid w:val="00EB626D"/>
    <w:rsid w:val="00EE6694"/>
    <w:rsid w:val="00EF0F56"/>
    <w:rsid w:val="00F01F64"/>
    <w:rsid w:val="00F359C0"/>
    <w:rsid w:val="00F37142"/>
    <w:rsid w:val="00F46D0B"/>
    <w:rsid w:val="00F565A2"/>
    <w:rsid w:val="00F633CA"/>
    <w:rsid w:val="00F91DF8"/>
    <w:rsid w:val="00FA4856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D0817"/>
  <w15:chartTrackingRefBased/>
  <w15:docId w15:val="{9B1D9FB6-33D8-469E-8131-EFA92852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3CE1"/>
    <w:rPr>
      <w:lang w:eastAsia="en-US"/>
    </w:rPr>
  </w:style>
  <w:style w:type="paragraph" w:styleId="Antrat1">
    <w:name w:val="heading 1"/>
    <w:basedOn w:val="prastasis"/>
    <w:next w:val="prastasis"/>
    <w:qFormat/>
    <w:rsid w:val="008D3CE1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D3CE1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8D3CE1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D3CE1"/>
  </w:style>
  <w:style w:type="paragraph" w:styleId="Debesliotekstas">
    <w:name w:val="Balloon Text"/>
    <w:basedOn w:val="prastasis"/>
    <w:semiHidden/>
    <w:rsid w:val="006C7F9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DA2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enkleliais">
    <w:name w:val="List Bullet"/>
    <w:basedOn w:val="prastasis"/>
    <w:rsid w:val="00196AFB"/>
    <w:pPr>
      <w:numPr>
        <w:numId w:val="2"/>
      </w:numPr>
    </w:pPr>
  </w:style>
  <w:style w:type="paragraph" w:customStyle="1" w:styleId="Default">
    <w:name w:val="Default"/>
    <w:rsid w:val="00FA4856"/>
    <w:pPr>
      <w:suppressAutoHyphens/>
    </w:pPr>
    <w:rPr>
      <w:rFonts w:eastAsia="Arial"/>
      <w:color w:val="000000"/>
      <w:kern w:val="1"/>
      <w:sz w:val="24"/>
      <w:szCs w:val="24"/>
      <w:lang w:eastAsia="ar-SA"/>
    </w:rPr>
  </w:style>
  <w:style w:type="character" w:styleId="Vietosrezervavimoenklotekstas">
    <w:name w:val="Placeholder Text"/>
    <w:basedOn w:val="Numatytasispastraiposriftas"/>
    <w:uiPriority w:val="99"/>
    <w:semiHidden/>
    <w:rsid w:val="003A2E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634C-31B4-4437-9472-60DD2DFB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9692</Characters>
  <Application>Microsoft Office Word</Application>
  <DocSecurity>4</DocSecurity>
  <Lines>80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PMS</Company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Antanas</dc:creator>
  <cp:keywords/>
  <dc:description/>
  <cp:lastModifiedBy>Daiva Breivienė</cp:lastModifiedBy>
  <cp:revision>2</cp:revision>
  <cp:lastPrinted>2019-04-02T12:05:00Z</cp:lastPrinted>
  <dcterms:created xsi:type="dcterms:W3CDTF">2019-04-03T05:40:00Z</dcterms:created>
  <dcterms:modified xsi:type="dcterms:W3CDTF">2019-04-03T05:40:00Z</dcterms:modified>
</cp:coreProperties>
</file>