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14178" w14:textId="77777777" w:rsidR="00FD5E1F" w:rsidRDefault="00FD5E1F" w:rsidP="00FD5E1F">
      <w:pPr>
        <w:jc w:val="right"/>
      </w:pPr>
    </w:p>
    <w:p w14:paraId="6FC9653E" w14:textId="77777777" w:rsidR="00FD5E1F" w:rsidRDefault="00FD5E1F" w:rsidP="00FD5E1F">
      <w:pPr>
        <w:jc w:val="right"/>
        <w:rPr>
          <w:rFonts w:ascii="Times New Roman" w:hAnsi="Times New Roman"/>
          <w:sz w:val="24"/>
          <w:szCs w:val="24"/>
        </w:rPr>
      </w:pPr>
      <w:r>
        <w:rPr>
          <w:rFonts w:ascii="Times New Roman" w:hAnsi="Times New Roman"/>
          <w:sz w:val="24"/>
          <w:szCs w:val="24"/>
        </w:rPr>
        <w:t>Išrašas</w:t>
      </w:r>
    </w:p>
    <w:p w14:paraId="579CEF43" w14:textId="77777777" w:rsidR="00FD5E1F" w:rsidRPr="00FD5E1F" w:rsidRDefault="00FD5E1F" w:rsidP="00FD5E1F">
      <w:pPr>
        <w:spacing w:after="0" w:line="240" w:lineRule="auto"/>
        <w:jc w:val="both"/>
        <w:rPr>
          <w:rFonts w:ascii="Times New Roman" w:eastAsia="Times New Roman" w:hAnsi="Times New Roman"/>
          <w:sz w:val="24"/>
          <w:szCs w:val="20"/>
        </w:rPr>
      </w:pPr>
      <w:r w:rsidRPr="00FD5E1F">
        <w:rPr>
          <w:rFonts w:ascii="Times New Roman" w:eastAsia="Times New Roman" w:hAnsi="Times New Roman"/>
          <w:b/>
          <w:i/>
          <w:sz w:val="24"/>
          <w:szCs w:val="20"/>
        </w:rPr>
        <w:t>Suvestinė redakcija nuo 2018-10-01 iki 2018-12-31</w:t>
      </w:r>
    </w:p>
    <w:p w14:paraId="3A93BA67" w14:textId="77777777" w:rsidR="00FD5E1F" w:rsidRPr="00FD5E1F" w:rsidRDefault="00FD5E1F" w:rsidP="00FD5E1F">
      <w:pPr>
        <w:spacing w:after="0" w:line="240" w:lineRule="auto"/>
        <w:jc w:val="both"/>
        <w:rPr>
          <w:rFonts w:ascii="Times New Roman" w:eastAsia="Times New Roman" w:hAnsi="Times New Roman"/>
          <w:sz w:val="20"/>
          <w:szCs w:val="20"/>
        </w:rPr>
      </w:pPr>
    </w:p>
    <w:p w14:paraId="5062CBD2" w14:textId="77777777" w:rsidR="00FD5E1F" w:rsidRPr="00FD5E1F" w:rsidRDefault="00FD5E1F" w:rsidP="00FD5E1F">
      <w:pPr>
        <w:spacing w:after="0" w:line="240" w:lineRule="auto"/>
        <w:jc w:val="both"/>
        <w:rPr>
          <w:rFonts w:ascii="Times New Roman" w:eastAsia="Times New Roman" w:hAnsi="Times New Roman"/>
          <w:sz w:val="20"/>
          <w:szCs w:val="20"/>
        </w:rPr>
      </w:pPr>
      <w:r w:rsidRPr="00FD5E1F">
        <w:rPr>
          <w:rFonts w:ascii="Times New Roman" w:eastAsia="Times New Roman" w:hAnsi="Times New Roman"/>
          <w:i/>
          <w:sz w:val="20"/>
          <w:szCs w:val="20"/>
        </w:rPr>
        <w:t xml:space="preserve">Įstatymas paskelbtas: Žin. 2003, Nr. </w:t>
      </w:r>
      <w:hyperlink r:id="rId4" w:history="1">
        <w:r w:rsidRPr="00FD5E1F">
          <w:rPr>
            <w:rFonts w:ascii="Times New Roman" w:eastAsia="MS Mincho" w:hAnsi="Times New Roman"/>
            <w:i/>
            <w:iCs/>
            <w:color w:val="0563C1" w:themeColor="hyperlink"/>
            <w:sz w:val="20"/>
            <w:szCs w:val="20"/>
            <w:u w:val="single"/>
          </w:rPr>
          <w:t>73-3352</w:t>
        </w:r>
      </w:hyperlink>
      <w:r w:rsidRPr="00FD5E1F">
        <w:rPr>
          <w:rFonts w:ascii="Times New Roman" w:eastAsia="MS Mincho" w:hAnsi="Times New Roman"/>
          <w:i/>
          <w:iCs/>
          <w:sz w:val="20"/>
          <w:szCs w:val="20"/>
        </w:rPr>
        <w:t>, i. k. 1031010ISTA0IX-1675</w:t>
      </w:r>
    </w:p>
    <w:p w14:paraId="79321F49" w14:textId="77777777" w:rsidR="00FD5E1F" w:rsidRPr="00FD5E1F" w:rsidRDefault="00FD5E1F" w:rsidP="00FD5E1F">
      <w:pPr>
        <w:spacing w:after="0" w:line="240" w:lineRule="auto"/>
        <w:jc w:val="both"/>
        <w:rPr>
          <w:rFonts w:ascii="Times New Roman" w:eastAsia="Times New Roman" w:hAnsi="Times New Roman"/>
          <w:sz w:val="20"/>
          <w:szCs w:val="20"/>
        </w:rPr>
      </w:pPr>
    </w:p>
    <w:p w14:paraId="12E73838" w14:textId="77777777" w:rsidR="00FD5E1F" w:rsidRPr="00FD5E1F" w:rsidRDefault="00FD5E1F" w:rsidP="00FD5E1F">
      <w:pPr>
        <w:tabs>
          <w:tab w:val="center" w:pos="4153"/>
          <w:tab w:val="right" w:pos="8306"/>
        </w:tabs>
        <w:spacing w:after="0" w:line="240" w:lineRule="auto"/>
        <w:rPr>
          <w:rFonts w:ascii="Times New Roman" w:eastAsia="MS Mincho" w:hAnsi="Times New Roman"/>
          <w:b/>
          <w:bCs/>
          <w:i/>
          <w:iCs/>
          <w:sz w:val="20"/>
          <w:szCs w:val="20"/>
        </w:rPr>
      </w:pPr>
      <w:r w:rsidRPr="00FD5E1F">
        <w:rPr>
          <w:rFonts w:ascii="Times New Roman" w:eastAsia="MS Mincho" w:hAnsi="Times New Roman"/>
          <w:b/>
          <w:bCs/>
          <w:i/>
          <w:iCs/>
          <w:sz w:val="20"/>
          <w:szCs w:val="20"/>
        </w:rPr>
        <w:t>Nauja įstatymo redakcija nuo 2012-01-01:</w:t>
      </w:r>
    </w:p>
    <w:p w14:paraId="4B648A32" w14:textId="77777777" w:rsidR="00FD5E1F" w:rsidRPr="00FD5E1F" w:rsidRDefault="00FD5E1F" w:rsidP="00FD5E1F">
      <w:pPr>
        <w:spacing w:after="0" w:line="240" w:lineRule="auto"/>
        <w:rPr>
          <w:rFonts w:ascii="Times New Roman" w:eastAsia="Times New Roman" w:hAnsi="Times New Roman"/>
          <w:i/>
          <w:sz w:val="20"/>
          <w:szCs w:val="20"/>
        </w:rPr>
      </w:pPr>
      <w:r w:rsidRPr="00FD5E1F">
        <w:rPr>
          <w:rFonts w:ascii="Times New Roman" w:eastAsia="Times New Roman" w:hAnsi="Times New Roman"/>
          <w:i/>
          <w:sz w:val="20"/>
          <w:szCs w:val="20"/>
        </w:rPr>
        <w:t xml:space="preserve">Nr. </w:t>
      </w:r>
      <w:hyperlink r:id="rId5" w:history="1">
        <w:r w:rsidRPr="00FD5E1F">
          <w:rPr>
            <w:rFonts w:ascii="Times New Roman" w:eastAsia="Times New Roman" w:hAnsi="Times New Roman"/>
            <w:i/>
            <w:color w:val="0000FF"/>
            <w:sz w:val="20"/>
            <w:szCs w:val="20"/>
            <w:u w:val="single"/>
          </w:rPr>
          <w:t>XI-1772</w:t>
        </w:r>
      </w:hyperlink>
      <w:r w:rsidRPr="00FD5E1F">
        <w:rPr>
          <w:rFonts w:ascii="Times New Roman" w:eastAsia="Times New Roman" w:hAnsi="Times New Roman"/>
          <w:i/>
          <w:sz w:val="20"/>
          <w:szCs w:val="20"/>
        </w:rPr>
        <w:t>, 2011-12-01, Žin., 2011, Nr. 155-7353 (2011-12-20)</w:t>
      </w:r>
    </w:p>
    <w:p w14:paraId="6B166F70" w14:textId="77777777" w:rsidR="00FD5E1F" w:rsidRPr="00FD5E1F" w:rsidRDefault="00FD5E1F" w:rsidP="00FD5E1F">
      <w:pPr>
        <w:spacing w:after="0" w:line="240" w:lineRule="auto"/>
        <w:jc w:val="center"/>
        <w:rPr>
          <w:rFonts w:ascii="Times New Roman" w:eastAsia="Times New Roman" w:hAnsi="Times New Roman"/>
          <w:caps/>
          <w:sz w:val="20"/>
          <w:szCs w:val="20"/>
        </w:rPr>
      </w:pPr>
    </w:p>
    <w:p w14:paraId="56BDFC45" w14:textId="77777777" w:rsidR="00FD5E1F" w:rsidRPr="00FD5E1F" w:rsidRDefault="00FD5E1F" w:rsidP="00FD5E1F">
      <w:pPr>
        <w:spacing w:after="0" w:line="240" w:lineRule="auto"/>
        <w:rPr>
          <w:rFonts w:ascii="Times New Roman" w:eastAsia="Times New Roman" w:hAnsi="Times New Roman"/>
          <w:sz w:val="20"/>
          <w:szCs w:val="20"/>
        </w:rPr>
      </w:pPr>
    </w:p>
    <w:p w14:paraId="5183C226" w14:textId="77777777" w:rsidR="00FD5E1F" w:rsidRPr="00FD5E1F" w:rsidRDefault="00FD5E1F" w:rsidP="00FD5E1F">
      <w:pPr>
        <w:spacing w:after="0" w:line="240" w:lineRule="auto"/>
        <w:jc w:val="center"/>
        <w:rPr>
          <w:rFonts w:ascii="Times New Roman" w:eastAsia="Times New Roman" w:hAnsi="Times New Roman"/>
          <w:b/>
          <w:bCs/>
          <w:caps/>
        </w:rPr>
      </w:pPr>
      <w:r w:rsidRPr="00FD5E1F">
        <w:rPr>
          <w:rFonts w:ascii="Times New Roman" w:eastAsia="Times New Roman" w:hAnsi="Times New Roman"/>
          <w:b/>
          <w:bCs/>
          <w:caps/>
        </w:rPr>
        <w:t>LIETUVOS RESPUBLIKOS</w:t>
      </w:r>
    </w:p>
    <w:p w14:paraId="46BC18E6" w14:textId="77777777" w:rsidR="00FD5E1F" w:rsidRPr="00FD5E1F" w:rsidRDefault="00FD5E1F" w:rsidP="00FD5E1F">
      <w:pPr>
        <w:spacing w:after="0" w:line="240" w:lineRule="auto"/>
        <w:jc w:val="center"/>
        <w:rPr>
          <w:rFonts w:ascii="Times New Roman" w:eastAsia="Times New Roman" w:hAnsi="Times New Roman"/>
          <w:b/>
          <w:caps/>
        </w:rPr>
      </w:pPr>
      <w:r w:rsidRPr="00FD5E1F">
        <w:rPr>
          <w:rFonts w:ascii="Times New Roman" w:eastAsia="Times New Roman" w:hAnsi="Times New Roman"/>
          <w:b/>
          <w:bCs/>
          <w:caps/>
        </w:rPr>
        <w:t xml:space="preserve">PINIGINĖS SOCIALINĖS PARAMOS NEPASITURINTIEMS GYVENTOJAMS </w:t>
      </w:r>
    </w:p>
    <w:p w14:paraId="39141B61" w14:textId="77777777" w:rsidR="00FD5E1F" w:rsidRPr="00FD5E1F" w:rsidRDefault="00FD5E1F" w:rsidP="00FD5E1F">
      <w:pPr>
        <w:spacing w:after="0" w:line="240" w:lineRule="auto"/>
        <w:jc w:val="center"/>
        <w:rPr>
          <w:rFonts w:ascii="Times New Roman" w:eastAsia="Times New Roman" w:hAnsi="Times New Roman"/>
          <w:b/>
          <w:caps/>
        </w:rPr>
      </w:pPr>
      <w:r w:rsidRPr="00FD5E1F">
        <w:rPr>
          <w:rFonts w:ascii="Times New Roman" w:eastAsia="Times New Roman" w:hAnsi="Times New Roman"/>
          <w:b/>
          <w:caps/>
        </w:rPr>
        <w:t>ĮSTATYMAS</w:t>
      </w:r>
    </w:p>
    <w:p w14:paraId="536B1A53" w14:textId="77777777" w:rsidR="00FD5E1F" w:rsidRPr="00FD5E1F" w:rsidRDefault="00FD5E1F" w:rsidP="00FD5E1F">
      <w:pPr>
        <w:spacing w:after="0" w:line="240" w:lineRule="auto"/>
        <w:rPr>
          <w:rFonts w:ascii="Times New Roman" w:eastAsia="MS Mincho" w:hAnsi="Times New Roman"/>
          <w:bCs/>
          <w:i/>
          <w:iCs/>
          <w:sz w:val="20"/>
          <w:szCs w:val="20"/>
        </w:rPr>
      </w:pPr>
      <w:r w:rsidRPr="00FD5E1F">
        <w:rPr>
          <w:rFonts w:ascii="Times New Roman" w:eastAsia="MS Mincho" w:hAnsi="Times New Roman"/>
          <w:bCs/>
          <w:i/>
          <w:iCs/>
          <w:sz w:val="20"/>
          <w:szCs w:val="20"/>
        </w:rPr>
        <w:t>Įstatymo pavadinimas keistas:</w:t>
      </w:r>
    </w:p>
    <w:p w14:paraId="4EDDC3EF" w14:textId="77777777" w:rsidR="00FD5E1F" w:rsidRPr="00FD5E1F" w:rsidRDefault="00FD5E1F" w:rsidP="00FD5E1F">
      <w:pPr>
        <w:spacing w:after="0" w:line="240" w:lineRule="auto"/>
        <w:rPr>
          <w:rFonts w:ascii="Times New Roman" w:eastAsia="Times New Roman" w:hAnsi="Times New Roman"/>
          <w:i/>
          <w:sz w:val="20"/>
          <w:szCs w:val="20"/>
        </w:rPr>
      </w:pPr>
      <w:r w:rsidRPr="00FD5E1F">
        <w:rPr>
          <w:rFonts w:ascii="Times New Roman" w:eastAsia="Times New Roman" w:hAnsi="Times New Roman"/>
          <w:i/>
          <w:sz w:val="20"/>
          <w:szCs w:val="20"/>
        </w:rPr>
        <w:t xml:space="preserve">Nr. </w:t>
      </w:r>
      <w:hyperlink r:id="rId6" w:history="1">
        <w:r w:rsidRPr="00FD5E1F">
          <w:rPr>
            <w:rFonts w:ascii="Times New Roman" w:eastAsia="Times New Roman" w:hAnsi="Times New Roman"/>
            <w:i/>
            <w:color w:val="0000FF"/>
            <w:sz w:val="20"/>
            <w:szCs w:val="20"/>
            <w:u w:val="single"/>
          </w:rPr>
          <w:t>XI-1772</w:t>
        </w:r>
      </w:hyperlink>
      <w:r w:rsidRPr="00FD5E1F">
        <w:rPr>
          <w:rFonts w:ascii="Times New Roman" w:eastAsia="Times New Roman" w:hAnsi="Times New Roman"/>
          <w:i/>
          <w:sz w:val="20"/>
          <w:szCs w:val="20"/>
        </w:rPr>
        <w:t>, 2011-12-01, Žin., 2011, Nr. 155-7353 (2011-12-20)</w:t>
      </w:r>
    </w:p>
    <w:p w14:paraId="2CB2833D" w14:textId="77777777" w:rsidR="00FD5E1F" w:rsidRPr="00FD5E1F" w:rsidRDefault="00FD5E1F" w:rsidP="00FD5E1F">
      <w:pPr>
        <w:spacing w:after="0" w:line="240" w:lineRule="auto"/>
        <w:rPr>
          <w:rFonts w:ascii="Times New Roman" w:eastAsia="Times New Roman" w:hAnsi="Times New Roman"/>
          <w:caps/>
          <w:sz w:val="20"/>
          <w:szCs w:val="20"/>
        </w:rPr>
      </w:pPr>
    </w:p>
    <w:p w14:paraId="576185B6" w14:textId="77777777" w:rsidR="00FD5E1F" w:rsidRPr="00FD5E1F" w:rsidRDefault="00FD5E1F" w:rsidP="00FD5E1F">
      <w:pPr>
        <w:spacing w:after="0" w:line="240" w:lineRule="auto"/>
        <w:rPr>
          <w:rFonts w:ascii="Times New Roman" w:eastAsia="Times New Roman" w:hAnsi="Times New Roman"/>
          <w:sz w:val="20"/>
          <w:szCs w:val="20"/>
        </w:rPr>
      </w:pPr>
    </w:p>
    <w:p w14:paraId="53538D0E" w14:textId="77777777" w:rsidR="00FD5E1F" w:rsidRPr="00FD5E1F" w:rsidRDefault="00FD5E1F" w:rsidP="00FD5E1F">
      <w:pPr>
        <w:spacing w:after="0" w:line="240" w:lineRule="auto"/>
        <w:jc w:val="center"/>
        <w:rPr>
          <w:rFonts w:ascii="Times New Roman" w:eastAsia="Times New Roman" w:hAnsi="Times New Roman"/>
        </w:rPr>
      </w:pPr>
      <w:r w:rsidRPr="00FD5E1F">
        <w:rPr>
          <w:rFonts w:ascii="Times New Roman" w:eastAsia="Times New Roman" w:hAnsi="Times New Roman"/>
        </w:rPr>
        <w:t>2003 m. liepos 1 d. Nr. IX-1675</w:t>
      </w:r>
    </w:p>
    <w:p w14:paraId="4757282E" w14:textId="77777777" w:rsidR="00FD5E1F" w:rsidRPr="00FD5E1F" w:rsidRDefault="00FD5E1F" w:rsidP="00FD5E1F">
      <w:pPr>
        <w:spacing w:after="0" w:line="240" w:lineRule="auto"/>
        <w:jc w:val="center"/>
        <w:rPr>
          <w:rFonts w:ascii="Times New Roman" w:eastAsia="Times New Roman" w:hAnsi="Times New Roman"/>
        </w:rPr>
      </w:pPr>
      <w:r w:rsidRPr="00FD5E1F">
        <w:rPr>
          <w:rFonts w:ascii="Times New Roman" w:eastAsia="Times New Roman" w:hAnsi="Times New Roman"/>
        </w:rPr>
        <w:t>Vilnius</w:t>
      </w:r>
    </w:p>
    <w:p w14:paraId="75AD3B3C" w14:textId="77777777" w:rsidR="00FD5E1F" w:rsidRPr="00FD5E1F" w:rsidRDefault="00FD5E1F" w:rsidP="00FD5E1F">
      <w:pPr>
        <w:spacing w:after="0" w:line="240" w:lineRule="auto"/>
        <w:jc w:val="center"/>
        <w:rPr>
          <w:rFonts w:ascii="Times New Roman" w:eastAsia="Times New Roman" w:hAnsi="Times New Roman"/>
        </w:rPr>
      </w:pPr>
    </w:p>
    <w:p w14:paraId="11C6546D" w14:textId="77777777" w:rsidR="00FD5E1F" w:rsidRPr="00FD5E1F" w:rsidRDefault="00FD5E1F" w:rsidP="00FD5E1F">
      <w:pPr>
        <w:spacing w:after="0" w:line="240" w:lineRule="auto"/>
        <w:rPr>
          <w:rFonts w:ascii="Times New Roman" w:eastAsia="MS Mincho" w:hAnsi="Times New Roman"/>
          <w:b/>
          <w:bCs/>
          <w:i/>
          <w:iCs/>
          <w:sz w:val="20"/>
          <w:szCs w:val="20"/>
        </w:rPr>
      </w:pPr>
    </w:p>
    <w:p w14:paraId="00A1952B" w14:textId="77777777" w:rsidR="00FD5E1F" w:rsidRPr="00FD5E1F" w:rsidRDefault="00FD5E1F" w:rsidP="00FD5E1F">
      <w:pPr>
        <w:spacing w:after="0" w:line="240" w:lineRule="auto"/>
        <w:ind w:right="-81"/>
        <w:jc w:val="center"/>
        <w:rPr>
          <w:rFonts w:ascii="Times New Roman" w:eastAsia="Times New Roman" w:hAnsi="Times New Roman"/>
          <w:b/>
          <w:bCs/>
          <w:color w:val="000000"/>
          <w:sz w:val="20"/>
          <w:szCs w:val="20"/>
        </w:rPr>
      </w:pPr>
      <w:r w:rsidRPr="00FD5E1F">
        <w:rPr>
          <w:rFonts w:ascii="Times New Roman" w:eastAsia="Times New Roman" w:hAnsi="Times New Roman"/>
          <w:b/>
          <w:bCs/>
          <w:color w:val="000000"/>
          <w:sz w:val="20"/>
          <w:szCs w:val="20"/>
        </w:rPr>
        <w:t>PIRMASIS SKIRSNIS</w:t>
      </w:r>
    </w:p>
    <w:p w14:paraId="51E4559B" w14:textId="77777777" w:rsidR="00FD5E1F" w:rsidRPr="00FD5E1F" w:rsidRDefault="00FD5E1F" w:rsidP="00FD5E1F">
      <w:pPr>
        <w:spacing w:after="0" w:line="240" w:lineRule="auto"/>
        <w:ind w:right="-81"/>
        <w:jc w:val="center"/>
        <w:rPr>
          <w:rFonts w:ascii="Times New Roman" w:eastAsia="Times New Roman" w:hAnsi="Times New Roman"/>
          <w:b/>
          <w:bCs/>
          <w:color w:val="000000"/>
          <w:sz w:val="20"/>
          <w:szCs w:val="20"/>
        </w:rPr>
      </w:pPr>
      <w:r w:rsidRPr="00FD5E1F">
        <w:rPr>
          <w:rFonts w:ascii="Times New Roman" w:eastAsia="Times New Roman" w:hAnsi="Times New Roman"/>
          <w:b/>
          <w:bCs/>
          <w:color w:val="000000"/>
          <w:sz w:val="20"/>
          <w:szCs w:val="20"/>
        </w:rPr>
        <w:t>BENDROSIOS NUOSTATOS</w:t>
      </w:r>
    </w:p>
    <w:p w14:paraId="3FB503FC"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p>
    <w:p w14:paraId="1E66B656" w14:textId="77777777" w:rsidR="00FD5E1F" w:rsidRPr="00FD5E1F" w:rsidRDefault="00FD5E1F" w:rsidP="00FD5E1F">
      <w:pPr>
        <w:spacing w:after="0" w:line="240" w:lineRule="auto"/>
        <w:ind w:firstLine="720"/>
        <w:jc w:val="both"/>
        <w:rPr>
          <w:rFonts w:ascii="Times New Roman" w:eastAsia="Times New Roman" w:hAnsi="Times New Roman"/>
          <w:b/>
          <w:sz w:val="20"/>
          <w:szCs w:val="20"/>
        </w:rPr>
      </w:pPr>
      <w:r w:rsidRPr="00FD5E1F">
        <w:rPr>
          <w:rFonts w:ascii="Times New Roman" w:eastAsia="Times New Roman" w:hAnsi="Times New Roman"/>
          <w:b/>
          <w:sz w:val="20"/>
          <w:szCs w:val="20"/>
        </w:rPr>
        <w:t>1 straipsnis. Įstatymo paskirtis ir taikymas</w:t>
      </w:r>
    </w:p>
    <w:p w14:paraId="656DC846"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r w:rsidRPr="00FD5E1F">
        <w:rPr>
          <w:rFonts w:ascii="Times New Roman" w:eastAsia="Times New Roman" w:hAnsi="Times New Roman"/>
          <w:sz w:val="20"/>
          <w:szCs w:val="20"/>
        </w:rPr>
        <w:t>1. Šio įstatymo paskirtis – nustatyti piniginės socialinės paramos teikimo principus, finansavimo šaltinius, piniginę socialinę paramą gaunančių asmenų teises ir pareigas, taip pat piniginės socialinės paramos, teikiamos nepasiturintiems gyventojams, kai suaugę asmenys yra išnaudoję visas kitų pajamų gavimo galimybes, rūšis, jų dydžius ir teikimo sąlygas.</w:t>
      </w:r>
    </w:p>
    <w:p w14:paraId="3C670AE8" w14:textId="77777777" w:rsidR="00FD5E1F" w:rsidRPr="00FD5E1F" w:rsidRDefault="00FD5E1F" w:rsidP="00FD5E1F">
      <w:pPr>
        <w:spacing w:after="0" w:line="240" w:lineRule="auto"/>
        <w:jc w:val="center"/>
        <w:rPr>
          <w:rFonts w:ascii="Times New Roman" w:eastAsia="Times New Roman" w:hAnsi="Times New Roman"/>
          <w:b/>
          <w:bCs/>
          <w:sz w:val="20"/>
          <w:szCs w:val="20"/>
        </w:rPr>
      </w:pPr>
      <w:r w:rsidRPr="00FD5E1F">
        <w:rPr>
          <w:rFonts w:ascii="Times New Roman" w:eastAsia="Times New Roman" w:hAnsi="Times New Roman"/>
          <w:b/>
          <w:bCs/>
          <w:sz w:val="20"/>
          <w:szCs w:val="20"/>
        </w:rPr>
        <w:t>ANTRASIS SKIRSNIS</w:t>
      </w:r>
    </w:p>
    <w:p w14:paraId="581A3687" w14:textId="77777777" w:rsidR="00FD5E1F" w:rsidRPr="00FD5E1F" w:rsidRDefault="00FD5E1F" w:rsidP="00FD5E1F">
      <w:pPr>
        <w:spacing w:after="0" w:line="240" w:lineRule="auto"/>
        <w:jc w:val="center"/>
        <w:rPr>
          <w:rFonts w:ascii="Times New Roman" w:eastAsia="Times New Roman" w:hAnsi="Times New Roman"/>
          <w:b/>
          <w:bCs/>
          <w:sz w:val="20"/>
          <w:szCs w:val="20"/>
        </w:rPr>
      </w:pPr>
      <w:r w:rsidRPr="00FD5E1F">
        <w:rPr>
          <w:rFonts w:ascii="Times New Roman" w:eastAsia="Times New Roman" w:hAnsi="Times New Roman"/>
          <w:b/>
          <w:bCs/>
          <w:sz w:val="20"/>
          <w:szCs w:val="20"/>
        </w:rPr>
        <w:t>PINIGINĖS SOCIALINĖS PARAMOS RŪŠYS IR JOS TEIKIMO SĄLYGOS</w:t>
      </w:r>
    </w:p>
    <w:p w14:paraId="00AAC77E" w14:textId="77777777" w:rsidR="00FD5E1F" w:rsidRPr="00FD5E1F" w:rsidRDefault="00FD5E1F" w:rsidP="00FD5E1F">
      <w:pPr>
        <w:spacing w:after="0" w:line="240" w:lineRule="auto"/>
        <w:ind w:firstLine="720"/>
        <w:jc w:val="both"/>
        <w:rPr>
          <w:rFonts w:ascii="Times New Roman" w:eastAsia="Times New Roman" w:hAnsi="Times New Roman"/>
          <w:bCs/>
          <w:sz w:val="20"/>
          <w:szCs w:val="20"/>
        </w:rPr>
      </w:pPr>
    </w:p>
    <w:p w14:paraId="32B3D636" w14:textId="77777777" w:rsidR="00FD5E1F" w:rsidRPr="00FD5E1F" w:rsidRDefault="00FD5E1F" w:rsidP="00FD5E1F">
      <w:pPr>
        <w:spacing w:after="0" w:line="240" w:lineRule="auto"/>
        <w:ind w:firstLine="720"/>
        <w:jc w:val="both"/>
        <w:rPr>
          <w:rFonts w:ascii="Times New Roman" w:eastAsia="Times New Roman" w:hAnsi="Times New Roman"/>
          <w:b/>
          <w:bCs/>
          <w:sz w:val="20"/>
          <w:szCs w:val="20"/>
        </w:rPr>
      </w:pPr>
      <w:r w:rsidRPr="00FD5E1F">
        <w:rPr>
          <w:rFonts w:ascii="Times New Roman" w:eastAsia="Times New Roman" w:hAnsi="Times New Roman"/>
          <w:b/>
          <w:bCs/>
          <w:sz w:val="20"/>
          <w:szCs w:val="20"/>
        </w:rPr>
        <w:t xml:space="preserve">5 straipsnis. Piniginės socialinės paramos rūšys </w:t>
      </w:r>
    </w:p>
    <w:p w14:paraId="382D9A41"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r w:rsidRPr="00FD5E1F">
        <w:rPr>
          <w:rFonts w:ascii="Times New Roman" w:eastAsia="Times New Roman" w:hAnsi="Times New Roman"/>
          <w:sz w:val="20"/>
          <w:szCs w:val="20"/>
        </w:rPr>
        <w:t>Piniginės socialinės paramos rūšys yra šios:</w:t>
      </w:r>
    </w:p>
    <w:p w14:paraId="48837D47"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r w:rsidRPr="00FD5E1F">
        <w:rPr>
          <w:rFonts w:ascii="Times New Roman" w:eastAsia="Times New Roman" w:hAnsi="Times New Roman"/>
          <w:sz w:val="20"/>
          <w:szCs w:val="20"/>
        </w:rPr>
        <w:t>1) socialinė pašalpa;</w:t>
      </w:r>
    </w:p>
    <w:p w14:paraId="7769DDDD"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r w:rsidRPr="00FD5E1F">
        <w:rPr>
          <w:rFonts w:ascii="Times New Roman" w:eastAsia="Times New Roman" w:hAnsi="Times New Roman"/>
          <w:sz w:val="20"/>
          <w:szCs w:val="20"/>
        </w:rPr>
        <w:t xml:space="preserve">2) </w:t>
      </w:r>
      <w:r w:rsidRPr="00FD5E1F">
        <w:rPr>
          <w:rFonts w:ascii="Times New Roman" w:eastAsia="Times New Roman" w:hAnsi="Times New Roman"/>
          <w:bCs/>
          <w:sz w:val="20"/>
          <w:szCs w:val="20"/>
        </w:rPr>
        <w:t>būsto šildymo išlaidų, geriamojo vandens išlaidų ir karšto vandens išlaidų kompensacijos</w:t>
      </w:r>
      <w:r w:rsidRPr="00FD5E1F">
        <w:rPr>
          <w:rFonts w:ascii="Times New Roman" w:eastAsia="Times New Roman" w:hAnsi="Times New Roman"/>
          <w:sz w:val="20"/>
          <w:szCs w:val="20"/>
        </w:rPr>
        <w:t xml:space="preserve"> (toliau – kompensacijos).</w:t>
      </w:r>
    </w:p>
    <w:p w14:paraId="337155A8" w14:textId="77777777" w:rsidR="00FD5E1F" w:rsidRPr="00FD5E1F" w:rsidRDefault="00FD5E1F" w:rsidP="00FD5E1F">
      <w:pPr>
        <w:spacing w:after="0" w:line="240" w:lineRule="auto"/>
        <w:ind w:firstLine="720"/>
        <w:jc w:val="both"/>
        <w:rPr>
          <w:rFonts w:ascii="Times New Roman" w:eastAsia="Times New Roman" w:hAnsi="Times New Roman"/>
          <w:bCs/>
          <w:sz w:val="20"/>
          <w:szCs w:val="20"/>
        </w:rPr>
      </w:pPr>
    </w:p>
    <w:p w14:paraId="7598C2AC" w14:textId="77777777" w:rsidR="00FD5E1F" w:rsidRPr="00FD5E1F" w:rsidRDefault="00FD5E1F" w:rsidP="00FD5E1F">
      <w:pPr>
        <w:spacing w:after="0" w:line="240" w:lineRule="auto"/>
        <w:jc w:val="center"/>
        <w:rPr>
          <w:rFonts w:ascii="Times New Roman" w:eastAsia="Times New Roman" w:hAnsi="Times New Roman"/>
          <w:b/>
          <w:sz w:val="20"/>
          <w:szCs w:val="20"/>
        </w:rPr>
      </w:pPr>
      <w:r w:rsidRPr="00FD5E1F">
        <w:rPr>
          <w:rFonts w:ascii="Times New Roman" w:eastAsia="Times New Roman" w:hAnsi="Times New Roman"/>
          <w:b/>
          <w:bCs/>
          <w:sz w:val="20"/>
          <w:szCs w:val="20"/>
        </w:rPr>
        <w:t>TREČIASIS SKIRSNIS</w:t>
      </w:r>
    </w:p>
    <w:p w14:paraId="00712D22" w14:textId="110E1158" w:rsidR="00FD5E1F" w:rsidRDefault="00FD5E1F" w:rsidP="00FD5E1F">
      <w:pPr>
        <w:keepNext/>
        <w:spacing w:after="0" w:line="240" w:lineRule="auto"/>
        <w:jc w:val="center"/>
        <w:rPr>
          <w:rFonts w:ascii="Times New Roman" w:eastAsia="Times New Roman" w:hAnsi="Times New Roman"/>
          <w:b/>
          <w:sz w:val="20"/>
          <w:szCs w:val="20"/>
        </w:rPr>
      </w:pPr>
      <w:r w:rsidRPr="00FD5E1F">
        <w:rPr>
          <w:rFonts w:ascii="Times New Roman" w:eastAsia="Times New Roman" w:hAnsi="Times New Roman"/>
          <w:b/>
          <w:sz w:val="20"/>
          <w:szCs w:val="20"/>
        </w:rPr>
        <w:t>PINIGINĖS SOCIALINĖS PARAMOS DYDŽIAI</w:t>
      </w:r>
    </w:p>
    <w:p w14:paraId="63BC1966" w14:textId="77777777" w:rsidR="00FD5E1F" w:rsidRPr="00FD5E1F" w:rsidRDefault="00FD5E1F" w:rsidP="00FD5E1F">
      <w:pPr>
        <w:keepNext/>
        <w:spacing w:after="0" w:line="240" w:lineRule="auto"/>
        <w:jc w:val="center"/>
        <w:rPr>
          <w:rFonts w:ascii="Times New Roman" w:eastAsia="Times New Roman" w:hAnsi="Times New Roman"/>
          <w:b/>
          <w:sz w:val="20"/>
          <w:szCs w:val="20"/>
        </w:rPr>
      </w:pPr>
      <w:bookmarkStart w:id="0" w:name="_GoBack"/>
      <w:bookmarkEnd w:id="0"/>
    </w:p>
    <w:p w14:paraId="3B32F560" w14:textId="77777777" w:rsidR="00FD5E1F" w:rsidRPr="00FD5E1F" w:rsidRDefault="00FD5E1F" w:rsidP="00FD5E1F">
      <w:pPr>
        <w:spacing w:after="0" w:line="240" w:lineRule="auto"/>
        <w:ind w:firstLine="720"/>
        <w:jc w:val="both"/>
        <w:rPr>
          <w:rFonts w:ascii="Times New Roman" w:eastAsia="Times New Roman" w:hAnsi="Times New Roman"/>
          <w:b/>
          <w:sz w:val="20"/>
          <w:szCs w:val="20"/>
        </w:rPr>
      </w:pPr>
      <w:r w:rsidRPr="00FD5E1F">
        <w:rPr>
          <w:rFonts w:ascii="Times New Roman" w:eastAsia="Times New Roman" w:hAnsi="Times New Roman"/>
          <w:b/>
          <w:bCs/>
          <w:sz w:val="20"/>
          <w:szCs w:val="20"/>
        </w:rPr>
        <w:t>11 straipsnis. Kompensacijų dydis</w:t>
      </w:r>
    </w:p>
    <w:p w14:paraId="65C6D0E8" w14:textId="77777777" w:rsidR="00FD5E1F" w:rsidRPr="00FD5E1F" w:rsidRDefault="00FD5E1F" w:rsidP="00FD5E1F">
      <w:pPr>
        <w:spacing w:after="0" w:line="240" w:lineRule="auto"/>
        <w:ind w:firstLine="720"/>
        <w:jc w:val="both"/>
        <w:rPr>
          <w:rFonts w:ascii="Times New Roman" w:eastAsia="Times New Roman" w:hAnsi="Times New Roman"/>
          <w:sz w:val="20"/>
          <w:szCs w:val="20"/>
        </w:rPr>
      </w:pPr>
      <w:r w:rsidRPr="00FD5E1F">
        <w:rPr>
          <w:rFonts w:ascii="Times New Roman" w:eastAsia="Times New Roman" w:hAnsi="Times New Roman"/>
          <w:sz w:val="20"/>
          <w:szCs w:val="20"/>
        </w:rPr>
        <w:t xml:space="preserve">3. Apskaičiuojant būsto šildymo išlaidas ir karšto vandens išlaidas, centralizuotai tiekiamos šilumos, karšto vandens, kitų būstui šildyti ir karštam vandeniui ruošti naudojamų energijos ir kuro rūšių, kurių kainos reguliuojamos, taip pat geriamojo vandens karštam vandeniui ruošti sąnaudos įvertinamos pagal įstatymų nustatyta tvarka patvirtintas kainas, taikant vienanares centralizuotai tiekiamos šilumos kainas, o kuro, kurio kainos nereguliuojamos ir už kurį atsiskaitoma kas mėnesį pagal apskaitos prietaisų rodmenis, – pagal nustatytas tiekėjų kainas; kietojo ar kitokio kuro, kurio faktinės sąnaudos kiekvieną mėnesį nenustatomos, – pagal savivaldybėse patvirtintas vidutines kainas. </w:t>
      </w:r>
    </w:p>
    <w:p w14:paraId="02A46966"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68"/>
    <w:rsid w:val="006B6468"/>
    <w:rsid w:val="00AD7AE2"/>
    <w:rsid w:val="00FD5E1F"/>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3384"/>
  <w15:chartTrackingRefBased/>
  <w15:docId w15:val="{7BE8D1C6-D109-4A30-B94C-85293B54B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D5E1F"/>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2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lrs.lt/cgi-bin/preps2?a=413828&amp;b=" TargetMode="External"/><Relationship Id="rId5" Type="http://schemas.openxmlformats.org/officeDocument/2006/relationships/hyperlink" Target="http://www3.lrs.lt/cgi-bin/preps2?a=413828&amp;b=" TargetMode="External"/><Relationship Id="rId4" Type="http://schemas.openxmlformats.org/officeDocument/2006/relationships/hyperlink" Target="https://www.e-tar.lt/portal/legalAct.html?documentId=TAR.3EEE59417F1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1412</Words>
  <Characters>805</Characters>
  <Application>Microsoft Office Word</Application>
  <DocSecurity>0</DocSecurity>
  <Lines>6</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2</cp:revision>
  <dcterms:created xsi:type="dcterms:W3CDTF">2018-10-09T11:49:00Z</dcterms:created>
  <dcterms:modified xsi:type="dcterms:W3CDTF">2018-10-09T11:52:00Z</dcterms:modified>
</cp:coreProperties>
</file>