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733" w:rsidRDefault="002C7733" w:rsidP="002C7733">
      <w:pPr>
        <w:jc w:val="center"/>
        <w:rPr>
          <w:b/>
        </w:rPr>
      </w:pPr>
      <w:bookmarkStart w:id="0" w:name="_GoBack"/>
      <w:bookmarkEnd w:id="0"/>
      <w:r w:rsidRPr="003F6F1D">
        <w:rPr>
          <w:b/>
        </w:rPr>
        <w:t>PANEVĖŽIO KURČIŲJŲ IR NEPRIGIRDINČIŲJŲ PAGRINDIN</w:t>
      </w:r>
      <w:r w:rsidR="00114025">
        <w:rPr>
          <w:b/>
        </w:rPr>
        <w:t>ĖS MOKYKLOS, PANEVĖŽIO „ŠVIESOS“</w:t>
      </w:r>
      <w:r w:rsidRPr="003F6F1D">
        <w:rPr>
          <w:b/>
        </w:rPr>
        <w:t xml:space="preserve"> SPECIALIOJO UGDYMO CENTRO IR PANEVĖŽIO SPECIALIOSIOS MOKYKLOS-DAUGIAFUNKCIO CENTRO VADOVŲ 2017 M</w:t>
      </w:r>
      <w:r>
        <w:rPr>
          <w:b/>
        </w:rPr>
        <w:t xml:space="preserve">. VEIKLOS APIBENDRINIMAS </w:t>
      </w:r>
    </w:p>
    <w:p w:rsidR="002B30A5" w:rsidRDefault="002B30A5" w:rsidP="002C7733">
      <w:pPr>
        <w:jc w:val="center"/>
        <w:rPr>
          <w:b/>
        </w:rPr>
      </w:pPr>
    </w:p>
    <w:p w:rsidR="001D2CBB" w:rsidRDefault="001D2CBB" w:rsidP="002B30A5">
      <w:pPr>
        <w:rPr>
          <w:b/>
          <w:color w:val="000000"/>
        </w:rPr>
      </w:pPr>
    </w:p>
    <w:p w:rsidR="001D2CBB" w:rsidRDefault="001361DF" w:rsidP="002B30A5">
      <w:pPr>
        <w:rPr>
          <w:b/>
          <w:color w:val="000000"/>
        </w:rPr>
      </w:pPr>
      <w:r w:rsidRPr="001361DF">
        <w:rPr>
          <w:color w:val="000000"/>
        </w:rPr>
        <w:t>Panevėžio specialiosiose mokyklose mokosi mokin</w:t>
      </w:r>
      <w:r w:rsidR="00114025">
        <w:rPr>
          <w:color w:val="000000"/>
        </w:rPr>
        <w:t>i</w:t>
      </w:r>
      <w:r w:rsidRPr="001361DF">
        <w:rPr>
          <w:color w:val="000000"/>
        </w:rPr>
        <w:t xml:space="preserve">ai, turintys didelių ir labai didelių ugdymosi poreikių. </w:t>
      </w:r>
      <w:r w:rsidR="001D2CBB" w:rsidRPr="001361DF">
        <w:rPr>
          <w:color w:val="000000"/>
        </w:rPr>
        <w:t>Mokinių skaičius miesto  specialiose mokyklose kinta nežymiai, 2015 m. jose mokės</w:t>
      </w:r>
      <w:r w:rsidR="003E1056">
        <w:rPr>
          <w:color w:val="000000"/>
        </w:rPr>
        <w:t>i 215, 2016 m. -199, 2017 m. -195</w:t>
      </w:r>
      <w:r w:rsidR="001D2CBB" w:rsidRPr="001361DF">
        <w:rPr>
          <w:color w:val="000000"/>
        </w:rPr>
        <w:t xml:space="preserve"> mokiniai</w:t>
      </w:r>
      <w:r w:rsidR="001D2CBB">
        <w:rPr>
          <w:b/>
          <w:color w:val="000000"/>
        </w:rPr>
        <w:t xml:space="preserve">. </w:t>
      </w:r>
    </w:p>
    <w:p w:rsidR="001D2CBB" w:rsidRDefault="00004704" w:rsidP="001D2CBB">
      <w:pPr>
        <w:jc w:val="center"/>
        <w:rPr>
          <w:b/>
          <w:color w:val="000000"/>
        </w:rPr>
      </w:pPr>
      <w:r>
        <w:rPr>
          <w:noProof/>
        </w:rPr>
        <w:drawing>
          <wp:inline distT="0" distB="0" distL="0" distR="0" wp14:anchorId="27477942" wp14:editId="0AC5164D">
            <wp:extent cx="4333875" cy="2285999"/>
            <wp:effectExtent l="0" t="0" r="9525" b="635"/>
            <wp:docPr id="5" name="Diagrama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B30A5" w:rsidRDefault="001D2CBB" w:rsidP="002B30A5">
      <w:pPr>
        <w:rPr>
          <w:b/>
          <w:color w:val="000000"/>
        </w:rPr>
      </w:pPr>
      <w:r w:rsidRPr="00B5353A">
        <w:rPr>
          <w:color w:val="000000"/>
        </w:rPr>
        <w:t>Todėl ir m</w:t>
      </w:r>
      <w:r w:rsidR="002B30A5" w:rsidRPr="00B5353A">
        <w:rPr>
          <w:color w:val="000000"/>
        </w:rPr>
        <w:t xml:space="preserve">okinių ir mokytojų skaičiaus santykis specialiosiose mokyklose </w:t>
      </w:r>
      <w:r w:rsidR="0061525C" w:rsidRPr="00B5353A">
        <w:rPr>
          <w:color w:val="000000"/>
        </w:rPr>
        <w:t>kinta nežymiai pastaruosius tr</w:t>
      </w:r>
      <w:r w:rsidR="002B30A5" w:rsidRPr="00B5353A">
        <w:rPr>
          <w:color w:val="000000"/>
        </w:rPr>
        <w:t>ejus metus</w:t>
      </w:r>
      <w:r w:rsidR="002B30A5">
        <w:rPr>
          <w:b/>
          <w:color w:val="000000"/>
        </w:rPr>
        <w:t xml:space="preserve">. </w:t>
      </w:r>
    </w:p>
    <w:p w:rsidR="00B5353A" w:rsidRDefault="00B5353A" w:rsidP="00004704">
      <w:pPr>
        <w:jc w:val="center"/>
        <w:rPr>
          <w:b/>
          <w:color w:val="000000"/>
        </w:rPr>
      </w:pPr>
      <w:r>
        <w:rPr>
          <w:noProof/>
        </w:rPr>
        <w:drawing>
          <wp:inline distT="0" distB="0" distL="0" distR="0" wp14:anchorId="75F92EAA" wp14:editId="06F47CD0">
            <wp:extent cx="5829299" cy="2262187"/>
            <wp:effectExtent l="0" t="0" r="635" b="5080"/>
            <wp:docPr id="1" name="Diagrama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B30A5" w:rsidRDefault="002B30A5" w:rsidP="002B30A5">
      <w:pPr>
        <w:jc w:val="right"/>
        <w:rPr>
          <w:b/>
        </w:rPr>
      </w:pPr>
    </w:p>
    <w:p w:rsidR="002C7733" w:rsidRDefault="00811C15" w:rsidP="00811C15">
      <w:r w:rsidRPr="00811C15">
        <w:t xml:space="preserve"> </w:t>
      </w:r>
      <w:r w:rsidR="003868B5">
        <w:t xml:space="preserve">Sumažėjus mokinių skaičiui, keitėsi ir klasių skaičius </w:t>
      </w:r>
      <w:r w:rsidR="00004704">
        <w:t xml:space="preserve">specialiosiose </w:t>
      </w:r>
      <w:r w:rsidR="003868B5">
        <w:t>mokyklose.  Nuo 2013 metų 1 komplektu jis sumažėjo „Šviesos“ specialiojo ugdymo centre, Kurčiųjų ir neprigirdinčiųjų pagrindinėje mokykloje, iš viso s</w:t>
      </w:r>
      <w:r w:rsidR="003868B5" w:rsidRPr="00132DDB">
        <w:t>pecialiosiose mokyklose klasių skaičius sumažėjo 3</w:t>
      </w:r>
      <w:r w:rsidR="00004704">
        <w:t>.</w:t>
      </w:r>
    </w:p>
    <w:p w:rsidR="003868B5" w:rsidRDefault="003868B5" w:rsidP="003868B5">
      <w:pPr>
        <w:jc w:val="center"/>
        <w:rPr>
          <w:b/>
        </w:rPr>
      </w:pPr>
    </w:p>
    <w:p w:rsidR="00811C15" w:rsidRDefault="007146C5" w:rsidP="002C7733">
      <w:pPr>
        <w:jc w:val="center"/>
        <w:rPr>
          <w:b/>
        </w:rPr>
      </w:pPr>
      <w:r>
        <w:rPr>
          <w:noProof/>
        </w:rPr>
        <w:drawing>
          <wp:inline distT="0" distB="0" distL="0" distR="0" wp14:anchorId="7451818D" wp14:editId="274EFD36">
            <wp:extent cx="4572000" cy="1990726"/>
            <wp:effectExtent l="0" t="0" r="0" b="9525"/>
            <wp:docPr id="9" name="Diagrama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C7733" w:rsidRDefault="002C7733" w:rsidP="002C7733">
      <w:pPr>
        <w:jc w:val="center"/>
        <w:rPr>
          <w:b/>
        </w:rPr>
      </w:pPr>
    </w:p>
    <w:p w:rsidR="00DA2D97" w:rsidRDefault="00DA2D97" w:rsidP="00DA2D97">
      <w:r>
        <w:t xml:space="preserve">Visais metais „Šviesos“ spec. ugdymo centro </w:t>
      </w:r>
      <w:r w:rsidR="007146C5">
        <w:t xml:space="preserve">ir </w:t>
      </w:r>
      <w:r>
        <w:t>Specialiosios mokyklos daugiafunkcio centro klasių komplektavimas atitiko MK reikalavimus.</w:t>
      </w:r>
    </w:p>
    <w:p w:rsidR="007F16F0" w:rsidRPr="00B00A90" w:rsidRDefault="00DA2D97" w:rsidP="007F16F0">
      <w:pPr>
        <w:tabs>
          <w:tab w:val="left" w:pos="426"/>
          <w:tab w:val="left" w:pos="851"/>
        </w:tabs>
        <w:suppressAutoHyphens/>
        <w:snapToGrid w:val="0"/>
        <w:spacing w:line="0" w:lineRule="atLeast"/>
        <w:jc w:val="both"/>
        <w:rPr>
          <w:color w:val="000000"/>
        </w:rPr>
      </w:pPr>
      <w:r w:rsidRPr="007146C5">
        <w:t xml:space="preserve">Mokinių skaičiaus vidurkis klasėje pagal pagrindinio ugdymo </w:t>
      </w:r>
      <w:r w:rsidR="004D4E2F">
        <w:t xml:space="preserve">I ir </w:t>
      </w:r>
      <w:r w:rsidRPr="007146C5">
        <w:t xml:space="preserve">II dalies </w:t>
      </w:r>
      <w:r w:rsidR="004D4E2F">
        <w:t>programas</w:t>
      </w:r>
      <w:r w:rsidRPr="007146C5">
        <w:t xml:space="preserve"> mažesnis už nustatytąjį Kurčiųjų ir neprigirdinčiųjų pagrindinės mokyklo</w:t>
      </w:r>
      <w:r w:rsidR="007146C5">
        <w:t>je</w:t>
      </w:r>
      <w:r w:rsidR="007F16F0">
        <w:t>, todėl</w:t>
      </w:r>
      <w:r w:rsidR="007F16F0" w:rsidRPr="007F16F0">
        <w:rPr>
          <w:color w:val="000000"/>
        </w:rPr>
        <w:t xml:space="preserve"> </w:t>
      </w:r>
      <w:r w:rsidR="007F16F0">
        <w:rPr>
          <w:color w:val="000000"/>
        </w:rPr>
        <w:t xml:space="preserve">šioje mokykloje </w:t>
      </w:r>
      <w:r w:rsidR="007F16F0" w:rsidRPr="00B00A90">
        <w:rPr>
          <w:color w:val="000000"/>
        </w:rPr>
        <w:t>ne</w:t>
      </w:r>
      <w:r w:rsidR="007F16F0">
        <w:rPr>
          <w:color w:val="000000"/>
        </w:rPr>
        <w:t>pakankamas finansavimas,</w:t>
      </w:r>
      <w:r w:rsidR="007F16F0" w:rsidRPr="00B00A90">
        <w:rPr>
          <w:color w:val="000000"/>
        </w:rPr>
        <w:t xml:space="preserve"> dėl mažo mokini</w:t>
      </w:r>
      <w:r w:rsidR="007F16F0">
        <w:rPr>
          <w:color w:val="000000"/>
        </w:rPr>
        <w:t>ų skaičiaus jungiamos klasės.+</w:t>
      </w:r>
    </w:p>
    <w:p w:rsidR="00DA2D97" w:rsidRDefault="00DA2D97" w:rsidP="007146C5">
      <w:pPr>
        <w:tabs>
          <w:tab w:val="left" w:pos="851"/>
        </w:tabs>
        <w:jc w:val="both"/>
      </w:pPr>
    </w:p>
    <w:p w:rsidR="00DA2D97" w:rsidRDefault="004D4E2F" w:rsidP="007F16F0">
      <w:pPr>
        <w:tabs>
          <w:tab w:val="left" w:pos="851"/>
        </w:tabs>
        <w:jc w:val="center"/>
        <w:rPr>
          <w:b/>
          <w:color w:val="000000"/>
        </w:rPr>
      </w:pPr>
      <w:r>
        <w:rPr>
          <w:noProof/>
        </w:rPr>
        <w:drawing>
          <wp:inline distT="0" distB="0" distL="0" distR="0" wp14:anchorId="678FBF56" wp14:editId="7BED9ED4">
            <wp:extent cx="4572000" cy="2162175"/>
            <wp:effectExtent l="0" t="0" r="0" b="9525"/>
            <wp:docPr id="11" name="Diagrama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A2D97" w:rsidRDefault="004D4E2F" w:rsidP="004D4E2F">
      <w:pPr>
        <w:pStyle w:val="Sraopastraipa"/>
        <w:tabs>
          <w:tab w:val="left" w:pos="851"/>
        </w:tabs>
        <w:spacing w:after="0"/>
        <w:ind w:left="568"/>
        <w:jc w:val="center"/>
        <w:rPr>
          <w:b/>
          <w:color w:val="000000"/>
          <w:lang w:val="lt-LT"/>
        </w:rPr>
      </w:pPr>
      <w:r>
        <w:rPr>
          <w:noProof/>
          <w:lang w:val="lt-LT" w:eastAsia="lt-LT"/>
        </w:rPr>
        <w:lastRenderedPageBreak/>
        <w:drawing>
          <wp:inline distT="0" distB="0" distL="0" distR="0" wp14:anchorId="7AB00349" wp14:editId="0165F2AB">
            <wp:extent cx="4572000" cy="2209800"/>
            <wp:effectExtent l="0" t="0" r="0" b="0"/>
            <wp:docPr id="12" name="Diagrama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B30A5" w:rsidRPr="004F1965" w:rsidRDefault="002B30A5" w:rsidP="00DA2D97">
      <w:pPr>
        <w:pStyle w:val="Sraopastraipa"/>
        <w:tabs>
          <w:tab w:val="left" w:pos="851"/>
        </w:tabs>
        <w:spacing w:after="0"/>
        <w:ind w:left="568"/>
        <w:jc w:val="both"/>
        <w:rPr>
          <w:b/>
          <w:color w:val="000000"/>
          <w:lang w:val="lt-LT"/>
        </w:rPr>
      </w:pPr>
      <w:r w:rsidRPr="004F1965">
        <w:rPr>
          <w:b/>
          <w:color w:val="000000"/>
          <w:lang w:val="lt-LT"/>
        </w:rPr>
        <w:t>Mokytojų pasiskirstymo pagal  amžių.</w:t>
      </w:r>
    </w:p>
    <w:p w:rsidR="00992CA7" w:rsidRDefault="002B30A5" w:rsidP="004F1965">
      <w:pPr>
        <w:jc w:val="both"/>
      </w:pPr>
      <w:r w:rsidRPr="00972D16">
        <w:rPr>
          <w:bCs/>
          <w:color w:val="000000"/>
        </w:rPr>
        <w:t xml:space="preserve">2017 m. rugsėjo 1 d. </w:t>
      </w:r>
      <w:r w:rsidR="004F1965">
        <w:rPr>
          <w:bCs/>
          <w:color w:val="000000"/>
        </w:rPr>
        <w:t xml:space="preserve">miesto </w:t>
      </w:r>
      <w:r w:rsidRPr="00972D16">
        <w:rPr>
          <w:bCs/>
          <w:color w:val="000000"/>
        </w:rPr>
        <w:t xml:space="preserve">specialiosiose mokyklose </w:t>
      </w:r>
      <w:r w:rsidRPr="00972D16">
        <w:t>mokytojų amžiaus vidurkis -53 m. ir yra aukštesnis už bendrą miesto mokytojų amžiaus vidurkį</w:t>
      </w:r>
      <w:r w:rsidR="004F1965">
        <w:t xml:space="preserve"> </w:t>
      </w:r>
      <w:r w:rsidRPr="00972D16">
        <w:t>(bendras miesto mokytojų amžiaus vidurkis – 51 m.). 2017 m. šio tipo mokyklose dirbo daugiau vyresnio amžiaus (60 m. ir daugiau) mokytojų</w:t>
      </w:r>
      <w:r w:rsidR="004F1965">
        <w:t xml:space="preserve"> negu kitose mokyklose (17</w:t>
      </w:r>
      <w:r w:rsidR="004F1965" w:rsidRPr="00972D16">
        <w:t xml:space="preserve"> proc</w:t>
      </w:r>
      <w:r w:rsidR="004F1965">
        <w:t>.)</w:t>
      </w:r>
      <w:r w:rsidRPr="00972D16">
        <w:t xml:space="preserve">. Jaunų 25-29 m. amžiaus mokytojų </w:t>
      </w:r>
      <w:r w:rsidR="00972D16" w:rsidRPr="00972D16">
        <w:t>specialiosiose mokyklose</w:t>
      </w:r>
      <w:r w:rsidR="00972D16">
        <w:t xml:space="preserve"> </w:t>
      </w:r>
      <w:r w:rsidRPr="00972D16">
        <w:t>nėra</w:t>
      </w:r>
      <w:r w:rsidR="00972D16">
        <w:t>.</w:t>
      </w:r>
      <w:r w:rsidRPr="00972D16">
        <w:t xml:space="preserve"> </w:t>
      </w:r>
    </w:p>
    <w:p w:rsidR="00972D16" w:rsidRDefault="00972D16" w:rsidP="00972D16">
      <w:pPr>
        <w:jc w:val="center"/>
      </w:pPr>
      <w:r>
        <w:rPr>
          <w:noProof/>
        </w:rPr>
        <w:drawing>
          <wp:inline distT="0" distB="0" distL="0" distR="0" wp14:anchorId="61A88C65" wp14:editId="1A1EF8D4">
            <wp:extent cx="7381875" cy="1943100"/>
            <wp:effectExtent l="0" t="0" r="9525" b="0"/>
            <wp:docPr id="27" name="Diagrama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72D16" w:rsidRPr="00972D16" w:rsidRDefault="00972D16" w:rsidP="00972D16"/>
    <w:p w:rsidR="00972D16" w:rsidRDefault="0076645E" w:rsidP="0076645E">
      <w:pPr>
        <w:rPr>
          <w:color w:val="000000"/>
        </w:rPr>
      </w:pPr>
      <w:r w:rsidRPr="004F1965">
        <w:rPr>
          <w:color w:val="000000"/>
        </w:rPr>
        <w:t>Aukštos kvalifikacijos (metodininkų ir ekspertų) mokytojų dalis</w:t>
      </w:r>
      <w:r w:rsidRPr="0076645E">
        <w:rPr>
          <w:color w:val="000000"/>
        </w:rPr>
        <w:t xml:space="preserve"> </w:t>
      </w:r>
      <w:r w:rsidR="004F1965">
        <w:rPr>
          <w:color w:val="000000"/>
        </w:rPr>
        <w:t>s</w:t>
      </w:r>
      <w:r>
        <w:rPr>
          <w:color w:val="000000"/>
        </w:rPr>
        <w:t>pecialiosiose mokyklose sudaro 18 proc. ir yra mažiausia iš visų mokyklų tipų (bendras miesto 46 proc.)</w:t>
      </w:r>
    </w:p>
    <w:p w:rsidR="00A76D5F" w:rsidRDefault="00E22ABD" w:rsidP="0076645E">
      <w:r>
        <w:rPr>
          <w:noProof/>
        </w:rPr>
        <w:lastRenderedPageBreak/>
        <w:drawing>
          <wp:inline distT="0" distB="0" distL="0" distR="0" wp14:anchorId="1F04C9D8" wp14:editId="49DB89F4">
            <wp:extent cx="7781925" cy="2133600"/>
            <wp:effectExtent l="0" t="0" r="9525" b="0"/>
            <wp:docPr id="7" name="Diagrama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2ABD" w:rsidRDefault="00E22ABD" w:rsidP="00E22ABD">
      <w:pPr>
        <w:spacing w:line="276" w:lineRule="auto"/>
        <w:ind w:firstLine="709"/>
        <w:jc w:val="both"/>
        <w:rPr>
          <w:color w:val="000000"/>
        </w:rPr>
      </w:pPr>
      <w:r>
        <w:t xml:space="preserve">Miesto specialiosios mokyklos </w:t>
      </w:r>
      <w:r>
        <w:rPr>
          <w:color w:val="000000"/>
        </w:rPr>
        <w:t xml:space="preserve">atitinka LR Švietimo ir mokslo ministerijos nustatytus kriterijus Savivaldybės </w:t>
      </w:r>
      <w:r w:rsidRPr="00133608">
        <w:rPr>
          <w:color w:val="000000"/>
        </w:rPr>
        <w:t xml:space="preserve">specialiosios mokyklos, skirtos šalies (regiono) mokiniams ir gauna ūkio lėšų iš LR vyriausybės. </w:t>
      </w:r>
      <w:r>
        <w:rPr>
          <w:color w:val="000000"/>
        </w:rPr>
        <w:t>Mokyklose ugdymo procesas organizuojamas</w:t>
      </w:r>
      <w:r w:rsidRPr="00B00A90">
        <w:rPr>
          <w:color w:val="000000"/>
        </w:rPr>
        <w:t xml:space="preserve"> diferencijuo</w:t>
      </w:r>
      <w:r>
        <w:rPr>
          <w:color w:val="000000"/>
        </w:rPr>
        <w:t>jant</w:t>
      </w:r>
      <w:r w:rsidRPr="00B00A90">
        <w:rPr>
          <w:color w:val="000000"/>
        </w:rPr>
        <w:t xml:space="preserve"> ir individualizuo</w:t>
      </w:r>
      <w:r>
        <w:rPr>
          <w:color w:val="000000"/>
        </w:rPr>
        <w:t>jant</w:t>
      </w:r>
      <w:r w:rsidRPr="00B00A90">
        <w:rPr>
          <w:color w:val="000000"/>
        </w:rPr>
        <w:t xml:space="preserve"> darbo formas</w:t>
      </w:r>
      <w:r>
        <w:rPr>
          <w:color w:val="000000"/>
        </w:rPr>
        <w:t xml:space="preserve">, stengiantis  tenkinti vaikų </w:t>
      </w:r>
      <w:r w:rsidRPr="00B00A90">
        <w:rPr>
          <w:color w:val="000000"/>
        </w:rPr>
        <w:t xml:space="preserve"> specialiuosius </w:t>
      </w:r>
      <w:r>
        <w:rPr>
          <w:color w:val="000000"/>
        </w:rPr>
        <w:t xml:space="preserve">ugdymosi </w:t>
      </w:r>
      <w:r w:rsidRPr="00B00A90">
        <w:rPr>
          <w:color w:val="000000"/>
        </w:rPr>
        <w:t>poreikius saugioje aplinkoje</w:t>
      </w:r>
      <w:r>
        <w:rPr>
          <w:color w:val="000000"/>
        </w:rPr>
        <w:t xml:space="preserve">. </w:t>
      </w:r>
    </w:p>
    <w:p w:rsidR="00E22ABD" w:rsidRDefault="00E22ABD" w:rsidP="00E22ABD">
      <w:pPr>
        <w:spacing w:line="276" w:lineRule="auto"/>
        <w:ind w:firstLine="709"/>
        <w:jc w:val="both"/>
      </w:pPr>
      <w:r>
        <w:rPr>
          <w:sz w:val="22"/>
          <w:szCs w:val="22"/>
        </w:rPr>
        <w:t>Kurčiųjų ir neprigirdinčiųjų pagrindinė</w:t>
      </w:r>
      <w:r w:rsidRPr="00CC6606">
        <w:rPr>
          <w:sz w:val="22"/>
          <w:szCs w:val="22"/>
        </w:rPr>
        <w:t xml:space="preserve"> mokykla</w:t>
      </w:r>
      <w:r w:rsidRPr="00041F2E">
        <w:t xml:space="preserve"> </w:t>
      </w:r>
      <w:r>
        <w:t>s</w:t>
      </w:r>
      <w:r w:rsidRPr="00041F2E">
        <w:t>uteiki</w:t>
      </w:r>
      <w:r>
        <w:t>a</w:t>
      </w:r>
      <w:r w:rsidRPr="00041F2E">
        <w:t xml:space="preserve"> vaikams su klausos negalia kokybišką pagrindinį išsilavinimą</w:t>
      </w:r>
      <w:r>
        <w:t>, teikia vizituojančio surdopedagogo paslaugas bendrojo ugdymo mokyklose ugdomiems klausos negalią turintiems mokiniams. Šios m</w:t>
      </w:r>
      <w:r>
        <w:rPr>
          <w:color w:val="000000"/>
        </w:rPr>
        <w:t xml:space="preserve">okyklos aktyviai dalyvauja </w:t>
      </w:r>
      <w:r w:rsidRPr="0070249F">
        <w:t>ir organizuoja miesto, šalies ir tarptautinius projektus bei renginius</w:t>
      </w:r>
      <w:r>
        <w:t>.</w:t>
      </w:r>
    </w:p>
    <w:p w:rsidR="00E22ABD" w:rsidRDefault="00E22ABD" w:rsidP="00E22ABD">
      <w:pPr>
        <w:spacing w:line="276" w:lineRule="auto"/>
        <w:ind w:firstLine="709"/>
        <w:jc w:val="both"/>
      </w:pPr>
      <w:r>
        <w:t xml:space="preserve"> „Šviesos“ specialiojo ugdymo centre </w:t>
      </w:r>
      <w:r w:rsidRPr="007D516E">
        <w:t>201</w:t>
      </w:r>
      <w:r>
        <w:t>7</w:t>
      </w:r>
      <w:r w:rsidRPr="007D516E">
        <w:t xml:space="preserve"> metais </w:t>
      </w:r>
      <w:r>
        <w:t>buvo parengti,  finansuoti</w:t>
      </w:r>
      <w:r w:rsidRPr="007D516E">
        <w:t xml:space="preserve"> ir įgyvendin</w:t>
      </w:r>
      <w:r>
        <w:t>ti</w:t>
      </w:r>
      <w:r w:rsidRPr="007D516E">
        <w:t xml:space="preserve"> 3 tarptautini</w:t>
      </w:r>
      <w:r>
        <w:t>ai</w:t>
      </w:r>
      <w:r w:rsidRPr="007D516E">
        <w:t xml:space="preserve"> projekt</w:t>
      </w:r>
      <w:r>
        <w:t>ai</w:t>
      </w:r>
      <w:r w:rsidRPr="001D08F0">
        <w:t>: ES programos „</w:t>
      </w:r>
      <w:proofErr w:type="spellStart"/>
      <w:r w:rsidRPr="001D08F0">
        <w:t>Erasmus</w:t>
      </w:r>
      <w:proofErr w:type="spellEnd"/>
      <w:r w:rsidRPr="001D08F0">
        <w:t>+“ Europos savanorių tarnybos projektas „Pažinkime!“, „</w:t>
      </w:r>
      <w:proofErr w:type="spellStart"/>
      <w:r w:rsidRPr="001D08F0">
        <w:t>Erasmus</w:t>
      </w:r>
      <w:proofErr w:type="spellEnd"/>
      <w:r w:rsidRPr="001D08F0">
        <w:t>+“ Europos savanorių tarnybos projektas „Aukime!“, kurių metu savanorišką tarnybą centre atliko 8 savanoriai iš įvairių Europos šalių (Prancūzijos, Austrijos, Ispanijos</w:t>
      </w:r>
      <w:r>
        <w:t>, Vokietijos, Gruzijos</w:t>
      </w:r>
      <w:r w:rsidRPr="001D08F0">
        <w:t>)</w:t>
      </w:r>
      <w:r>
        <w:t>,</w:t>
      </w:r>
      <w:r w:rsidRPr="001D08F0">
        <w:t xml:space="preserve">  ES programos „</w:t>
      </w:r>
      <w:proofErr w:type="spellStart"/>
      <w:r w:rsidRPr="001D08F0">
        <w:t>Erasmus</w:t>
      </w:r>
      <w:proofErr w:type="spellEnd"/>
      <w:r w:rsidRPr="001D08F0">
        <w:t>+“ Europos savanorių tarnybos projektas „</w:t>
      </w:r>
      <w:r>
        <w:t>Mano kelias Europoje</w:t>
      </w:r>
      <w:r w:rsidRPr="001D08F0">
        <w:t>“</w:t>
      </w:r>
      <w:r>
        <w:t xml:space="preserve"> </w:t>
      </w:r>
      <w:r w:rsidRPr="001D08F0">
        <w:t xml:space="preserve">(trumpalaikė </w:t>
      </w:r>
      <w:proofErr w:type="spellStart"/>
      <w:r w:rsidRPr="001D08F0">
        <w:t>savanorystė</w:t>
      </w:r>
      <w:proofErr w:type="spellEnd"/>
      <w:r w:rsidRPr="001D08F0">
        <w:t>)</w:t>
      </w:r>
      <w:r>
        <w:t xml:space="preserve">, </w:t>
      </w:r>
      <w:r w:rsidRPr="001D08F0">
        <w:t>ES programos „</w:t>
      </w:r>
      <w:proofErr w:type="spellStart"/>
      <w:r w:rsidRPr="001D08F0">
        <w:t>Erasmus</w:t>
      </w:r>
      <w:proofErr w:type="spellEnd"/>
      <w:r w:rsidRPr="001D08F0">
        <w:t>+“ jaunimo mainų projektas „</w:t>
      </w:r>
      <w:r>
        <w:t>Aktyvus-laimingas!</w:t>
      </w:r>
      <w:r w:rsidRPr="001D08F0">
        <w:t>“, kuriame kaip partneriai dalyvavo jaunuoliai iš Slovakijos, Slovėnijos ir Lenkijos.</w:t>
      </w:r>
      <w:r>
        <w:t xml:space="preserve"> </w:t>
      </w:r>
      <w:r w:rsidRPr="00757B77">
        <w:t>Centro švietimo pagalbos ir konsultavimo skyrius sėkmingai vykdė metodinės pa</w:t>
      </w:r>
      <w:r>
        <w:t>galbos ir konsultavimo veiklas.</w:t>
      </w:r>
    </w:p>
    <w:p w:rsidR="00E22ABD" w:rsidRDefault="00E22ABD" w:rsidP="00E22ABD">
      <w:pPr>
        <w:spacing w:line="276" w:lineRule="auto"/>
        <w:ind w:firstLine="709"/>
        <w:jc w:val="both"/>
      </w:pPr>
      <w:r>
        <w:t xml:space="preserve"> Panevėžio specialiosios mokyklos-daugiafunkcio c</w:t>
      </w:r>
      <w:r w:rsidRPr="000439F1">
        <w:t>entro pedagoginė bendruomenė</w:t>
      </w:r>
      <w:r>
        <w:t xml:space="preserve"> </w:t>
      </w:r>
      <w:r w:rsidRPr="00945602">
        <w:t xml:space="preserve">siekė </w:t>
      </w:r>
      <w:r>
        <w:t>sudaryti lygias galimybes kiekvienam  įstaigos lankytojui ugdytis pagal individualizuotas ugdymo programas, augti ir socializuotis sveikoje ir saugioje aplinkoje, gauti kokybišką įvairių specialistų pagalbą, o m</w:t>
      </w:r>
      <w:r w:rsidRPr="00265C66">
        <w:t xml:space="preserve">ažėjant mokyklinio amžiaus vaikų skaičiui, atsiradus laisvoms vietoms, </w:t>
      </w:r>
      <w:r>
        <w:t xml:space="preserve">šioje įstaigoje </w:t>
      </w:r>
      <w:r w:rsidRPr="00265C66">
        <w:t>pl</w:t>
      </w:r>
      <w:r>
        <w:t>ečiamos</w:t>
      </w:r>
      <w:r w:rsidRPr="00265C66">
        <w:t xml:space="preserve"> dienos socialin</w:t>
      </w:r>
      <w:r>
        <w:t xml:space="preserve">ės globos paslaugas suaugusiems ir veikia dvi </w:t>
      </w:r>
      <w:r w:rsidRPr="00E22ABD">
        <w:t>socialinės globos grupės jaunuoliams nuo 21 iki 40 metų amžiaus</w:t>
      </w:r>
      <w:r>
        <w:t xml:space="preserve">. </w:t>
      </w:r>
    </w:p>
    <w:p w:rsidR="00E22ABD" w:rsidRDefault="00E22ABD" w:rsidP="00E22ABD">
      <w:pPr>
        <w:spacing w:line="276" w:lineRule="auto"/>
        <w:ind w:firstLine="709"/>
        <w:jc w:val="both"/>
      </w:pPr>
    </w:p>
    <w:p w:rsidR="00E22ABD" w:rsidRDefault="00E22ABD" w:rsidP="00E22ABD">
      <w:pPr>
        <w:spacing w:line="276" w:lineRule="auto"/>
        <w:ind w:firstLine="709"/>
        <w:jc w:val="both"/>
      </w:pPr>
    </w:p>
    <w:p w:rsidR="00E22ABD" w:rsidRDefault="00E22ABD" w:rsidP="00E22ABD">
      <w:pPr>
        <w:spacing w:line="276" w:lineRule="auto"/>
        <w:ind w:firstLine="709"/>
        <w:jc w:val="both"/>
      </w:pPr>
    </w:p>
    <w:p w:rsidR="00E22ABD" w:rsidRDefault="00E22ABD" w:rsidP="00E22ABD">
      <w:pPr>
        <w:spacing w:line="276" w:lineRule="auto"/>
        <w:ind w:firstLine="709"/>
        <w:jc w:val="both"/>
        <w:rPr>
          <w:b/>
          <w:sz w:val="22"/>
          <w:szCs w:val="22"/>
        </w:rPr>
      </w:pPr>
    </w:p>
    <w:p w:rsidR="00C7657F" w:rsidRDefault="00C7657F" w:rsidP="00E22ABD">
      <w:pPr>
        <w:spacing w:line="276" w:lineRule="auto"/>
        <w:ind w:firstLine="709"/>
        <w:jc w:val="center"/>
        <w:rPr>
          <w:sz w:val="22"/>
          <w:szCs w:val="22"/>
        </w:rPr>
      </w:pPr>
      <w:r>
        <w:rPr>
          <w:b/>
          <w:sz w:val="22"/>
          <w:szCs w:val="22"/>
        </w:rPr>
        <w:t>Kreditoriniai įsiskolinimai 2017</w:t>
      </w:r>
      <w:r w:rsidRPr="00FF5F2F">
        <w:rPr>
          <w:b/>
          <w:sz w:val="22"/>
          <w:szCs w:val="22"/>
        </w:rPr>
        <w:t xml:space="preserve"> m. </w:t>
      </w:r>
      <w:r>
        <w:rPr>
          <w:b/>
          <w:sz w:val="22"/>
          <w:szCs w:val="22"/>
        </w:rPr>
        <w:t>gruodž</w:t>
      </w:r>
      <w:r w:rsidRPr="00FF5F2F">
        <w:rPr>
          <w:b/>
          <w:sz w:val="22"/>
          <w:szCs w:val="22"/>
        </w:rPr>
        <w:t xml:space="preserve">io </w:t>
      </w:r>
      <w:r>
        <w:rPr>
          <w:b/>
          <w:sz w:val="22"/>
          <w:szCs w:val="22"/>
        </w:rPr>
        <w:t>3</w:t>
      </w:r>
      <w:r w:rsidRPr="00FF5F2F">
        <w:rPr>
          <w:b/>
          <w:sz w:val="22"/>
          <w:szCs w:val="22"/>
        </w:rPr>
        <w:t>1 d.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2395"/>
        <w:gridCol w:w="2410"/>
        <w:gridCol w:w="2399"/>
      </w:tblGrid>
      <w:tr w:rsidR="00C7657F" w:rsidRPr="00CC6606" w:rsidTr="00E22ABD">
        <w:trPr>
          <w:jc w:val="center"/>
        </w:trPr>
        <w:tc>
          <w:tcPr>
            <w:tcW w:w="2424" w:type="dxa"/>
          </w:tcPr>
          <w:p w:rsidR="00C7657F" w:rsidRPr="00CC6606" w:rsidRDefault="00C7657F" w:rsidP="005D3DCD">
            <w:pPr>
              <w:rPr>
                <w:sz w:val="22"/>
                <w:szCs w:val="22"/>
              </w:rPr>
            </w:pPr>
          </w:p>
          <w:p w:rsidR="00C7657F" w:rsidRPr="00CC6606" w:rsidRDefault="00C7657F" w:rsidP="005D3DCD">
            <w:pPr>
              <w:rPr>
                <w:sz w:val="22"/>
                <w:szCs w:val="22"/>
              </w:rPr>
            </w:pPr>
            <w:r w:rsidRPr="00CC6606">
              <w:rPr>
                <w:sz w:val="22"/>
                <w:szCs w:val="22"/>
              </w:rPr>
              <w:t>Mokyklos pavadinimas</w:t>
            </w:r>
          </w:p>
        </w:tc>
        <w:tc>
          <w:tcPr>
            <w:tcW w:w="2395" w:type="dxa"/>
          </w:tcPr>
          <w:p w:rsidR="00C7657F" w:rsidRPr="00CC6606" w:rsidRDefault="00C7657F" w:rsidP="005D3DCD">
            <w:pPr>
              <w:jc w:val="center"/>
              <w:rPr>
                <w:sz w:val="22"/>
                <w:szCs w:val="22"/>
              </w:rPr>
            </w:pPr>
          </w:p>
          <w:p w:rsidR="00C7657F" w:rsidRPr="00CC6606" w:rsidRDefault="00C7657F" w:rsidP="005D3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 (</w:t>
            </w:r>
            <w:proofErr w:type="spellStart"/>
            <w:r>
              <w:rPr>
                <w:sz w:val="22"/>
                <w:szCs w:val="22"/>
              </w:rPr>
              <w:t>Eur</w:t>
            </w:r>
            <w:proofErr w:type="spellEnd"/>
            <w:r w:rsidRPr="00CC6606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:rsidR="00C7657F" w:rsidRPr="00CC6606" w:rsidRDefault="00C7657F" w:rsidP="00E22ABD">
            <w:pPr>
              <w:rPr>
                <w:sz w:val="22"/>
                <w:szCs w:val="22"/>
              </w:rPr>
            </w:pPr>
            <w:r w:rsidRPr="00CC6606">
              <w:rPr>
                <w:sz w:val="22"/>
                <w:szCs w:val="22"/>
              </w:rPr>
              <w:t xml:space="preserve">Tame tarpe darbo užmokesčiui ir </w:t>
            </w:r>
            <w:proofErr w:type="spellStart"/>
            <w:r w:rsidRPr="00CC6606">
              <w:rPr>
                <w:sz w:val="22"/>
                <w:szCs w:val="22"/>
              </w:rPr>
              <w:t>soc</w:t>
            </w:r>
            <w:proofErr w:type="spellEnd"/>
            <w:r w:rsidRPr="00CC6606">
              <w:rPr>
                <w:sz w:val="22"/>
                <w:szCs w:val="22"/>
              </w:rPr>
              <w:t>. draudimo mokesčiams</w:t>
            </w:r>
          </w:p>
        </w:tc>
        <w:tc>
          <w:tcPr>
            <w:tcW w:w="2399" w:type="dxa"/>
            <w:vAlign w:val="center"/>
          </w:tcPr>
          <w:p w:rsidR="00C7657F" w:rsidRPr="00CC6606" w:rsidRDefault="00C7657F" w:rsidP="005D3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Kitos paslaugos</w:t>
            </w:r>
          </w:p>
        </w:tc>
      </w:tr>
      <w:tr w:rsidR="00C7657F" w:rsidRPr="00CC6606" w:rsidTr="00E22ABD">
        <w:trPr>
          <w:jc w:val="center"/>
        </w:trPr>
        <w:tc>
          <w:tcPr>
            <w:tcW w:w="2424" w:type="dxa"/>
          </w:tcPr>
          <w:p w:rsidR="00C7657F" w:rsidRPr="00CC6606" w:rsidRDefault="00C7657F" w:rsidP="005D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Kurčiųjų ir neprigirdinčiųjų pagrindinė</w:t>
            </w:r>
            <w:r w:rsidRPr="00CC6606">
              <w:rPr>
                <w:sz w:val="22"/>
                <w:szCs w:val="22"/>
              </w:rPr>
              <w:t xml:space="preserve"> mokykla</w:t>
            </w:r>
          </w:p>
        </w:tc>
        <w:tc>
          <w:tcPr>
            <w:tcW w:w="2395" w:type="dxa"/>
            <w:vAlign w:val="center"/>
          </w:tcPr>
          <w:p w:rsidR="00C7657F" w:rsidRPr="00CC6606" w:rsidRDefault="00C7657F" w:rsidP="005D3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365,66</w:t>
            </w:r>
          </w:p>
        </w:tc>
        <w:tc>
          <w:tcPr>
            <w:tcW w:w="2410" w:type="dxa"/>
            <w:vAlign w:val="center"/>
          </w:tcPr>
          <w:p w:rsidR="00C7657F" w:rsidRPr="00CC6606" w:rsidRDefault="00C7657F" w:rsidP="005D3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99" w:type="dxa"/>
            <w:vAlign w:val="center"/>
          </w:tcPr>
          <w:p w:rsidR="00C7657F" w:rsidRPr="00CC6606" w:rsidRDefault="00C7657F" w:rsidP="005D3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657F" w:rsidRPr="00CC6606" w:rsidTr="00E22ABD">
        <w:trPr>
          <w:jc w:val="center"/>
        </w:trPr>
        <w:tc>
          <w:tcPr>
            <w:tcW w:w="2424" w:type="dxa"/>
          </w:tcPr>
          <w:p w:rsidR="00C7657F" w:rsidRPr="00CC6606" w:rsidRDefault="00C7657F" w:rsidP="005D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„Šviesos“ specialiojo ugdymo centras</w:t>
            </w:r>
          </w:p>
        </w:tc>
        <w:tc>
          <w:tcPr>
            <w:tcW w:w="2395" w:type="dxa"/>
            <w:vAlign w:val="center"/>
          </w:tcPr>
          <w:p w:rsidR="00C7657F" w:rsidRPr="00CC6606" w:rsidRDefault="00C7657F" w:rsidP="005D3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817,75</w:t>
            </w:r>
          </w:p>
        </w:tc>
        <w:tc>
          <w:tcPr>
            <w:tcW w:w="2410" w:type="dxa"/>
            <w:vAlign w:val="center"/>
          </w:tcPr>
          <w:p w:rsidR="00C7657F" w:rsidRPr="00CC6606" w:rsidRDefault="00C7657F" w:rsidP="005D3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1,55</w:t>
            </w:r>
          </w:p>
        </w:tc>
        <w:tc>
          <w:tcPr>
            <w:tcW w:w="2399" w:type="dxa"/>
            <w:vAlign w:val="center"/>
          </w:tcPr>
          <w:p w:rsidR="00C7657F" w:rsidRPr="00CC6606" w:rsidRDefault="00C7657F" w:rsidP="005D3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12,46</w:t>
            </w:r>
          </w:p>
        </w:tc>
      </w:tr>
      <w:tr w:rsidR="00C7657F" w:rsidRPr="00CC6606" w:rsidTr="00E22ABD">
        <w:trPr>
          <w:jc w:val="center"/>
        </w:trPr>
        <w:tc>
          <w:tcPr>
            <w:tcW w:w="2424" w:type="dxa"/>
          </w:tcPr>
          <w:p w:rsidR="00C7657F" w:rsidRPr="00CC6606" w:rsidRDefault="00C7657F" w:rsidP="005D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Specialioji mokykla-daugiafunkcis centras</w:t>
            </w:r>
          </w:p>
        </w:tc>
        <w:tc>
          <w:tcPr>
            <w:tcW w:w="2395" w:type="dxa"/>
            <w:vAlign w:val="center"/>
          </w:tcPr>
          <w:p w:rsidR="00C7657F" w:rsidRPr="00CC6606" w:rsidRDefault="00C7657F" w:rsidP="005D3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909,95</w:t>
            </w:r>
          </w:p>
        </w:tc>
        <w:tc>
          <w:tcPr>
            <w:tcW w:w="2410" w:type="dxa"/>
            <w:vAlign w:val="center"/>
          </w:tcPr>
          <w:p w:rsidR="00C7657F" w:rsidRPr="00CC6606" w:rsidRDefault="00C7657F" w:rsidP="005D3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9" w:type="dxa"/>
            <w:vAlign w:val="center"/>
          </w:tcPr>
          <w:p w:rsidR="00C7657F" w:rsidRPr="00CC6606" w:rsidRDefault="00C7657F" w:rsidP="005D3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909,95</w:t>
            </w:r>
          </w:p>
        </w:tc>
      </w:tr>
    </w:tbl>
    <w:p w:rsidR="00C7657F" w:rsidRPr="00EA18A6" w:rsidRDefault="00C7657F" w:rsidP="00C7657F">
      <w:pPr>
        <w:rPr>
          <w:sz w:val="22"/>
          <w:szCs w:val="22"/>
        </w:rPr>
      </w:pPr>
    </w:p>
    <w:p w:rsidR="00C7657F" w:rsidRDefault="00C7657F" w:rsidP="00E22ABD">
      <w:pPr>
        <w:jc w:val="center"/>
        <w:rPr>
          <w:b/>
          <w:sz w:val="22"/>
          <w:szCs w:val="22"/>
        </w:rPr>
      </w:pPr>
      <w:r w:rsidRPr="00FF5F2F">
        <w:rPr>
          <w:b/>
          <w:sz w:val="22"/>
          <w:szCs w:val="22"/>
        </w:rPr>
        <w:t>Panaudotas savivaldybės biudžeto lėšų kiekis vienam mokiniui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056"/>
        <w:gridCol w:w="3203"/>
      </w:tblGrid>
      <w:tr w:rsidR="00C7657F" w:rsidRPr="00CC6606" w:rsidTr="00E22ABD">
        <w:trPr>
          <w:trHeight w:val="688"/>
          <w:jc w:val="center"/>
        </w:trPr>
        <w:tc>
          <w:tcPr>
            <w:tcW w:w="3369" w:type="dxa"/>
          </w:tcPr>
          <w:p w:rsidR="00C7657F" w:rsidRPr="00CC6606" w:rsidRDefault="00C7657F" w:rsidP="005D3DCD">
            <w:pPr>
              <w:jc w:val="center"/>
              <w:rPr>
                <w:sz w:val="22"/>
                <w:szCs w:val="22"/>
              </w:rPr>
            </w:pPr>
          </w:p>
          <w:p w:rsidR="00C7657F" w:rsidRPr="00CC6606" w:rsidRDefault="00C7657F" w:rsidP="005D3DCD">
            <w:pPr>
              <w:jc w:val="center"/>
              <w:rPr>
                <w:sz w:val="22"/>
                <w:szCs w:val="22"/>
              </w:rPr>
            </w:pPr>
            <w:r w:rsidRPr="00CC6606">
              <w:rPr>
                <w:sz w:val="22"/>
                <w:szCs w:val="22"/>
              </w:rPr>
              <w:t>Mokyklos pavadinimas</w:t>
            </w:r>
          </w:p>
        </w:tc>
        <w:tc>
          <w:tcPr>
            <w:tcW w:w="3056" w:type="dxa"/>
            <w:vAlign w:val="center"/>
          </w:tcPr>
          <w:p w:rsidR="00C7657F" w:rsidRPr="00CC6606" w:rsidRDefault="00C7657F" w:rsidP="00E22ABD">
            <w:pPr>
              <w:rPr>
                <w:b/>
                <w:sz w:val="22"/>
                <w:szCs w:val="22"/>
              </w:rPr>
            </w:pPr>
            <w:r w:rsidRPr="00CC6606">
              <w:rPr>
                <w:sz w:val="22"/>
                <w:szCs w:val="22"/>
              </w:rPr>
              <w:t xml:space="preserve">Panaudotas </w:t>
            </w:r>
            <w:r>
              <w:rPr>
                <w:sz w:val="22"/>
                <w:szCs w:val="22"/>
              </w:rPr>
              <w:t>regioninių</w:t>
            </w:r>
            <w:r w:rsidRPr="00CC66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lėšų (V+S) kiekis vienam mokiniui (</w:t>
            </w:r>
            <w:proofErr w:type="spellStart"/>
            <w:r>
              <w:rPr>
                <w:sz w:val="22"/>
                <w:szCs w:val="22"/>
              </w:rPr>
              <w:t>Eur</w:t>
            </w:r>
            <w:proofErr w:type="spellEnd"/>
            <w:r w:rsidRPr="00CC6606">
              <w:rPr>
                <w:sz w:val="22"/>
                <w:szCs w:val="22"/>
              </w:rPr>
              <w:t>)</w:t>
            </w:r>
          </w:p>
        </w:tc>
        <w:tc>
          <w:tcPr>
            <w:tcW w:w="3203" w:type="dxa"/>
            <w:vAlign w:val="center"/>
          </w:tcPr>
          <w:p w:rsidR="00C7657F" w:rsidRPr="00B33B83" w:rsidRDefault="00C7657F" w:rsidP="005D3DCD">
            <w:pPr>
              <w:jc w:val="center"/>
              <w:rPr>
                <w:sz w:val="22"/>
                <w:szCs w:val="22"/>
              </w:rPr>
            </w:pPr>
            <w:r w:rsidRPr="00CC6606">
              <w:rPr>
                <w:sz w:val="22"/>
                <w:szCs w:val="22"/>
              </w:rPr>
              <w:t>Vieno mokinio išlaikymo kaštai ugdymu</w:t>
            </w:r>
            <w:r>
              <w:rPr>
                <w:sz w:val="22"/>
                <w:szCs w:val="22"/>
              </w:rPr>
              <w:t>i (MK) per metus (</w:t>
            </w:r>
            <w:proofErr w:type="spellStart"/>
            <w:r>
              <w:rPr>
                <w:sz w:val="22"/>
                <w:szCs w:val="22"/>
              </w:rPr>
              <w:t>Eur</w:t>
            </w:r>
            <w:proofErr w:type="spellEnd"/>
            <w:r w:rsidRPr="00CC6606">
              <w:rPr>
                <w:sz w:val="22"/>
                <w:szCs w:val="22"/>
              </w:rPr>
              <w:t>)</w:t>
            </w:r>
          </w:p>
        </w:tc>
      </w:tr>
      <w:tr w:rsidR="00C7657F" w:rsidRPr="00CC6606" w:rsidTr="00E22ABD">
        <w:trPr>
          <w:trHeight w:val="913"/>
          <w:jc w:val="center"/>
        </w:trPr>
        <w:tc>
          <w:tcPr>
            <w:tcW w:w="3369" w:type="dxa"/>
            <w:vAlign w:val="center"/>
          </w:tcPr>
          <w:p w:rsidR="00C7657F" w:rsidRPr="00CC6606" w:rsidRDefault="00C7657F" w:rsidP="005D3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Kurčiųjų ir neprigirdinčiųjų pagrindinė</w:t>
            </w:r>
            <w:r w:rsidRPr="00CC6606">
              <w:rPr>
                <w:sz w:val="22"/>
                <w:szCs w:val="22"/>
              </w:rPr>
              <w:t xml:space="preserve"> mokykla</w:t>
            </w:r>
          </w:p>
        </w:tc>
        <w:tc>
          <w:tcPr>
            <w:tcW w:w="3056" w:type="dxa"/>
            <w:vAlign w:val="center"/>
          </w:tcPr>
          <w:p w:rsidR="00C7657F" w:rsidRPr="00CC6606" w:rsidRDefault="00C7657F" w:rsidP="005D3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4575 </w:t>
            </w:r>
            <w:proofErr w:type="spellStart"/>
            <w:r>
              <w:rPr>
                <w:sz w:val="22"/>
                <w:szCs w:val="22"/>
              </w:rPr>
              <w:t>Eur</w:t>
            </w:r>
            <w:proofErr w:type="spellEnd"/>
            <w:r>
              <w:rPr>
                <w:sz w:val="22"/>
                <w:szCs w:val="22"/>
              </w:rPr>
              <w:t>/mok.</w:t>
            </w:r>
          </w:p>
        </w:tc>
        <w:tc>
          <w:tcPr>
            <w:tcW w:w="3203" w:type="dxa"/>
            <w:vAlign w:val="center"/>
          </w:tcPr>
          <w:p w:rsidR="00C7657F" w:rsidRPr="00CC6606" w:rsidRDefault="00C7657F" w:rsidP="005D3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4607 </w:t>
            </w:r>
            <w:proofErr w:type="spellStart"/>
            <w:r>
              <w:rPr>
                <w:sz w:val="22"/>
                <w:szCs w:val="22"/>
              </w:rPr>
              <w:t>Eur</w:t>
            </w:r>
            <w:proofErr w:type="spellEnd"/>
            <w:r>
              <w:rPr>
                <w:sz w:val="22"/>
                <w:szCs w:val="22"/>
              </w:rPr>
              <w:t>/mok.</w:t>
            </w:r>
          </w:p>
        </w:tc>
      </w:tr>
      <w:tr w:rsidR="00C7657F" w:rsidRPr="00CC6606" w:rsidTr="00E22ABD">
        <w:trPr>
          <w:trHeight w:val="1252"/>
          <w:jc w:val="center"/>
        </w:trPr>
        <w:tc>
          <w:tcPr>
            <w:tcW w:w="3369" w:type="dxa"/>
            <w:vAlign w:val="center"/>
          </w:tcPr>
          <w:p w:rsidR="00C7657F" w:rsidRPr="00CC6606" w:rsidRDefault="00C7657F" w:rsidP="005D3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„Šviesos“ specialiojo ugdymo centras</w:t>
            </w:r>
          </w:p>
        </w:tc>
        <w:tc>
          <w:tcPr>
            <w:tcW w:w="3056" w:type="dxa"/>
            <w:vAlign w:val="center"/>
          </w:tcPr>
          <w:p w:rsidR="00C7657F" w:rsidRPr="00CC6606" w:rsidRDefault="00C7657F" w:rsidP="005D3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4621 </w:t>
            </w:r>
            <w:proofErr w:type="spellStart"/>
            <w:r>
              <w:rPr>
                <w:sz w:val="22"/>
                <w:szCs w:val="22"/>
              </w:rPr>
              <w:t>Eur</w:t>
            </w:r>
            <w:proofErr w:type="spellEnd"/>
            <w:r>
              <w:rPr>
                <w:sz w:val="22"/>
                <w:szCs w:val="22"/>
              </w:rPr>
              <w:t>/mok.</w:t>
            </w:r>
          </w:p>
        </w:tc>
        <w:tc>
          <w:tcPr>
            <w:tcW w:w="3203" w:type="dxa"/>
            <w:vAlign w:val="center"/>
          </w:tcPr>
          <w:p w:rsidR="00C7657F" w:rsidRPr="00CC6606" w:rsidRDefault="00C7657F" w:rsidP="005D3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4506 </w:t>
            </w:r>
            <w:proofErr w:type="spellStart"/>
            <w:r>
              <w:rPr>
                <w:sz w:val="22"/>
                <w:szCs w:val="22"/>
              </w:rPr>
              <w:t>Eur</w:t>
            </w:r>
            <w:proofErr w:type="spellEnd"/>
            <w:r>
              <w:rPr>
                <w:sz w:val="22"/>
                <w:szCs w:val="22"/>
              </w:rPr>
              <w:t>/mok.</w:t>
            </w:r>
          </w:p>
        </w:tc>
      </w:tr>
      <w:tr w:rsidR="00C7657F" w:rsidRPr="00CC6606" w:rsidTr="00E22ABD">
        <w:trPr>
          <w:trHeight w:val="844"/>
          <w:jc w:val="center"/>
        </w:trPr>
        <w:tc>
          <w:tcPr>
            <w:tcW w:w="3369" w:type="dxa"/>
          </w:tcPr>
          <w:p w:rsidR="00C7657F" w:rsidRPr="00CC6606" w:rsidRDefault="00C7657F" w:rsidP="005D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Specialioji mokykla-daugiafunkcis centras (be </w:t>
            </w:r>
            <w:proofErr w:type="spellStart"/>
            <w:r>
              <w:rPr>
                <w:sz w:val="22"/>
                <w:szCs w:val="22"/>
              </w:rPr>
              <w:t>spec.lėšų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056" w:type="dxa"/>
            <w:vAlign w:val="center"/>
          </w:tcPr>
          <w:p w:rsidR="00C7657F" w:rsidRPr="00CC6606" w:rsidRDefault="00C7657F" w:rsidP="005D3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2808 </w:t>
            </w:r>
            <w:proofErr w:type="spellStart"/>
            <w:r>
              <w:rPr>
                <w:sz w:val="22"/>
                <w:szCs w:val="22"/>
              </w:rPr>
              <w:t>Eur</w:t>
            </w:r>
            <w:proofErr w:type="spellEnd"/>
            <w:r>
              <w:rPr>
                <w:sz w:val="22"/>
                <w:szCs w:val="22"/>
              </w:rPr>
              <w:t xml:space="preserve">/mok. </w:t>
            </w:r>
          </w:p>
        </w:tc>
        <w:tc>
          <w:tcPr>
            <w:tcW w:w="3203" w:type="dxa"/>
            <w:vAlign w:val="center"/>
          </w:tcPr>
          <w:p w:rsidR="00C7657F" w:rsidRPr="00CC6606" w:rsidRDefault="00C7657F" w:rsidP="005D3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5180 </w:t>
            </w:r>
            <w:proofErr w:type="spellStart"/>
            <w:r>
              <w:rPr>
                <w:sz w:val="22"/>
                <w:szCs w:val="22"/>
              </w:rPr>
              <w:t>Eur</w:t>
            </w:r>
            <w:proofErr w:type="spellEnd"/>
            <w:r>
              <w:rPr>
                <w:sz w:val="22"/>
                <w:szCs w:val="22"/>
              </w:rPr>
              <w:t>/mok.</w:t>
            </w:r>
          </w:p>
        </w:tc>
      </w:tr>
    </w:tbl>
    <w:p w:rsidR="00C7657F" w:rsidRDefault="00C7657F" w:rsidP="00E22ABD">
      <w:pPr>
        <w:jc w:val="center"/>
        <w:rPr>
          <w:b/>
          <w:sz w:val="22"/>
          <w:szCs w:val="22"/>
        </w:rPr>
      </w:pPr>
      <w:r w:rsidRPr="00FF5F2F">
        <w:rPr>
          <w:b/>
          <w:sz w:val="22"/>
          <w:szCs w:val="22"/>
        </w:rPr>
        <w:t xml:space="preserve">Panaudotas savivaldybės biudžeto lėšų kiekis vienam </w:t>
      </w:r>
      <w:r>
        <w:rPr>
          <w:b/>
          <w:sz w:val="22"/>
          <w:szCs w:val="22"/>
        </w:rPr>
        <w:t>socialinių paslaugų gavėjui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3213"/>
      </w:tblGrid>
      <w:tr w:rsidR="00C7657F" w:rsidRPr="00CC6606" w:rsidTr="007F16F0">
        <w:trPr>
          <w:jc w:val="center"/>
        </w:trPr>
        <w:tc>
          <w:tcPr>
            <w:tcW w:w="3212" w:type="dxa"/>
          </w:tcPr>
          <w:p w:rsidR="00C7657F" w:rsidRPr="00CC6606" w:rsidRDefault="00C7657F" w:rsidP="005D3DCD">
            <w:pPr>
              <w:jc w:val="center"/>
              <w:rPr>
                <w:sz w:val="22"/>
                <w:szCs w:val="22"/>
              </w:rPr>
            </w:pPr>
          </w:p>
          <w:p w:rsidR="00C7657F" w:rsidRPr="00CC6606" w:rsidRDefault="00C7657F" w:rsidP="005D3DCD">
            <w:pPr>
              <w:jc w:val="center"/>
              <w:rPr>
                <w:sz w:val="22"/>
                <w:szCs w:val="22"/>
              </w:rPr>
            </w:pPr>
            <w:r w:rsidRPr="00CC6606">
              <w:rPr>
                <w:sz w:val="22"/>
                <w:szCs w:val="22"/>
              </w:rPr>
              <w:t>Mokyklos pavadinimas</w:t>
            </w:r>
          </w:p>
        </w:tc>
        <w:tc>
          <w:tcPr>
            <w:tcW w:w="3213" w:type="dxa"/>
          </w:tcPr>
          <w:p w:rsidR="00C7657F" w:rsidRPr="00CC6606" w:rsidRDefault="00C7657F" w:rsidP="005D3DCD">
            <w:pPr>
              <w:jc w:val="center"/>
              <w:rPr>
                <w:b/>
                <w:sz w:val="22"/>
                <w:szCs w:val="22"/>
              </w:rPr>
            </w:pPr>
            <w:r w:rsidRPr="00CC6606">
              <w:rPr>
                <w:sz w:val="22"/>
                <w:szCs w:val="22"/>
              </w:rPr>
              <w:t>Panaudotas savivaldybės biudžeto</w:t>
            </w:r>
            <w:r>
              <w:rPr>
                <w:sz w:val="22"/>
                <w:szCs w:val="22"/>
              </w:rPr>
              <w:t xml:space="preserve"> lėšų kiekis vienam </w:t>
            </w:r>
            <w:proofErr w:type="spellStart"/>
            <w:r>
              <w:rPr>
                <w:sz w:val="22"/>
                <w:szCs w:val="22"/>
              </w:rPr>
              <w:t>soc</w:t>
            </w:r>
            <w:proofErr w:type="spellEnd"/>
            <w:r>
              <w:rPr>
                <w:sz w:val="22"/>
                <w:szCs w:val="22"/>
              </w:rPr>
              <w:t>. paslaugų gavėjui per metus (</w:t>
            </w:r>
            <w:proofErr w:type="spellStart"/>
            <w:r>
              <w:rPr>
                <w:sz w:val="22"/>
                <w:szCs w:val="22"/>
              </w:rPr>
              <w:t>Eur</w:t>
            </w:r>
            <w:proofErr w:type="spellEnd"/>
            <w:r w:rsidRPr="00CC6606">
              <w:rPr>
                <w:sz w:val="22"/>
                <w:szCs w:val="22"/>
              </w:rPr>
              <w:t>)</w:t>
            </w:r>
          </w:p>
        </w:tc>
      </w:tr>
      <w:tr w:rsidR="00C7657F" w:rsidRPr="00CC6606" w:rsidTr="007F16F0">
        <w:trPr>
          <w:jc w:val="center"/>
        </w:trPr>
        <w:tc>
          <w:tcPr>
            <w:tcW w:w="3212" w:type="dxa"/>
          </w:tcPr>
          <w:p w:rsidR="00C7657F" w:rsidRPr="00CC6606" w:rsidRDefault="00C7657F" w:rsidP="005D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Specialioji mokykla-daugiafunkcis centras (biudžeto lėšos, lėšos  deleguotoms f-joms, mokestis už paslaugas)</w:t>
            </w:r>
          </w:p>
        </w:tc>
        <w:tc>
          <w:tcPr>
            <w:tcW w:w="3213" w:type="dxa"/>
          </w:tcPr>
          <w:p w:rsidR="00C7657F" w:rsidRPr="00CC6606" w:rsidRDefault="00C7657F" w:rsidP="005D3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8105 </w:t>
            </w:r>
            <w:proofErr w:type="spellStart"/>
            <w:r>
              <w:rPr>
                <w:sz w:val="22"/>
                <w:szCs w:val="22"/>
              </w:rPr>
              <w:t>Eur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asm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</w:tbl>
    <w:p w:rsidR="00B41012" w:rsidRPr="00E22ABD" w:rsidRDefault="00B41012" w:rsidP="00E22ABD">
      <w:pPr>
        <w:spacing w:line="276" w:lineRule="auto"/>
        <w:jc w:val="both"/>
      </w:pPr>
    </w:p>
    <w:sectPr w:rsidR="00B41012" w:rsidRPr="00E22ABD" w:rsidSect="002C773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A3F52"/>
    <w:multiLevelType w:val="hybridMultilevel"/>
    <w:tmpl w:val="88EC4452"/>
    <w:lvl w:ilvl="0" w:tplc="8814C8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6D750EA"/>
    <w:multiLevelType w:val="hybridMultilevel"/>
    <w:tmpl w:val="5974197C"/>
    <w:lvl w:ilvl="0" w:tplc="8814C8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33"/>
    <w:rsid w:val="00004704"/>
    <w:rsid w:val="00114025"/>
    <w:rsid w:val="001361DF"/>
    <w:rsid w:val="001D2CBB"/>
    <w:rsid w:val="002B30A5"/>
    <w:rsid w:val="002C7733"/>
    <w:rsid w:val="002E3CC5"/>
    <w:rsid w:val="003868B5"/>
    <w:rsid w:val="003E1056"/>
    <w:rsid w:val="004D4E2F"/>
    <w:rsid w:val="004F1965"/>
    <w:rsid w:val="0061525C"/>
    <w:rsid w:val="007146C5"/>
    <w:rsid w:val="00755F28"/>
    <w:rsid w:val="0076645E"/>
    <w:rsid w:val="007F16F0"/>
    <w:rsid w:val="00811C15"/>
    <w:rsid w:val="00972D16"/>
    <w:rsid w:val="00992CA7"/>
    <w:rsid w:val="009C1B9F"/>
    <w:rsid w:val="00A56E12"/>
    <w:rsid w:val="00A76D5F"/>
    <w:rsid w:val="00B41012"/>
    <w:rsid w:val="00B5353A"/>
    <w:rsid w:val="00C22E9F"/>
    <w:rsid w:val="00C7657F"/>
    <w:rsid w:val="00CF75AB"/>
    <w:rsid w:val="00DA2D97"/>
    <w:rsid w:val="00E22ABD"/>
    <w:rsid w:val="00E27DE5"/>
    <w:rsid w:val="00E3699C"/>
    <w:rsid w:val="00E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5BD38-21F1-4851-94EF-681D6966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C7733"/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2B30A5"/>
    <w:pPr>
      <w:spacing w:after="160" w:line="259" w:lineRule="auto"/>
      <w:ind w:left="720"/>
      <w:contextualSpacing/>
    </w:pPr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usra2\Desktop\2017-2018%20Pedagogai,%20poreikis\Galutine%20mokiniu%20ir%20mokytoju%20skaiciaus%20santyki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usra2\Desktop\2017-2018%20Pedagogai,%20poreikis\Galutine%20mokiniu%20ir%20mokytoju%20skaiciaus%20santyki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usra2\Desktop\2017-2018%20Pedagogai,%20poreikis\Laimos%20rodikliai%20su%202017-18%20m.%20m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usra2\Desktop\2017-2018%20Pedagogai,%20poreikis\Laimos%20rodikliai%20su%202017-18%20m.%20m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usra2\Desktop\2017-2018%20Pedagogai,%20poreikis\Laimos%20rodikliai%20su%202017-18%20m.%20m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usra2\Desktop\2017-2018%20Pedagogai,%20poreikis\Galutine%20Mokytoj&#371;%20pasiskirstymas%20pagal%20am&#382;i&#371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usra2\Desktop\2017-2018%20Pedagogai,%20poreikis\Paskutine%20Auk&#353;tos%20kvalifikacijos%20mokytojai%202017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 sz="1100"/>
              <a:t>Mokinių skaičiaus kaita specialiosiose mokyklose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>
        <c:manualLayout>
          <c:layoutTarget val="inner"/>
          <c:xMode val="edge"/>
          <c:yMode val="edge"/>
          <c:x val="0.43587467191601054"/>
          <c:y val="0.17171296296296298"/>
          <c:w val="0.52012532808398948"/>
          <c:h val="0.614984324876057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'Mokiniu skaicius spec.'!$B$4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'Mokiniu skaicius spec.'!$A$5:$A$8</c:f>
              <c:strCache>
                <c:ptCount val="3"/>
                <c:pt idx="0">
                  <c:v>Kurčiųjų ir neprigirdinčiųjų pagr. m-kla</c:v>
                </c:pt>
                <c:pt idx="1">
                  <c:v>„Šviesos“ SUC</c:v>
                </c:pt>
                <c:pt idx="2">
                  <c:v>Spec. m-kla -daug. c.</c:v>
                </c:pt>
              </c:strCache>
            </c:strRef>
          </c:cat>
          <c:val>
            <c:numRef>
              <c:f>'Mokiniu skaicius spec.'!$B$5:$B$8</c:f>
              <c:numCache>
                <c:formatCode>General</c:formatCode>
                <c:ptCount val="4"/>
                <c:pt idx="0">
                  <c:v>48</c:v>
                </c:pt>
                <c:pt idx="1">
                  <c:v>141</c:v>
                </c:pt>
                <c:pt idx="2">
                  <c:v>26</c:v>
                </c:pt>
                <c:pt idx="3">
                  <c:v>215</c:v>
                </c:pt>
              </c:numCache>
            </c:numRef>
          </c:val>
        </c:ser>
        <c:ser>
          <c:idx val="1"/>
          <c:order val="1"/>
          <c:tx>
            <c:strRef>
              <c:f>'Mokiniu skaicius spec.'!$C$4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'Mokiniu skaicius spec.'!$A$5:$A$8</c:f>
              <c:strCache>
                <c:ptCount val="3"/>
                <c:pt idx="0">
                  <c:v>Kurčiųjų ir neprigirdinčiųjų pagr. m-kla</c:v>
                </c:pt>
                <c:pt idx="1">
                  <c:v>„Šviesos“ SUC</c:v>
                </c:pt>
                <c:pt idx="2">
                  <c:v>Spec. m-kla -daug. c.</c:v>
                </c:pt>
              </c:strCache>
            </c:strRef>
          </c:cat>
          <c:val>
            <c:numRef>
              <c:f>'Mokiniu skaicius spec.'!$C$5:$C$8</c:f>
              <c:numCache>
                <c:formatCode>General</c:formatCode>
                <c:ptCount val="4"/>
                <c:pt idx="0">
                  <c:v>46</c:v>
                </c:pt>
                <c:pt idx="1">
                  <c:v>128</c:v>
                </c:pt>
                <c:pt idx="2">
                  <c:v>25</c:v>
                </c:pt>
                <c:pt idx="3">
                  <c:v>199</c:v>
                </c:pt>
              </c:numCache>
            </c:numRef>
          </c:val>
        </c:ser>
        <c:ser>
          <c:idx val="2"/>
          <c:order val="2"/>
          <c:tx>
            <c:strRef>
              <c:f>'Mokiniu skaicius spec.'!$D$4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'Mokiniu skaicius spec.'!$A$5:$A$8</c:f>
              <c:strCache>
                <c:ptCount val="3"/>
                <c:pt idx="0">
                  <c:v>Kurčiųjų ir neprigirdinčiųjų pagr. m-kla</c:v>
                </c:pt>
                <c:pt idx="1">
                  <c:v>„Šviesos“ SUC</c:v>
                </c:pt>
                <c:pt idx="2">
                  <c:v>Spec. m-kla -daug. c.</c:v>
                </c:pt>
              </c:strCache>
            </c:strRef>
          </c:cat>
          <c:val>
            <c:numRef>
              <c:f>'Mokiniu skaicius spec.'!$D$5:$D$8</c:f>
              <c:numCache>
                <c:formatCode>0</c:formatCode>
                <c:ptCount val="4"/>
                <c:pt idx="0">
                  <c:v>46</c:v>
                </c:pt>
                <c:pt idx="1">
                  <c:v>127</c:v>
                </c:pt>
                <c:pt idx="2">
                  <c:v>22</c:v>
                </c:pt>
                <c:pt idx="3">
                  <c:v>195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868650112"/>
        <c:axId val="-868639776"/>
      </c:barChart>
      <c:catAx>
        <c:axId val="-868650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868639776"/>
        <c:crosses val="autoZero"/>
        <c:auto val="1"/>
        <c:lblAlgn val="ctr"/>
        <c:lblOffset val="100"/>
        <c:noMultiLvlLbl val="0"/>
      </c:catAx>
      <c:valAx>
        <c:axId val="-8686397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868650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 sz="1100"/>
              <a:t>Mokinių ir mokytojų skaičiaus santykis specialiosiose mokyklose 2017 m. </a:t>
            </a:r>
          </a:p>
        </c:rich>
      </c:tx>
      <c:layout>
        <c:manualLayout>
          <c:xMode val="edge"/>
          <c:yMode val="edge"/>
          <c:x val="0.11432810274411134"/>
          <c:y val="3.61057309014289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>
        <c:manualLayout>
          <c:layoutTarget val="inner"/>
          <c:xMode val="edge"/>
          <c:yMode val="edge"/>
          <c:x val="5.2868439706894754E-2"/>
          <c:y val="0.18560185185185185"/>
          <c:w val="0.92674703548891779"/>
          <c:h val="0.614984324876057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'2017'!$A$37</c:f>
              <c:strCache>
                <c:ptCount val="1"/>
                <c:pt idx="0">
                  <c:v>Kurčiųjų ir neprigirdinčiųjų pagr. m-kla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'2017'!$B$36:$D$36</c:f>
              <c:strCache>
                <c:ptCount val="3"/>
                <c:pt idx="0">
                  <c:v>Mokinių sk. </c:v>
                </c:pt>
                <c:pt idx="1">
                  <c:v>Mokytojų sk.</c:v>
                </c:pt>
                <c:pt idx="2">
                  <c:v>Santykis</c:v>
                </c:pt>
              </c:strCache>
            </c:strRef>
          </c:cat>
          <c:val>
            <c:numRef>
              <c:f>'2017'!$B$37:$D$37</c:f>
              <c:numCache>
                <c:formatCode>General</c:formatCode>
                <c:ptCount val="3"/>
                <c:pt idx="0">
                  <c:v>46</c:v>
                </c:pt>
                <c:pt idx="1">
                  <c:v>24</c:v>
                </c:pt>
                <c:pt idx="2" formatCode="0">
                  <c:v>1.9166666666666667</c:v>
                </c:pt>
              </c:numCache>
            </c:numRef>
          </c:val>
        </c:ser>
        <c:ser>
          <c:idx val="1"/>
          <c:order val="1"/>
          <c:tx>
            <c:strRef>
              <c:f>'2017'!$A$38</c:f>
              <c:strCache>
                <c:ptCount val="1"/>
                <c:pt idx="0">
                  <c:v>„Šviesos“ SUC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'2017'!$B$36:$D$36</c:f>
              <c:strCache>
                <c:ptCount val="3"/>
                <c:pt idx="0">
                  <c:v>Mokinių sk. </c:v>
                </c:pt>
                <c:pt idx="1">
                  <c:v>Mokytojų sk.</c:v>
                </c:pt>
                <c:pt idx="2">
                  <c:v>Santykis</c:v>
                </c:pt>
              </c:strCache>
            </c:strRef>
          </c:cat>
          <c:val>
            <c:numRef>
              <c:f>'2017'!$B$38:$D$38</c:f>
              <c:numCache>
                <c:formatCode>General</c:formatCode>
                <c:ptCount val="3"/>
                <c:pt idx="0">
                  <c:v>127</c:v>
                </c:pt>
                <c:pt idx="1">
                  <c:v>40</c:v>
                </c:pt>
                <c:pt idx="2" formatCode="0">
                  <c:v>3.1749999999999998</c:v>
                </c:pt>
              </c:numCache>
            </c:numRef>
          </c:val>
        </c:ser>
        <c:ser>
          <c:idx val="2"/>
          <c:order val="2"/>
          <c:tx>
            <c:strRef>
              <c:f>'2017'!$A$39</c:f>
              <c:strCache>
                <c:ptCount val="1"/>
                <c:pt idx="0">
                  <c:v>Spec. m-kla -daug. c.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'2017'!$B$36:$D$36</c:f>
              <c:strCache>
                <c:ptCount val="3"/>
                <c:pt idx="0">
                  <c:v>Mokinių sk. </c:v>
                </c:pt>
                <c:pt idx="1">
                  <c:v>Mokytojų sk.</c:v>
                </c:pt>
                <c:pt idx="2">
                  <c:v>Santykis</c:v>
                </c:pt>
              </c:strCache>
            </c:strRef>
          </c:cat>
          <c:val>
            <c:numRef>
              <c:f>'2017'!$B$39:$D$39</c:f>
              <c:numCache>
                <c:formatCode>General</c:formatCode>
                <c:ptCount val="3"/>
                <c:pt idx="0">
                  <c:v>22</c:v>
                </c:pt>
                <c:pt idx="1">
                  <c:v>11</c:v>
                </c:pt>
                <c:pt idx="2" formatCode="0">
                  <c:v>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868646848"/>
        <c:axId val="-868640864"/>
      </c:barChart>
      <c:catAx>
        <c:axId val="-868646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868640864"/>
        <c:crosses val="autoZero"/>
        <c:auto val="1"/>
        <c:lblAlgn val="ctr"/>
        <c:lblOffset val="100"/>
        <c:noMultiLvlLbl val="0"/>
      </c:catAx>
      <c:valAx>
        <c:axId val="-868640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868646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5555555555555552E-2"/>
          <c:y val="0.89409667541557303"/>
          <c:w val="0.6572802520501988"/>
          <c:h val="7.85345666937714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Klasių skaičiaus kaita specialiosiose mokyklose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Lapas1!$F$176</c:f>
              <c:strCache>
                <c:ptCount val="1"/>
                <c:pt idx="0">
                  <c:v>Kurčiųjų ir neprigirdinčiųjų pagrindinė mokykla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Lapas1!$G$175:$K$175</c:f>
              <c:strCache>
                <c:ptCount val="5"/>
                <c:pt idx="0">
                  <c:v>2013-2014 m. m.</c:v>
                </c:pt>
                <c:pt idx="1">
                  <c:v>2014-2015 m.m. </c:v>
                </c:pt>
                <c:pt idx="2">
                  <c:v>2015-2016 m. m.</c:v>
                </c:pt>
                <c:pt idx="3">
                  <c:v>2016-2017 m. m.</c:v>
                </c:pt>
                <c:pt idx="4">
                  <c:v>2017-2018 m. m.</c:v>
                </c:pt>
              </c:strCache>
            </c:strRef>
          </c:cat>
          <c:val>
            <c:numRef>
              <c:f>Lapas1!$G$176:$K$176</c:f>
              <c:numCache>
                <c:formatCode>General</c:formatCode>
                <c:ptCount val="5"/>
                <c:pt idx="0">
                  <c:v>8</c:v>
                </c:pt>
                <c:pt idx="1">
                  <c:v>8</c:v>
                </c:pt>
                <c:pt idx="2">
                  <c:v>8</c:v>
                </c:pt>
                <c:pt idx="3">
                  <c:v>8</c:v>
                </c:pt>
                <c:pt idx="4">
                  <c:v>7</c:v>
                </c:pt>
              </c:numCache>
            </c:numRef>
          </c:val>
        </c:ser>
        <c:ser>
          <c:idx val="1"/>
          <c:order val="1"/>
          <c:tx>
            <c:strRef>
              <c:f>Lapas1!$F$177</c:f>
              <c:strCache>
                <c:ptCount val="1"/>
                <c:pt idx="0">
                  <c:v>„Šviesos" specialiojo ugdymo centras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Lapas1!$G$175:$K$175</c:f>
              <c:strCache>
                <c:ptCount val="5"/>
                <c:pt idx="0">
                  <c:v>2013-2014 m. m.</c:v>
                </c:pt>
                <c:pt idx="1">
                  <c:v>2014-2015 m.m. </c:v>
                </c:pt>
                <c:pt idx="2">
                  <c:v>2015-2016 m. m.</c:v>
                </c:pt>
                <c:pt idx="3">
                  <c:v>2016-2017 m. m.</c:v>
                </c:pt>
                <c:pt idx="4">
                  <c:v>2017-2018 m. m.</c:v>
                </c:pt>
              </c:strCache>
            </c:strRef>
          </c:cat>
          <c:val>
            <c:numRef>
              <c:f>Lapas1!$G$177:$K$177</c:f>
              <c:numCache>
                <c:formatCode>General</c:formatCode>
                <c:ptCount val="5"/>
                <c:pt idx="0">
                  <c:v>18</c:v>
                </c:pt>
                <c:pt idx="1">
                  <c:v>18</c:v>
                </c:pt>
                <c:pt idx="2">
                  <c:v>19</c:v>
                </c:pt>
                <c:pt idx="3">
                  <c:v>19</c:v>
                </c:pt>
                <c:pt idx="4">
                  <c:v>17</c:v>
                </c:pt>
              </c:numCache>
            </c:numRef>
          </c:val>
        </c:ser>
        <c:ser>
          <c:idx val="2"/>
          <c:order val="2"/>
          <c:tx>
            <c:strRef>
              <c:f>Lapas1!$F$178</c:f>
              <c:strCache>
                <c:ptCount val="1"/>
                <c:pt idx="0">
                  <c:v>Specialioji mokykla-daugiafuncis centras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Lapas1!$G$175:$K$175</c:f>
              <c:strCache>
                <c:ptCount val="5"/>
                <c:pt idx="0">
                  <c:v>2013-2014 m. m.</c:v>
                </c:pt>
                <c:pt idx="1">
                  <c:v>2014-2015 m.m. </c:v>
                </c:pt>
                <c:pt idx="2">
                  <c:v>2015-2016 m. m.</c:v>
                </c:pt>
                <c:pt idx="3">
                  <c:v>2016-2017 m. m.</c:v>
                </c:pt>
                <c:pt idx="4">
                  <c:v>2017-2018 m. m.</c:v>
                </c:pt>
              </c:strCache>
            </c:strRef>
          </c:cat>
          <c:val>
            <c:numRef>
              <c:f>Lapas1!$G$178:$K$178</c:f>
              <c:numCache>
                <c:formatCode>General</c:formatCode>
                <c:ptCount val="5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868649024"/>
        <c:axId val="-868644672"/>
      </c:barChart>
      <c:catAx>
        <c:axId val="-868649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868644672"/>
        <c:crosses val="autoZero"/>
        <c:auto val="1"/>
        <c:lblAlgn val="ctr"/>
        <c:lblOffset val="100"/>
        <c:noMultiLvlLbl val="0"/>
      </c:catAx>
      <c:valAx>
        <c:axId val="-868644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868649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 sz="1100"/>
              <a:t>Mokinių, ugdomų specialiosiose</a:t>
            </a:r>
            <a:r>
              <a:rPr lang="lt-LT" sz="1100" baseline="0"/>
              <a:t> mokyklose pagal pagrindinio ugdymo I dalies programas, skaičiaus vidurkis klasės komplekte</a:t>
            </a:r>
            <a:endParaRPr lang="lt-LT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Lapas1!$F$268</c:f>
              <c:strCache>
                <c:ptCount val="1"/>
                <c:pt idx="0">
                  <c:v>Kurčiųjų ir neprigirdinčiųjų pagrindinė mokykla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Lapas1!$G$267:$K$267</c:f>
              <c:strCache>
                <c:ptCount val="5"/>
                <c:pt idx="0">
                  <c:v>2013-2014 m. m.</c:v>
                </c:pt>
                <c:pt idx="1">
                  <c:v>2014-2015 m. m.</c:v>
                </c:pt>
                <c:pt idx="2">
                  <c:v>2015-2016 m. m.</c:v>
                </c:pt>
                <c:pt idx="3">
                  <c:v>2016-2017 m. m.</c:v>
                </c:pt>
                <c:pt idx="4">
                  <c:v>2017-2018 m. m.</c:v>
                </c:pt>
              </c:strCache>
            </c:strRef>
          </c:cat>
          <c:val>
            <c:numRef>
              <c:f>Lapas1!$G$268:$K$268</c:f>
              <c:numCache>
                <c:formatCode>General</c:formatCode>
                <c:ptCount val="5"/>
                <c:pt idx="0">
                  <c:v>6.7</c:v>
                </c:pt>
                <c:pt idx="1">
                  <c:v>6.7</c:v>
                </c:pt>
                <c:pt idx="2">
                  <c:v>5.7</c:v>
                </c:pt>
                <c:pt idx="3">
                  <c:v>5.6</c:v>
                </c:pt>
                <c:pt idx="4">
                  <c:v>6</c:v>
                </c:pt>
              </c:numCache>
            </c:numRef>
          </c:val>
        </c:ser>
        <c:ser>
          <c:idx val="1"/>
          <c:order val="1"/>
          <c:tx>
            <c:strRef>
              <c:f>Lapas1!$F$269</c:f>
              <c:strCache>
                <c:ptCount val="1"/>
                <c:pt idx="0">
                  <c:v>„Šviesos" specialiojo ugdymo centras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Lapas1!$G$267:$K$267</c:f>
              <c:strCache>
                <c:ptCount val="5"/>
                <c:pt idx="0">
                  <c:v>2013-2014 m. m.</c:v>
                </c:pt>
                <c:pt idx="1">
                  <c:v>2014-2015 m. m.</c:v>
                </c:pt>
                <c:pt idx="2">
                  <c:v>2015-2016 m. m.</c:v>
                </c:pt>
                <c:pt idx="3">
                  <c:v>2016-2017 m. m.</c:v>
                </c:pt>
                <c:pt idx="4">
                  <c:v>2017-2018 m. m.</c:v>
                </c:pt>
              </c:strCache>
            </c:strRef>
          </c:cat>
          <c:val>
            <c:numRef>
              <c:f>Lapas1!$G$269:$K$269</c:f>
              <c:numCache>
                <c:formatCode>General</c:formatCode>
                <c:ptCount val="5"/>
                <c:pt idx="0">
                  <c:v>6.7</c:v>
                </c:pt>
                <c:pt idx="1">
                  <c:v>6.9</c:v>
                </c:pt>
                <c:pt idx="2">
                  <c:v>7.7</c:v>
                </c:pt>
                <c:pt idx="3">
                  <c:v>6.7</c:v>
                </c:pt>
                <c:pt idx="4">
                  <c:v>7.5</c:v>
                </c:pt>
              </c:numCache>
            </c:numRef>
          </c:val>
        </c:ser>
        <c:ser>
          <c:idx val="2"/>
          <c:order val="2"/>
          <c:tx>
            <c:strRef>
              <c:f>Lapas1!$F$270</c:f>
              <c:strCache>
                <c:ptCount val="1"/>
                <c:pt idx="0">
                  <c:v>Specialioji mokykla-daugiafuncis centras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Lapas1!$G$267:$K$267</c:f>
              <c:strCache>
                <c:ptCount val="5"/>
                <c:pt idx="0">
                  <c:v>2013-2014 m. m.</c:v>
                </c:pt>
                <c:pt idx="1">
                  <c:v>2014-2015 m. m.</c:v>
                </c:pt>
                <c:pt idx="2">
                  <c:v>2015-2016 m. m.</c:v>
                </c:pt>
                <c:pt idx="3">
                  <c:v>2016-2017 m. m.</c:v>
                </c:pt>
                <c:pt idx="4">
                  <c:v>2017-2018 m. m.</c:v>
                </c:pt>
              </c:strCache>
            </c:strRef>
          </c:cat>
          <c:val>
            <c:numRef>
              <c:f>Lapas1!$G$270:$K$270</c:f>
              <c:numCache>
                <c:formatCode>General</c:formatCode>
                <c:ptCount val="5"/>
                <c:pt idx="0">
                  <c:v>5.3</c:v>
                </c:pt>
                <c:pt idx="1">
                  <c:v>4.3</c:v>
                </c:pt>
                <c:pt idx="2">
                  <c:v>5</c:v>
                </c:pt>
                <c:pt idx="3">
                  <c:v>5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868638688"/>
        <c:axId val="-868645760"/>
      </c:barChart>
      <c:catAx>
        <c:axId val="-868638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868645760"/>
        <c:crosses val="autoZero"/>
        <c:auto val="1"/>
        <c:lblAlgn val="ctr"/>
        <c:lblOffset val="100"/>
        <c:noMultiLvlLbl val="0"/>
      </c:catAx>
      <c:valAx>
        <c:axId val="-868645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868638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 sz="1100"/>
              <a:t>Mokinių, ugdomų specialiosiose mokyklose pagal pagrindnio ugdymo II dalies programas, skaičiaus vidurkis</a:t>
            </a:r>
            <a:r>
              <a:rPr lang="lt-LT" sz="1100" baseline="0"/>
              <a:t> klasės komplekte</a:t>
            </a:r>
            <a:endParaRPr lang="lt-LT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Lapas1!$F$327</c:f>
              <c:strCache>
                <c:ptCount val="1"/>
                <c:pt idx="0">
                  <c:v>Kurčiųjų ir neprigirdinčiųjų pagrindinė mokykla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Lapas1!$G$326:$K$326</c:f>
              <c:strCache>
                <c:ptCount val="5"/>
                <c:pt idx="0">
                  <c:v>2013-2014 m. m.</c:v>
                </c:pt>
                <c:pt idx="1">
                  <c:v>2014-2015 m. m.</c:v>
                </c:pt>
                <c:pt idx="2">
                  <c:v>2015-2016 m. m.</c:v>
                </c:pt>
                <c:pt idx="3">
                  <c:v>2016-2017 m. m.</c:v>
                </c:pt>
                <c:pt idx="4">
                  <c:v>2017-2018 m. m.</c:v>
                </c:pt>
              </c:strCache>
            </c:strRef>
          </c:cat>
          <c:val>
            <c:numRef>
              <c:f>Lapas1!$G$327:$K$327</c:f>
              <c:numCache>
                <c:formatCode>General</c:formatCode>
                <c:ptCount val="5"/>
                <c:pt idx="0">
                  <c:v>6</c:v>
                </c:pt>
                <c:pt idx="1">
                  <c:v>6.5</c:v>
                </c:pt>
                <c:pt idx="2">
                  <c:v>5</c:v>
                </c:pt>
                <c:pt idx="3">
                  <c:v>5.5</c:v>
                </c:pt>
                <c:pt idx="4">
                  <c:v>6</c:v>
                </c:pt>
              </c:numCache>
            </c:numRef>
          </c:val>
        </c:ser>
        <c:ser>
          <c:idx val="1"/>
          <c:order val="1"/>
          <c:tx>
            <c:strRef>
              <c:f>Lapas1!$F$328</c:f>
              <c:strCache>
                <c:ptCount val="1"/>
                <c:pt idx="0">
                  <c:v>„Šviesos" specialiojo ugdymo centras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Lapas1!$G$326:$K$326</c:f>
              <c:strCache>
                <c:ptCount val="5"/>
                <c:pt idx="0">
                  <c:v>2013-2014 m. m.</c:v>
                </c:pt>
                <c:pt idx="1">
                  <c:v>2014-2015 m. m.</c:v>
                </c:pt>
                <c:pt idx="2">
                  <c:v>2015-2016 m. m.</c:v>
                </c:pt>
                <c:pt idx="3">
                  <c:v>2016-2017 m. m.</c:v>
                </c:pt>
                <c:pt idx="4">
                  <c:v>2017-2018 m. m.</c:v>
                </c:pt>
              </c:strCache>
            </c:strRef>
          </c:cat>
          <c:val>
            <c:numRef>
              <c:f>Lapas1!$G$328:$K$328</c:f>
              <c:numCache>
                <c:formatCode>General</c:formatCode>
                <c:ptCount val="5"/>
                <c:pt idx="0">
                  <c:v>9.3000000000000007</c:v>
                </c:pt>
                <c:pt idx="1">
                  <c:v>9.4</c:v>
                </c:pt>
                <c:pt idx="2">
                  <c:v>8.3000000000000007</c:v>
                </c:pt>
                <c:pt idx="3">
                  <c:v>7.7</c:v>
                </c:pt>
                <c:pt idx="4">
                  <c:v>8.3000000000000007</c:v>
                </c:pt>
              </c:numCache>
            </c:numRef>
          </c:val>
        </c:ser>
        <c:ser>
          <c:idx val="2"/>
          <c:order val="2"/>
          <c:tx>
            <c:strRef>
              <c:f>Lapas1!$F$329</c:f>
              <c:strCache>
                <c:ptCount val="1"/>
                <c:pt idx="0">
                  <c:v>Specialioji mokykla-daugiafuncis centras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Lapas1!$G$326:$K$326</c:f>
              <c:strCache>
                <c:ptCount val="5"/>
                <c:pt idx="0">
                  <c:v>2013-2014 m. m.</c:v>
                </c:pt>
                <c:pt idx="1">
                  <c:v>2014-2015 m. m.</c:v>
                </c:pt>
                <c:pt idx="2">
                  <c:v>2015-2016 m. m.</c:v>
                </c:pt>
                <c:pt idx="3">
                  <c:v>2016-2017 m. m.</c:v>
                </c:pt>
                <c:pt idx="4">
                  <c:v>2017-2018 m. m.</c:v>
                </c:pt>
              </c:strCache>
            </c:strRef>
          </c:cat>
          <c:val>
            <c:numRef>
              <c:f>Lapas1!$G$329:$K$329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868640320"/>
        <c:axId val="-868636512"/>
      </c:barChart>
      <c:catAx>
        <c:axId val="-868640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868636512"/>
        <c:crosses val="autoZero"/>
        <c:auto val="1"/>
        <c:lblAlgn val="ctr"/>
        <c:lblOffset val="100"/>
        <c:noMultiLvlLbl val="0"/>
      </c:catAx>
      <c:valAx>
        <c:axId val="-868636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868640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Mokytojų, dirbančių spec. ugdymo įstaigose, amžius 2017 m. rugsėjo 1 d.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'2017'!$A$47</c:f>
              <c:strCache>
                <c:ptCount val="1"/>
                <c:pt idx="0">
                  <c:v>Kurčiųjų ir neprigirdinčiųjų pagr. m-kla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'2017'!$B$46:$G$46</c:f>
              <c:strCache>
                <c:ptCount val="6"/>
                <c:pt idx="0">
                  <c:v>Mokytojų sk.</c:v>
                </c:pt>
                <c:pt idx="1">
                  <c:v>55-59</c:v>
                </c:pt>
                <c:pt idx="2">
                  <c:v>60 ir vyr.</c:v>
                </c:pt>
                <c:pt idx="3">
                  <c:v>25-29</c:v>
                </c:pt>
                <c:pt idx="4">
                  <c:v>Pensinio amž.</c:v>
                </c:pt>
                <c:pt idx="5">
                  <c:v>Vid, mokyt. Amž.</c:v>
                </c:pt>
              </c:strCache>
            </c:strRef>
          </c:cat>
          <c:val>
            <c:numRef>
              <c:f>'2017'!$B$47:$G$47</c:f>
              <c:numCache>
                <c:formatCode>General</c:formatCode>
                <c:ptCount val="6"/>
                <c:pt idx="0">
                  <c:v>20</c:v>
                </c:pt>
                <c:pt idx="1">
                  <c:v>4</c:v>
                </c:pt>
                <c:pt idx="2">
                  <c:v>3</c:v>
                </c:pt>
                <c:pt idx="3">
                  <c:v>0</c:v>
                </c:pt>
                <c:pt idx="4">
                  <c:v>3</c:v>
                </c:pt>
                <c:pt idx="5" formatCode="0">
                  <c:v>51</c:v>
                </c:pt>
              </c:numCache>
            </c:numRef>
          </c:val>
        </c:ser>
        <c:ser>
          <c:idx val="1"/>
          <c:order val="1"/>
          <c:tx>
            <c:strRef>
              <c:f>'2017'!$A$48</c:f>
              <c:strCache>
                <c:ptCount val="1"/>
                <c:pt idx="0">
                  <c:v>„Šviesos“ SUC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'2017'!$B$46:$G$46</c:f>
              <c:strCache>
                <c:ptCount val="6"/>
                <c:pt idx="0">
                  <c:v>Mokytojų sk.</c:v>
                </c:pt>
                <c:pt idx="1">
                  <c:v>55-59</c:v>
                </c:pt>
                <c:pt idx="2">
                  <c:v>60 ir vyr.</c:v>
                </c:pt>
                <c:pt idx="3">
                  <c:v>25-29</c:v>
                </c:pt>
                <c:pt idx="4">
                  <c:v>Pensinio amž.</c:v>
                </c:pt>
                <c:pt idx="5">
                  <c:v>Vid, mokyt. Amž.</c:v>
                </c:pt>
              </c:strCache>
            </c:strRef>
          </c:cat>
          <c:val>
            <c:numRef>
              <c:f>'2017'!$B$48:$G$48</c:f>
              <c:numCache>
                <c:formatCode>General</c:formatCode>
                <c:ptCount val="6"/>
                <c:pt idx="0">
                  <c:v>42</c:v>
                </c:pt>
                <c:pt idx="1">
                  <c:v>4</c:v>
                </c:pt>
                <c:pt idx="2">
                  <c:v>7</c:v>
                </c:pt>
                <c:pt idx="3">
                  <c:v>0</c:v>
                </c:pt>
                <c:pt idx="4">
                  <c:v>7</c:v>
                </c:pt>
                <c:pt idx="5" formatCode="0">
                  <c:v>50</c:v>
                </c:pt>
              </c:numCache>
            </c:numRef>
          </c:val>
        </c:ser>
        <c:ser>
          <c:idx val="2"/>
          <c:order val="2"/>
          <c:tx>
            <c:strRef>
              <c:f>'2017'!$A$49</c:f>
              <c:strCache>
                <c:ptCount val="1"/>
                <c:pt idx="0">
                  <c:v>Spec. m-kla -daug. c.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'2017'!$B$46:$G$46</c:f>
              <c:strCache>
                <c:ptCount val="6"/>
                <c:pt idx="0">
                  <c:v>Mokytojų sk.</c:v>
                </c:pt>
                <c:pt idx="1">
                  <c:v>55-59</c:v>
                </c:pt>
                <c:pt idx="2">
                  <c:v>60 ir vyr.</c:v>
                </c:pt>
                <c:pt idx="3">
                  <c:v>25-29</c:v>
                </c:pt>
                <c:pt idx="4">
                  <c:v>Pensinio amž.</c:v>
                </c:pt>
                <c:pt idx="5">
                  <c:v>Vid, mokyt. Amž.</c:v>
                </c:pt>
              </c:strCache>
            </c:strRef>
          </c:cat>
          <c:val>
            <c:numRef>
              <c:f>'2017'!$B$49:$G$49</c:f>
              <c:numCache>
                <c:formatCode>General</c:formatCode>
                <c:ptCount val="6"/>
                <c:pt idx="0">
                  <c:v>11</c:v>
                </c:pt>
                <c:pt idx="1">
                  <c:v>3</c:v>
                </c:pt>
                <c:pt idx="2">
                  <c:v>3</c:v>
                </c:pt>
                <c:pt idx="3">
                  <c:v>0</c:v>
                </c:pt>
                <c:pt idx="4">
                  <c:v>3</c:v>
                </c:pt>
                <c:pt idx="5" formatCode="0">
                  <c:v>58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868639232"/>
        <c:axId val="-868651200"/>
      </c:barChart>
      <c:catAx>
        <c:axId val="-868639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868651200"/>
        <c:crosses val="autoZero"/>
        <c:auto val="1"/>
        <c:lblAlgn val="ctr"/>
        <c:lblOffset val="100"/>
        <c:noMultiLvlLbl val="0"/>
      </c:catAx>
      <c:valAx>
        <c:axId val="-868651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868639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 sz="1100"/>
              <a:t>Aukštos kvalifikacijos, dirbančių pagrindinėje darbovietėje (ekspertų ir metodininkų) mokytojų dalis 2017 m. rugsėjo 1 d.  specialiojo ugdymo įstaigose (proc.)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'2017'!$B$40</c:f>
              <c:strCache>
                <c:ptCount val="1"/>
                <c:pt idx="0">
                  <c:v>Mokytojų sk.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'2017'!$A$41:$A$43</c:f>
              <c:strCache>
                <c:ptCount val="3"/>
                <c:pt idx="0">
                  <c:v>Kurčiųjų ir neprigirdinčiųjų pagr. m-kla</c:v>
                </c:pt>
                <c:pt idx="1">
                  <c:v>„Šviesos“ SUC</c:v>
                </c:pt>
                <c:pt idx="2">
                  <c:v>Spec. m-kla -daug. c.</c:v>
                </c:pt>
              </c:strCache>
            </c:strRef>
          </c:cat>
          <c:val>
            <c:numRef>
              <c:f>'2017'!$B$41:$B$43</c:f>
              <c:numCache>
                <c:formatCode>General</c:formatCode>
                <c:ptCount val="3"/>
                <c:pt idx="0">
                  <c:v>20</c:v>
                </c:pt>
                <c:pt idx="1">
                  <c:v>42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'2017'!$C$40</c:f>
              <c:strCache>
                <c:ptCount val="1"/>
                <c:pt idx="0">
                  <c:v>Ekspertai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'2017'!$A$41:$A$43</c:f>
              <c:strCache>
                <c:ptCount val="3"/>
                <c:pt idx="0">
                  <c:v>Kurčiųjų ir neprigirdinčiųjų pagr. m-kla</c:v>
                </c:pt>
                <c:pt idx="1">
                  <c:v>„Šviesos“ SUC</c:v>
                </c:pt>
                <c:pt idx="2">
                  <c:v>Spec. m-kla -daug. c.</c:v>
                </c:pt>
              </c:strCache>
            </c:strRef>
          </c:cat>
          <c:val>
            <c:numRef>
              <c:f>'2017'!$C$41:$C$43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'2017'!$D$40</c:f>
              <c:strCache>
                <c:ptCount val="1"/>
                <c:pt idx="0">
                  <c:v>Metodininkai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'2017'!$A$41:$A$43</c:f>
              <c:strCache>
                <c:ptCount val="3"/>
                <c:pt idx="0">
                  <c:v>Kurčiųjų ir neprigirdinčiųjų pagr. m-kla</c:v>
                </c:pt>
                <c:pt idx="1">
                  <c:v>„Šviesos“ SUC</c:v>
                </c:pt>
                <c:pt idx="2">
                  <c:v>Spec. m-kla -daug. c.</c:v>
                </c:pt>
              </c:strCache>
            </c:strRef>
          </c:cat>
          <c:val>
            <c:numRef>
              <c:f>'2017'!$D$41:$D$43</c:f>
              <c:numCache>
                <c:formatCode>General</c:formatCode>
                <c:ptCount val="3"/>
                <c:pt idx="0">
                  <c:v>1</c:v>
                </c:pt>
                <c:pt idx="1">
                  <c:v>16</c:v>
                </c:pt>
                <c:pt idx="2">
                  <c:v>1</c:v>
                </c:pt>
              </c:numCache>
            </c:numRef>
          </c:val>
        </c:ser>
        <c:ser>
          <c:idx val="3"/>
          <c:order val="3"/>
          <c:tx>
            <c:strRef>
              <c:f>'2017'!$E$40</c:f>
              <c:strCache>
                <c:ptCount val="1"/>
                <c:pt idx="0">
                  <c:v>Dalis (%)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'2017'!$A$41:$A$43</c:f>
              <c:strCache>
                <c:ptCount val="3"/>
                <c:pt idx="0">
                  <c:v>Kurčiųjų ir neprigirdinčiųjų pagr. m-kla</c:v>
                </c:pt>
                <c:pt idx="1">
                  <c:v>„Šviesos“ SUC</c:v>
                </c:pt>
                <c:pt idx="2">
                  <c:v>Spec. m-kla -daug. c.</c:v>
                </c:pt>
              </c:strCache>
            </c:strRef>
          </c:cat>
          <c:val>
            <c:numRef>
              <c:f>'2017'!$E$41:$E$43</c:f>
              <c:numCache>
                <c:formatCode>0</c:formatCode>
                <c:ptCount val="3"/>
                <c:pt idx="0">
                  <c:v>5</c:v>
                </c:pt>
                <c:pt idx="1">
                  <c:v>40.476190476190474</c:v>
                </c:pt>
                <c:pt idx="2">
                  <c:v>9.0909090909090917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870022928"/>
        <c:axId val="-870021840"/>
      </c:barChart>
      <c:catAx>
        <c:axId val="-870022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870021840"/>
        <c:crosses val="autoZero"/>
        <c:auto val="1"/>
        <c:lblAlgn val="ctr"/>
        <c:lblOffset val="100"/>
        <c:noMultiLvlLbl val="0"/>
      </c:catAx>
      <c:valAx>
        <c:axId val="-870021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870022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3143</Words>
  <Characters>1792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Gabrėnienė</dc:creator>
  <cp:keywords/>
  <dc:description/>
  <cp:lastModifiedBy>Daiva Breivienė</cp:lastModifiedBy>
  <cp:revision>2</cp:revision>
  <dcterms:created xsi:type="dcterms:W3CDTF">2018-03-02T12:52:00Z</dcterms:created>
  <dcterms:modified xsi:type="dcterms:W3CDTF">2018-03-02T12:52:00Z</dcterms:modified>
</cp:coreProperties>
</file>