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0C4A8BF1" w14:textId="71D3F427" w:rsidR="002F0566" w:rsidRPr="0011226B" w:rsidRDefault="002F0566" w:rsidP="002F0566">
      <w:pPr>
        <w:pStyle w:val="Pagrindinistekstas3"/>
        <w:rPr>
          <w:bCs/>
          <w:szCs w:val="24"/>
        </w:rPr>
      </w:pPr>
      <w:r w:rsidRPr="0011226B">
        <w:rPr>
          <w:bCs/>
        </w:rPr>
        <w:t xml:space="preserve">DĖL PRITARIMO </w:t>
      </w:r>
      <w:r w:rsidRPr="0011226B">
        <w:rPr>
          <w:bCs/>
          <w:szCs w:val="24"/>
        </w:rPr>
        <w:t>TEIKTI PROJEKTĄ „</w:t>
      </w:r>
      <w:r w:rsidR="00C26702" w:rsidRPr="004B2044">
        <w:t>PRIEMONIŲ, GERINANČIŲ AMBULATORINIŲ SVEIKATOS PRIEŽIŪROS PASLAUGŲ PRIEINAMUMĄ TUBERKULIOZE SERGANTIEMS ASMENIMS, ĮGYVENDINIMAS PANEVĖŽIO MIESTE</w:t>
      </w:r>
      <w:r w:rsidR="00046125" w:rsidRPr="0011226B">
        <w:rPr>
          <w:bCs/>
          <w:szCs w:val="24"/>
        </w:rPr>
        <w:t>“</w:t>
      </w:r>
      <w:r w:rsidRPr="0011226B">
        <w:rPr>
          <w:bCs/>
          <w:szCs w:val="24"/>
        </w:rPr>
        <w:t xml:space="preserve"> EUROPOS SĄJUNGOS FONDŲ INVEST</w:t>
      </w:r>
      <w:r>
        <w:rPr>
          <w:bCs/>
          <w:szCs w:val="24"/>
        </w:rPr>
        <w:t>I</w:t>
      </w:r>
      <w:r w:rsidRPr="0011226B">
        <w:rPr>
          <w:bCs/>
          <w:szCs w:val="24"/>
        </w:rPr>
        <w:t xml:space="preserve">CIJOMS GAUTI IR </w:t>
      </w:r>
      <w:r w:rsidRPr="0011226B">
        <w:rPr>
          <w:szCs w:val="24"/>
        </w:rPr>
        <w:t xml:space="preserve">PROJEKTO DALINIO FINANSAVIMO </w:t>
      </w:r>
    </w:p>
    <w:p w14:paraId="6DFF6734" w14:textId="77777777" w:rsidR="00B0596B" w:rsidRPr="00CC063E" w:rsidRDefault="00B0596B" w:rsidP="00156131">
      <w:pPr>
        <w:pStyle w:val="Pagrindinistekstas3"/>
        <w:rPr>
          <w:bCs/>
          <w:szCs w:val="24"/>
        </w:rPr>
      </w:pPr>
    </w:p>
    <w:p w14:paraId="7A2729CD" w14:textId="428E8BAE" w:rsidR="00CE4261" w:rsidRPr="007D7B8A" w:rsidRDefault="00F8746D" w:rsidP="00156131">
      <w:pPr>
        <w:tabs>
          <w:tab w:val="left" w:pos="0"/>
        </w:tabs>
        <w:jc w:val="center"/>
      </w:pPr>
      <w:r>
        <w:t>201</w:t>
      </w:r>
      <w:r w:rsidR="00012D81">
        <w:t>8</w:t>
      </w:r>
      <w:r w:rsidR="00CE4261">
        <w:t xml:space="preserve"> m. </w:t>
      </w:r>
      <w:r w:rsidR="00012D81">
        <w:t xml:space="preserve">sausio  </w:t>
      </w:r>
      <w:r w:rsidR="00DE52CA">
        <w:t>31</w:t>
      </w:r>
      <w:r w:rsidR="002A1F66">
        <w:t xml:space="preserve"> </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5386F73F" w:rsidR="001A59CF" w:rsidRDefault="00CE4261" w:rsidP="00A8644B">
      <w:pPr>
        <w:numPr>
          <w:ilvl w:val="0"/>
          <w:numId w:val="3"/>
        </w:numPr>
        <w:jc w:val="both"/>
      </w:pPr>
      <w:r w:rsidRPr="00C25BD0">
        <w:rPr>
          <w:b/>
        </w:rPr>
        <w:t>Problemos esmė</w:t>
      </w:r>
      <w:r w:rsidRPr="00C25BD0">
        <w:t>:</w:t>
      </w:r>
      <w:r w:rsidR="008407DC" w:rsidRPr="00C25BD0">
        <w:t xml:space="preserve"> </w:t>
      </w:r>
    </w:p>
    <w:p w14:paraId="3524F712" w14:textId="297560DF" w:rsidR="00C54354" w:rsidRDefault="00C54354" w:rsidP="00C54354">
      <w:pPr>
        <w:ind w:firstLine="720"/>
        <w:jc w:val="both"/>
      </w:pPr>
      <w:r>
        <w:rPr>
          <w:color w:val="000000"/>
        </w:rPr>
        <w:t xml:space="preserve">2017 m. spalio 27 d. </w:t>
      </w:r>
      <w:r w:rsidRPr="00B01026">
        <w:t>Lietuvos Respublikos sveikatos apsaugos ministro įsakymu Nr. V-</w:t>
      </w:r>
      <w:r>
        <w:t xml:space="preserve">1237 </w:t>
      </w:r>
      <w:r>
        <w:rPr>
          <w:color w:val="000000"/>
        </w:rPr>
        <w:t xml:space="preserve">patvirtintas 2014–2020 metų Europos Sąjungos fondų investicijų veiksmų programos </w:t>
      </w:r>
      <w:r>
        <w:rPr>
          <w:color w:val="000000"/>
          <w:lang w:val="pt-BR"/>
        </w:rPr>
        <w:t xml:space="preserve">8 prioriteto „Socialinės įtraukties didinimas ir kova su skurdu“ </w:t>
      </w:r>
      <w:r>
        <w:rPr>
          <w:color w:val="000000"/>
        </w:rPr>
        <w:t>priemonės Nr. 08.4.2-ESFA-R-615 „</w:t>
      </w:r>
      <w:r>
        <w:rPr>
          <w:bCs/>
          <w:color w:val="000000"/>
        </w:rPr>
        <w:t>Priemonių, gerinančių ambulatorinių sveikatos priežiūros paslaugų prieinamumą tuberkulioze sergantiems asmenims, įgyvendinimas</w:t>
      </w:r>
      <w:r>
        <w:rPr>
          <w:color w:val="000000"/>
        </w:rPr>
        <w:t>“ projektų finansavimo sąlygų aprašas.</w:t>
      </w:r>
    </w:p>
    <w:p w14:paraId="33150379" w14:textId="44912A2F" w:rsidR="00C54354" w:rsidRDefault="00C54354" w:rsidP="00C54354">
      <w:pPr>
        <w:tabs>
          <w:tab w:val="left" w:pos="0"/>
          <w:tab w:val="left" w:pos="284"/>
          <w:tab w:val="left" w:pos="567"/>
          <w:tab w:val="left" w:pos="1418"/>
        </w:tabs>
        <w:jc w:val="both"/>
        <w:rPr>
          <w:color w:val="000000"/>
        </w:rPr>
      </w:pPr>
      <w:r>
        <w:rPr>
          <w:color w:val="000000"/>
        </w:rPr>
        <w:tab/>
      </w:r>
      <w:r>
        <w:rPr>
          <w:color w:val="000000"/>
        </w:rPr>
        <w:tab/>
        <w:t>Priemonės tikslas – mažinti Lietuvos gyventojų sergamumą ir mirtingumą nuo tuberkuliozės, išvengti atsparių vaistams tuberkuliozės mikobakterijų atsiradimo ir plitimo.</w:t>
      </w:r>
    </w:p>
    <w:p w14:paraId="6ADAC87A" w14:textId="4F5AAB89" w:rsidR="00C54354" w:rsidRDefault="00C54354" w:rsidP="00C54354">
      <w:pPr>
        <w:tabs>
          <w:tab w:val="left" w:pos="-765"/>
          <w:tab w:val="left" w:pos="0"/>
          <w:tab w:val="left" w:pos="284"/>
          <w:tab w:val="left" w:pos="567"/>
          <w:tab w:val="left" w:pos="1418"/>
        </w:tabs>
        <w:jc w:val="both"/>
        <w:rPr>
          <w:color w:val="000000"/>
        </w:rPr>
      </w:pPr>
      <w:r>
        <w:rPr>
          <w:color w:val="000000"/>
        </w:rPr>
        <w:tab/>
      </w:r>
      <w:r>
        <w:rPr>
          <w:color w:val="000000"/>
        </w:rPr>
        <w:tab/>
        <w:t xml:space="preserve">Pagal Aprašą remiama veikla – </w:t>
      </w:r>
      <w:r>
        <w:rPr>
          <w:bCs/>
          <w:color w:val="000000"/>
        </w:rPr>
        <w:t>priemonių, gerinančių ambulatorinių asmens sveikatos priežiūros paslaugų teikimo prieinamumą tuberkulioze sergantiems pacientams, įgyvendinimas.</w:t>
      </w:r>
    </w:p>
    <w:p w14:paraId="3B38D20C" w14:textId="55EFC8D1" w:rsidR="00C54354" w:rsidRDefault="00C54354" w:rsidP="00C54354">
      <w:pPr>
        <w:tabs>
          <w:tab w:val="left" w:pos="0"/>
          <w:tab w:val="left" w:pos="567"/>
          <w:tab w:val="left" w:pos="851"/>
          <w:tab w:val="left" w:pos="1418"/>
        </w:tabs>
        <w:jc w:val="both"/>
        <w:rPr>
          <w:color w:val="000000"/>
        </w:rPr>
      </w:pPr>
      <w:r>
        <w:rPr>
          <w:color w:val="000000"/>
        </w:rPr>
        <w:tab/>
        <w:t xml:space="preserve">Tinkama tikslinė asmenų grupė – asmenys, sergantys tuberkulioze, kuriems Lietuvos Respublikos sveikatos apsaugos ministro 2016 m. vasario 12 d. įsakymo Nr. V-237 „Dėl Tiesiogiai stebimo trumpo gydymo kurso paslaugų teikimo tvarkos aprašo patvirtinimo“ nustatyta tvarka gydytojas pulmonologas paskyrė ambulatorinį tiesiogiai stebimą trumpo gydymo kursą (toliau – DOTS). </w:t>
      </w:r>
    </w:p>
    <w:p w14:paraId="3E07B6CF" w14:textId="6543AEE7" w:rsidR="00C54354" w:rsidRDefault="00C54354" w:rsidP="00C54354">
      <w:pPr>
        <w:tabs>
          <w:tab w:val="left" w:pos="62"/>
        </w:tabs>
        <w:ind w:right="170"/>
        <w:jc w:val="both"/>
        <w:rPr>
          <w:color w:val="000000"/>
        </w:rPr>
      </w:pPr>
      <w:r>
        <w:rPr>
          <w:color w:val="000000"/>
        </w:rPr>
        <w:tab/>
        <w:t xml:space="preserve">         Tinkamos finansuoti yra šios išlaidos:</w:t>
      </w:r>
    </w:p>
    <w:p w14:paraId="48FD04E8" w14:textId="77777777" w:rsidR="00C54354" w:rsidRDefault="00C54354" w:rsidP="00C54354">
      <w:pPr>
        <w:tabs>
          <w:tab w:val="left" w:pos="62"/>
          <w:tab w:val="left" w:pos="340"/>
        </w:tabs>
        <w:ind w:right="170"/>
        <w:jc w:val="both"/>
        <w:rPr>
          <w:color w:val="000000"/>
        </w:rPr>
      </w:pPr>
      <w:r>
        <w:rPr>
          <w:color w:val="000000"/>
        </w:rPr>
        <w:t>1. maisto talonų maisto produktams išlaidos.</w:t>
      </w:r>
    </w:p>
    <w:p w14:paraId="2DB20CBA" w14:textId="4D501F48" w:rsidR="00C54354" w:rsidRDefault="00C54354" w:rsidP="00C54354">
      <w:pPr>
        <w:overflowPunct w:val="0"/>
        <w:spacing w:line="256" w:lineRule="auto"/>
        <w:jc w:val="both"/>
        <w:textAlignment w:val="baseline"/>
        <w:rPr>
          <w:iCs/>
          <w:color w:val="000000"/>
        </w:rPr>
      </w:pPr>
      <w:r>
        <w:rPr>
          <w:color w:val="000000"/>
        </w:rPr>
        <w:t xml:space="preserve">2. </w:t>
      </w:r>
      <w:r w:rsidR="004D6061">
        <w:rPr>
          <w:color w:val="000000"/>
        </w:rPr>
        <w:t xml:space="preserve">Projekto veikloms vykdyti ir tuberkulioze sergančiųjų skatinimui suvartoti jiems skirtus vaistus ir sėkmingai užbaigti ambulatorinį gydymą bus kompensuojamos faktiškai patirtos išlaidos centralizuotai nuperkant tuberkulioze sergantiems mėnesinius bilietus kelionei į ir iš ambulatorines sveikatos priežiūros paslaugas teikiančias asmens sveikatos priežiūros įstaigas. </w:t>
      </w:r>
      <w:r w:rsidR="00AF3C23">
        <w:rPr>
          <w:color w:val="000000"/>
        </w:rPr>
        <w:t xml:space="preserve">Taip pat </w:t>
      </w:r>
      <w:r>
        <w:rPr>
          <w:color w:val="000000"/>
        </w:rPr>
        <w:t>Projekto veikloms vykdyti reikalingos vykdančiojo personalo kelionių, komandiruočių (įskaitant personalo nuvykimą pas tuberkulioze sergančius asmenis, kuriems paskirtas DOTS gydymas) transporto (toliau – transporto) Lietuvoje išlaidos.</w:t>
      </w:r>
    </w:p>
    <w:p w14:paraId="28C5BDC7" w14:textId="3900645D" w:rsidR="00E63016" w:rsidRPr="00B01026" w:rsidRDefault="00C54354" w:rsidP="00C54354">
      <w:pPr>
        <w:jc w:val="both"/>
      </w:pPr>
      <w:r>
        <w:rPr>
          <w:color w:val="000000"/>
        </w:rPr>
        <w:t xml:space="preserve">           Panevėžio miesto savivaldybės administracija siūlo, kad </w:t>
      </w:r>
      <w:r w:rsidR="00123343">
        <w:t xml:space="preserve">Pareiškėjas būtų Panevėžio miesto savivaldybės administracija, o partneris – </w:t>
      </w:r>
      <w:r w:rsidR="004376BC">
        <w:t xml:space="preserve">VšĮ </w:t>
      </w:r>
      <w:r w:rsidR="00123343">
        <w:t>Panevėžio miesto poliklinika, kurios personalas skirstytų maisto talonus</w:t>
      </w:r>
      <w:r w:rsidR="004D6061">
        <w:t xml:space="preserve"> (bei mėnesinius bilietus </w:t>
      </w:r>
      <w:r w:rsidR="004D6061">
        <w:rPr>
          <w:color w:val="000000"/>
        </w:rPr>
        <w:t>kelionei į ir iš ambulatorines sveikatos priežiūros paslaugas teikiančias asmens sveikatos priežiūros įstaigas</w:t>
      </w:r>
      <w:r w:rsidR="004D6061">
        <w:rPr>
          <w:color w:val="000000"/>
        </w:rPr>
        <w:t>)</w:t>
      </w:r>
      <w:r w:rsidR="00123343">
        <w:t xml:space="preserve"> pacientams siekiant paskatinti tuberkulioze sergančių pacientų vaistų vartojimą.</w:t>
      </w:r>
      <w:r w:rsidR="00E63016">
        <w:t xml:space="preserve"> Tarp </w:t>
      </w:r>
      <w:r w:rsidR="000420EE">
        <w:t xml:space="preserve">VšĮ </w:t>
      </w:r>
      <w:r w:rsidR="00E63016" w:rsidRPr="00B01026">
        <w:t xml:space="preserve">Panevėžio miesto </w:t>
      </w:r>
      <w:r w:rsidR="00E63016">
        <w:t>poliklinikos ir Panevėžio miesto savivaldybės administracijos būtų pasirašyta J</w:t>
      </w:r>
      <w:r w:rsidR="00E63016" w:rsidRPr="006310C1">
        <w:t xml:space="preserve">ungtinės veiklos (partnerystės) </w:t>
      </w:r>
      <w:r w:rsidR="00E63016">
        <w:t xml:space="preserve">sutartis, kurioje būtų numatyta, kad </w:t>
      </w:r>
      <w:r w:rsidR="004376BC">
        <w:t>VšĮ</w:t>
      </w:r>
      <w:r w:rsidR="004376BC" w:rsidRPr="00B01026">
        <w:t xml:space="preserve"> </w:t>
      </w:r>
      <w:r w:rsidR="004376BC">
        <w:t xml:space="preserve"> </w:t>
      </w:r>
      <w:r w:rsidR="00E63016" w:rsidRPr="00B01026">
        <w:t xml:space="preserve">Panevėžio miesto </w:t>
      </w:r>
      <w:r w:rsidR="00E63016">
        <w:t>poliklinika įsipareigoja, kad įstaigos DOTS kabinete vykdan</w:t>
      </w:r>
      <w:r>
        <w:t>tysis personalas suteiks socialines paramos priemones (maisto talonus</w:t>
      </w:r>
      <w:r w:rsidR="00357FA3">
        <w:t>, mėnesinius bilietus</w:t>
      </w:r>
      <w:r>
        <w:t>) tuberkulioze sergantiems pacientams</w:t>
      </w:r>
      <w:r w:rsidR="00E63016">
        <w:t xml:space="preserve"> tuberkuliozės ambulatorinio gydymo met</w:t>
      </w:r>
      <w:r>
        <w:t>u</w:t>
      </w:r>
      <w:r w:rsidR="00E63016">
        <w:t>, o Panevėžio miesto savivaldybės administracija atliktų reikalingus viešuosius pirkimus</w:t>
      </w:r>
      <w:r>
        <w:t xml:space="preserve"> </w:t>
      </w:r>
      <w:r w:rsidR="00E63016">
        <w:t>maisto talon</w:t>
      </w:r>
      <w:r>
        <w:t>ams, kurie bus dalinami tuberkulioze sergantiems pacientams</w:t>
      </w:r>
      <w:r w:rsidR="00E63016">
        <w:t xml:space="preserve"> </w:t>
      </w:r>
      <w:r>
        <w:t xml:space="preserve">bei </w:t>
      </w:r>
      <w:r w:rsidR="00357FA3" w:rsidRPr="00357FA3">
        <w:t xml:space="preserve">tuberkulioze sergantiems mėnesinius bilietus kelionei į ir iš ambulatorines sveikatos priežiūros paslaugas teikiančias asmens sveikatos priežiūros įstaigas </w:t>
      </w:r>
      <w:r w:rsidR="00357FA3" w:rsidRPr="00357FA3">
        <w:t xml:space="preserve">ir </w:t>
      </w:r>
      <w:r w:rsidR="00E63016" w:rsidRPr="00357FA3">
        <w:t xml:space="preserve">vykdančiojo personalo nuvykimui pas tuberkulioze sergančius asmenis </w:t>
      </w:r>
      <w:r w:rsidR="00E63016">
        <w:t>viešojo transporto mėnesini</w:t>
      </w:r>
      <w:r>
        <w:t>ams</w:t>
      </w:r>
      <w:r w:rsidR="00E63016">
        <w:t xml:space="preserve"> biliet</w:t>
      </w:r>
      <w:r>
        <w:t>ams</w:t>
      </w:r>
      <w:r w:rsidR="00E63016">
        <w:t xml:space="preserve"> </w:t>
      </w:r>
      <w:r>
        <w:t>nupirkti</w:t>
      </w:r>
      <w:r w:rsidR="00C46D3D">
        <w:t xml:space="preserve">, </w:t>
      </w:r>
      <w:r w:rsidR="00E63016">
        <w:t xml:space="preserve">bei prisidėtų projektui reikalingo dalinio finansavimo lėšomis - </w:t>
      </w:r>
      <w:r w:rsidR="00E63016" w:rsidRPr="00B01026">
        <w:t>7,5 proc. visų tinkamų finansuoti projekto išlaidų</w:t>
      </w:r>
      <w:r w:rsidR="00E63016">
        <w:t xml:space="preserve">. </w:t>
      </w:r>
    </w:p>
    <w:p w14:paraId="7551080F" w14:textId="6EBDC00E" w:rsidR="00123343" w:rsidRDefault="00C54354" w:rsidP="00123343">
      <w:pPr>
        <w:tabs>
          <w:tab w:val="left" w:pos="0"/>
          <w:tab w:val="left" w:pos="567"/>
          <w:tab w:val="left" w:pos="851"/>
          <w:tab w:val="left" w:pos="1418"/>
        </w:tabs>
        <w:jc w:val="both"/>
        <w:rPr>
          <w:color w:val="000000"/>
        </w:rPr>
      </w:pPr>
      <w:r>
        <w:rPr>
          <w:color w:val="000000"/>
        </w:rPr>
        <w:tab/>
      </w:r>
      <w:r>
        <w:rPr>
          <w:color w:val="000000"/>
        </w:rPr>
        <w:tab/>
      </w:r>
      <w:r w:rsidR="00123343">
        <w:rPr>
          <w:color w:val="000000"/>
        </w:rPr>
        <w:t>Teikiamų pagal Aprašą projektų įgyvendinimo trukmė turi būti ne ilgesnė kaip 48 mėnesiai nuo projekto sutarties pasirašymo dienos.</w:t>
      </w:r>
    </w:p>
    <w:p w14:paraId="4DE4A5EB" w14:textId="1BE8F366" w:rsidR="00123343" w:rsidRDefault="00C54354" w:rsidP="00C54354">
      <w:pPr>
        <w:ind w:firstLine="851"/>
        <w:jc w:val="both"/>
      </w:pPr>
      <w:r>
        <w:t>Siekiamas r</w:t>
      </w:r>
      <w:r w:rsidR="00123343">
        <w:t xml:space="preserve">ezultatas: </w:t>
      </w:r>
      <w:r w:rsidR="00123343" w:rsidRPr="00015E71">
        <w:t>Tuberkulioze sergantys pacientai, kuriems buvo suteiktos socialinės paramos priemonės (maisto talon</w:t>
      </w:r>
      <w:r w:rsidR="006D520F">
        <w:t>ai</w:t>
      </w:r>
      <w:r w:rsidR="002C25F0">
        <w:t>, mėnesiniai bilietai</w:t>
      </w:r>
      <w:r w:rsidR="00123343" w:rsidRPr="00015E71">
        <w:t>) tuberkuliozės ambulatorinio gydymo metu</w:t>
      </w:r>
      <w:r w:rsidR="00123343">
        <w:t xml:space="preserve"> – 56 asmenys.</w:t>
      </w:r>
    </w:p>
    <w:p w14:paraId="57BE1145" w14:textId="43F51A0F" w:rsidR="00123343" w:rsidRDefault="00123343" w:rsidP="00123343">
      <w:pPr>
        <w:tabs>
          <w:tab w:val="left" w:pos="0"/>
          <w:tab w:val="left" w:pos="900"/>
          <w:tab w:val="left" w:pos="1418"/>
        </w:tabs>
        <w:ind w:firstLine="851"/>
        <w:jc w:val="both"/>
        <w:rPr>
          <w:color w:val="000000"/>
        </w:rPr>
      </w:pPr>
      <w:r>
        <w:rPr>
          <w:color w:val="000000"/>
        </w:rPr>
        <w:lastRenderedPageBreak/>
        <w:t xml:space="preserve">Didžiausia galima projekto finansuojamoji dalis sudaro ne daugiau kaip 92,5 proc. visų tinkamų finansuoti projekto išlaidų, t. y. iš ES struktūrinių fondų ir Lietuvos Respublikos valstybės biudžeto lėšų skiriamas finansavimas negali viršyti 92,5 proc. </w:t>
      </w:r>
    </w:p>
    <w:p w14:paraId="31A9694C" w14:textId="77777777" w:rsidR="00123343" w:rsidRDefault="00123343" w:rsidP="00123343">
      <w:pPr>
        <w:tabs>
          <w:tab w:val="left" w:pos="0"/>
          <w:tab w:val="left" w:pos="900"/>
          <w:tab w:val="left" w:pos="1418"/>
        </w:tabs>
        <w:ind w:firstLine="851"/>
        <w:jc w:val="both"/>
        <w:rPr>
          <w:color w:val="000000"/>
        </w:rPr>
      </w:pPr>
      <w:r>
        <w:rPr>
          <w:color w:val="000000"/>
        </w:rPr>
        <w:t xml:space="preserve">Pareiškėjas ir (ar) partneris (-iai) privalo savo ir (arba) kitų šaltinių lėšomis prisidėti prie projekto finansavimo ne mažiau kaip 7,5 proc. visų tinkamų finansuoti projekto išlaidų. </w:t>
      </w:r>
    </w:p>
    <w:p w14:paraId="4D5CBDF6" w14:textId="77777777" w:rsidR="001B0635" w:rsidRDefault="001B0635" w:rsidP="00123343">
      <w:pPr>
        <w:jc w:val="both"/>
      </w:pPr>
    </w:p>
    <w:tbl>
      <w:tblPr>
        <w:tblW w:w="9209" w:type="dxa"/>
        <w:tblLook w:val="04A0" w:firstRow="1" w:lastRow="0" w:firstColumn="1" w:lastColumn="0" w:noHBand="0" w:noVBand="1"/>
      </w:tblPr>
      <w:tblGrid>
        <w:gridCol w:w="1254"/>
        <w:gridCol w:w="1497"/>
        <w:gridCol w:w="1163"/>
        <w:gridCol w:w="1893"/>
        <w:gridCol w:w="1701"/>
        <w:gridCol w:w="1701"/>
      </w:tblGrid>
      <w:tr w:rsidR="00123343" w:rsidRPr="000872E3" w14:paraId="5B60EFF3" w14:textId="77777777" w:rsidTr="004F5187">
        <w:trPr>
          <w:trHeight w:val="312"/>
        </w:trPr>
        <w:tc>
          <w:tcPr>
            <w:tcW w:w="9209" w:type="dxa"/>
            <w:gridSpan w:val="6"/>
            <w:tcBorders>
              <w:top w:val="single" w:sz="8" w:space="0" w:color="auto"/>
              <w:left w:val="single" w:sz="4" w:space="0" w:color="auto"/>
              <w:bottom w:val="single" w:sz="4" w:space="0" w:color="auto"/>
              <w:right w:val="single" w:sz="4" w:space="0" w:color="000000"/>
            </w:tcBorders>
            <w:shd w:val="clear" w:color="auto" w:fill="auto"/>
            <w:noWrap/>
            <w:hideMark/>
          </w:tcPr>
          <w:p w14:paraId="700A6F69" w14:textId="77777777" w:rsidR="00123343" w:rsidRPr="000872E3" w:rsidRDefault="00123343" w:rsidP="006979CE">
            <w:pPr>
              <w:jc w:val="both"/>
            </w:pPr>
            <w:r w:rsidRPr="000872E3">
              <w:t>Lėšų poreikis ir finansavimo šaltiniai (Eur)</w:t>
            </w:r>
          </w:p>
        </w:tc>
      </w:tr>
      <w:tr w:rsidR="00123343" w:rsidRPr="000872E3" w14:paraId="62C73021" w14:textId="77777777" w:rsidTr="007837F0">
        <w:trPr>
          <w:trHeight w:val="577"/>
        </w:trPr>
        <w:tc>
          <w:tcPr>
            <w:tcW w:w="1254" w:type="dxa"/>
            <w:tcBorders>
              <w:top w:val="nil"/>
              <w:left w:val="single" w:sz="4" w:space="0" w:color="auto"/>
              <w:bottom w:val="single" w:sz="4" w:space="0" w:color="auto"/>
              <w:right w:val="single" w:sz="4" w:space="0" w:color="auto"/>
            </w:tcBorders>
            <w:shd w:val="clear" w:color="auto" w:fill="auto"/>
            <w:noWrap/>
            <w:hideMark/>
          </w:tcPr>
          <w:p w14:paraId="30E23131" w14:textId="77777777" w:rsidR="00123343" w:rsidRPr="000872E3" w:rsidRDefault="00123343" w:rsidP="006979CE">
            <w:pPr>
              <w:jc w:val="both"/>
            </w:pPr>
            <w:r w:rsidRPr="000872E3">
              <w:t>Iš viso:</w:t>
            </w:r>
          </w:p>
        </w:tc>
        <w:tc>
          <w:tcPr>
            <w:tcW w:w="1497" w:type="dxa"/>
            <w:tcBorders>
              <w:top w:val="nil"/>
              <w:left w:val="nil"/>
              <w:bottom w:val="single" w:sz="4" w:space="0" w:color="auto"/>
              <w:right w:val="single" w:sz="4" w:space="0" w:color="auto"/>
            </w:tcBorders>
            <w:shd w:val="clear" w:color="auto" w:fill="auto"/>
            <w:hideMark/>
          </w:tcPr>
          <w:p w14:paraId="7085FE90" w14:textId="77777777" w:rsidR="00123343" w:rsidRPr="000872E3" w:rsidRDefault="00123343" w:rsidP="006979CE">
            <w:pPr>
              <w:jc w:val="both"/>
            </w:pPr>
            <w:r w:rsidRPr="000872E3">
              <w:t>Savivaldybės biudžetas</w:t>
            </w:r>
          </w:p>
        </w:tc>
        <w:tc>
          <w:tcPr>
            <w:tcW w:w="1163" w:type="dxa"/>
            <w:tcBorders>
              <w:top w:val="nil"/>
              <w:left w:val="nil"/>
              <w:bottom w:val="single" w:sz="4" w:space="0" w:color="auto"/>
              <w:right w:val="single" w:sz="4" w:space="0" w:color="auto"/>
            </w:tcBorders>
            <w:shd w:val="clear" w:color="auto" w:fill="auto"/>
            <w:hideMark/>
          </w:tcPr>
          <w:p w14:paraId="5F83CB61" w14:textId="77777777" w:rsidR="00123343" w:rsidRPr="000872E3" w:rsidRDefault="00123343" w:rsidP="006979CE">
            <w:pPr>
              <w:jc w:val="both"/>
            </w:pPr>
            <w:r w:rsidRPr="000872E3">
              <w:t>Valstybės biudžetas</w:t>
            </w:r>
          </w:p>
        </w:tc>
        <w:tc>
          <w:tcPr>
            <w:tcW w:w="1893" w:type="dxa"/>
            <w:tcBorders>
              <w:top w:val="nil"/>
              <w:left w:val="nil"/>
              <w:bottom w:val="single" w:sz="4" w:space="0" w:color="auto"/>
              <w:right w:val="single" w:sz="4" w:space="0" w:color="auto"/>
            </w:tcBorders>
            <w:shd w:val="clear" w:color="auto" w:fill="auto"/>
            <w:hideMark/>
          </w:tcPr>
          <w:p w14:paraId="5E1E25D2" w14:textId="77777777" w:rsidR="00123343" w:rsidRPr="000872E3" w:rsidRDefault="00123343" w:rsidP="006979CE">
            <w:pPr>
              <w:jc w:val="both"/>
            </w:pPr>
            <w:r w:rsidRPr="000872E3">
              <w:t>Privačios lėšos</w:t>
            </w:r>
          </w:p>
        </w:tc>
        <w:tc>
          <w:tcPr>
            <w:tcW w:w="1701" w:type="dxa"/>
            <w:tcBorders>
              <w:top w:val="nil"/>
              <w:left w:val="nil"/>
              <w:bottom w:val="single" w:sz="4" w:space="0" w:color="auto"/>
              <w:right w:val="single" w:sz="4" w:space="0" w:color="auto"/>
            </w:tcBorders>
            <w:shd w:val="clear" w:color="auto" w:fill="auto"/>
            <w:hideMark/>
          </w:tcPr>
          <w:p w14:paraId="459DE479" w14:textId="77777777" w:rsidR="00123343" w:rsidRPr="000872E3" w:rsidRDefault="00123343" w:rsidP="006979CE">
            <w:pPr>
              <w:jc w:val="both"/>
            </w:pPr>
            <w:r w:rsidRPr="000872E3">
              <w:t>Kitos viešosios lėšos</w:t>
            </w:r>
          </w:p>
        </w:tc>
        <w:tc>
          <w:tcPr>
            <w:tcW w:w="1701" w:type="dxa"/>
            <w:tcBorders>
              <w:top w:val="nil"/>
              <w:left w:val="nil"/>
              <w:bottom w:val="single" w:sz="4" w:space="0" w:color="auto"/>
              <w:right w:val="single" w:sz="4" w:space="0" w:color="auto"/>
            </w:tcBorders>
            <w:shd w:val="clear" w:color="auto" w:fill="auto"/>
            <w:noWrap/>
            <w:hideMark/>
          </w:tcPr>
          <w:p w14:paraId="5552C11C" w14:textId="77777777" w:rsidR="00123343" w:rsidRPr="000872E3" w:rsidRDefault="00123343" w:rsidP="006979CE">
            <w:pPr>
              <w:jc w:val="both"/>
            </w:pPr>
            <w:r w:rsidRPr="000872E3">
              <w:t>ES lėšos</w:t>
            </w:r>
          </w:p>
        </w:tc>
      </w:tr>
      <w:tr w:rsidR="00123343" w:rsidRPr="000872E3" w14:paraId="71E6BE97" w14:textId="77777777" w:rsidTr="007837F0">
        <w:trPr>
          <w:trHeight w:val="429"/>
        </w:trPr>
        <w:tc>
          <w:tcPr>
            <w:tcW w:w="1254" w:type="dxa"/>
            <w:tcBorders>
              <w:top w:val="nil"/>
              <w:left w:val="single" w:sz="4" w:space="0" w:color="auto"/>
              <w:bottom w:val="single" w:sz="4" w:space="0" w:color="auto"/>
              <w:right w:val="single" w:sz="4" w:space="0" w:color="auto"/>
            </w:tcBorders>
            <w:shd w:val="clear" w:color="auto" w:fill="auto"/>
            <w:noWrap/>
            <w:hideMark/>
          </w:tcPr>
          <w:p w14:paraId="0E8E3D7B" w14:textId="77777777" w:rsidR="00123343" w:rsidRPr="000872E3" w:rsidRDefault="00123343" w:rsidP="006979CE">
            <w:pPr>
              <w:jc w:val="both"/>
            </w:pPr>
            <w:r w:rsidRPr="000872E3">
              <w:t>24 085,88</w:t>
            </w:r>
          </w:p>
        </w:tc>
        <w:tc>
          <w:tcPr>
            <w:tcW w:w="1497" w:type="dxa"/>
            <w:tcBorders>
              <w:top w:val="nil"/>
              <w:left w:val="nil"/>
              <w:bottom w:val="single" w:sz="4" w:space="0" w:color="auto"/>
              <w:right w:val="single" w:sz="4" w:space="0" w:color="auto"/>
            </w:tcBorders>
            <w:shd w:val="clear" w:color="auto" w:fill="auto"/>
            <w:noWrap/>
            <w:hideMark/>
          </w:tcPr>
          <w:p w14:paraId="01D942D9" w14:textId="77777777" w:rsidR="00123343" w:rsidRPr="000872E3" w:rsidRDefault="00123343" w:rsidP="006979CE">
            <w:pPr>
              <w:jc w:val="both"/>
            </w:pPr>
            <w:r w:rsidRPr="000872E3">
              <w:t>1 806,44</w:t>
            </w:r>
          </w:p>
        </w:tc>
        <w:tc>
          <w:tcPr>
            <w:tcW w:w="1163" w:type="dxa"/>
            <w:tcBorders>
              <w:top w:val="nil"/>
              <w:left w:val="nil"/>
              <w:bottom w:val="single" w:sz="4" w:space="0" w:color="auto"/>
              <w:right w:val="single" w:sz="4" w:space="0" w:color="auto"/>
            </w:tcBorders>
            <w:shd w:val="clear" w:color="auto" w:fill="auto"/>
            <w:noWrap/>
            <w:hideMark/>
          </w:tcPr>
          <w:p w14:paraId="06E623ED" w14:textId="77777777" w:rsidR="00123343" w:rsidRPr="000872E3" w:rsidRDefault="00123343" w:rsidP="006979CE">
            <w:pPr>
              <w:jc w:val="both"/>
            </w:pPr>
            <w:r w:rsidRPr="000872E3">
              <w:t>1 806,44</w:t>
            </w:r>
          </w:p>
        </w:tc>
        <w:tc>
          <w:tcPr>
            <w:tcW w:w="1893" w:type="dxa"/>
            <w:tcBorders>
              <w:top w:val="nil"/>
              <w:left w:val="nil"/>
              <w:bottom w:val="single" w:sz="4" w:space="0" w:color="auto"/>
              <w:right w:val="single" w:sz="4" w:space="0" w:color="auto"/>
            </w:tcBorders>
            <w:shd w:val="clear" w:color="auto" w:fill="auto"/>
            <w:noWrap/>
            <w:hideMark/>
          </w:tcPr>
          <w:p w14:paraId="45FCEB34" w14:textId="77777777" w:rsidR="00123343" w:rsidRPr="000872E3" w:rsidRDefault="00123343" w:rsidP="006979CE">
            <w:pPr>
              <w:jc w:val="both"/>
            </w:pPr>
            <w:r w:rsidRPr="000872E3">
              <w:t> </w:t>
            </w:r>
            <w:r>
              <w:t>0,00</w:t>
            </w:r>
          </w:p>
        </w:tc>
        <w:tc>
          <w:tcPr>
            <w:tcW w:w="1701" w:type="dxa"/>
            <w:tcBorders>
              <w:top w:val="nil"/>
              <w:left w:val="nil"/>
              <w:bottom w:val="single" w:sz="4" w:space="0" w:color="auto"/>
              <w:right w:val="single" w:sz="4" w:space="0" w:color="auto"/>
            </w:tcBorders>
            <w:shd w:val="clear" w:color="auto" w:fill="auto"/>
            <w:noWrap/>
            <w:hideMark/>
          </w:tcPr>
          <w:p w14:paraId="12D80BE4" w14:textId="77777777" w:rsidR="00123343" w:rsidRPr="000872E3" w:rsidRDefault="00123343" w:rsidP="006979CE">
            <w:pPr>
              <w:jc w:val="both"/>
            </w:pPr>
            <w:r>
              <w:t>0,00</w:t>
            </w:r>
            <w:r w:rsidRPr="000872E3">
              <w:t> </w:t>
            </w:r>
          </w:p>
        </w:tc>
        <w:tc>
          <w:tcPr>
            <w:tcW w:w="1701" w:type="dxa"/>
            <w:tcBorders>
              <w:top w:val="nil"/>
              <w:left w:val="nil"/>
              <w:bottom w:val="single" w:sz="4" w:space="0" w:color="auto"/>
              <w:right w:val="single" w:sz="4" w:space="0" w:color="auto"/>
            </w:tcBorders>
            <w:shd w:val="clear" w:color="auto" w:fill="auto"/>
            <w:noWrap/>
            <w:hideMark/>
          </w:tcPr>
          <w:p w14:paraId="054CE480" w14:textId="77777777" w:rsidR="00123343" w:rsidRPr="000872E3" w:rsidRDefault="00123343" w:rsidP="006979CE">
            <w:pPr>
              <w:jc w:val="both"/>
            </w:pPr>
            <w:r w:rsidRPr="000872E3">
              <w:t>20 473,00</w:t>
            </w:r>
          </w:p>
        </w:tc>
      </w:tr>
    </w:tbl>
    <w:p w14:paraId="3C2A9A9F" w14:textId="1F6094C7" w:rsidR="00123343" w:rsidRDefault="00123343" w:rsidP="00123343"/>
    <w:p w14:paraId="197B0575" w14:textId="096C0D33" w:rsidR="00123343" w:rsidRDefault="00123343" w:rsidP="0034681C">
      <w:pPr>
        <w:jc w:val="both"/>
      </w:pPr>
      <w:r>
        <w:t>Projekto „</w:t>
      </w:r>
      <w:r w:rsidRPr="004B2044">
        <w:t>Priemonių, gerinančių ambulatorinių sveikatos priežiūros paslaugų prieinamumą tuberkulioze sergantiems asmenims, įgyvendinimas Panevėžio mieste</w:t>
      </w:r>
      <w:r>
        <w:t>“ projektinio pasiūlymo pateikimo Regioninės plėtros departamento prie Vidaus reikalų ministerijos Panevėžio apskrities skyriui terminas – 2018 m. vasario 5 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2127"/>
        <w:gridCol w:w="1984"/>
      </w:tblGrid>
      <w:tr w:rsidR="00123343" w:rsidRPr="000872E3" w14:paraId="7E3300AB" w14:textId="77777777" w:rsidTr="001B0635">
        <w:trPr>
          <w:trHeight w:val="312"/>
        </w:trPr>
        <w:tc>
          <w:tcPr>
            <w:tcW w:w="9209" w:type="dxa"/>
            <w:gridSpan w:val="4"/>
            <w:shd w:val="clear" w:color="auto" w:fill="auto"/>
            <w:noWrap/>
            <w:hideMark/>
          </w:tcPr>
          <w:p w14:paraId="497A91AA" w14:textId="4F96CFC1" w:rsidR="00123343" w:rsidRPr="000872E3" w:rsidRDefault="00C54354" w:rsidP="006979CE">
            <w:pPr>
              <w:jc w:val="both"/>
            </w:pPr>
            <w:r>
              <w:t>Preliminarūs p</w:t>
            </w:r>
            <w:r w:rsidR="00123343" w:rsidRPr="000872E3">
              <w:t>rojekto etapai</w:t>
            </w:r>
          </w:p>
        </w:tc>
      </w:tr>
      <w:tr w:rsidR="00C54354" w:rsidRPr="000872E3" w14:paraId="33BA3180" w14:textId="77777777" w:rsidTr="001B0635">
        <w:trPr>
          <w:trHeight w:val="896"/>
        </w:trPr>
        <w:tc>
          <w:tcPr>
            <w:tcW w:w="2263" w:type="dxa"/>
            <w:shd w:val="clear" w:color="auto" w:fill="auto"/>
            <w:hideMark/>
          </w:tcPr>
          <w:p w14:paraId="05AD9F21" w14:textId="77777777" w:rsidR="00123343" w:rsidRPr="000872E3" w:rsidRDefault="00123343" w:rsidP="006979CE">
            <w:pPr>
              <w:jc w:val="both"/>
            </w:pPr>
            <w:r w:rsidRPr="000872E3">
              <w:t>Įtraukimas į sąrašą (meta/ mėnuo)</w:t>
            </w:r>
          </w:p>
        </w:tc>
        <w:tc>
          <w:tcPr>
            <w:tcW w:w="2835" w:type="dxa"/>
            <w:shd w:val="clear" w:color="auto" w:fill="auto"/>
            <w:hideMark/>
          </w:tcPr>
          <w:p w14:paraId="70BE63F7" w14:textId="77777777" w:rsidR="00123343" w:rsidRPr="000872E3" w:rsidRDefault="00123343" w:rsidP="006979CE">
            <w:pPr>
              <w:jc w:val="both"/>
            </w:pPr>
            <w:r w:rsidRPr="000872E3">
              <w:t xml:space="preserve">Paraiškos pateikimo įgyvendinančiajai institucijai (metai / mėnuo) </w:t>
            </w:r>
          </w:p>
        </w:tc>
        <w:tc>
          <w:tcPr>
            <w:tcW w:w="2127" w:type="dxa"/>
            <w:shd w:val="clear" w:color="auto" w:fill="auto"/>
            <w:hideMark/>
          </w:tcPr>
          <w:p w14:paraId="530DF6A9" w14:textId="77777777" w:rsidR="00123343" w:rsidRPr="000872E3" w:rsidRDefault="00123343" w:rsidP="006979CE">
            <w:pPr>
              <w:jc w:val="both"/>
            </w:pPr>
            <w:r w:rsidRPr="000872E3">
              <w:t>Finansavimo sutarties sudarymas</w:t>
            </w:r>
          </w:p>
        </w:tc>
        <w:tc>
          <w:tcPr>
            <w:tcW w:w="1984" w:type="dxa"/>
            <w:shd w:val="clear" w:color="auto" w:fill="auto"/>
            <w:hideMark/>
          </w:tcPr>
          <w:p w14:paraId="59BC9C04" w14:textId="77777777" w:rsidR="00123343" w:rsidRPr="000872E3" w:rsidRDefault="00123343" w:rsidP="006979CE">
            <w:pPr>
              <w:jc w:val="both"/>
            </w:pPr>
            <w:r w:rsidRPr="000872E3">
              <w:t>Projekto užbaigimas</w:t>
            </w:r>
          </w:p>
        </w:tc>
      </w:tr>
      <w:tr w:rsidR="00C54354" w:rsidRPr="000872E3" w14:paraId="78B183B3" w14:textId="77777777" w:rsidTr="001B0635">
        <w:trPr>
          <w:trHeight w:val="673"/>
        </w:trPr>
        <w:tc>
          <w:tcPr>
            <w:tcW w:w="2263" w:type="dxa"/>
            <w:shd w:val="clear" w:color="auto" w:fill="auto"/>
            <w:noWrap/>
            <w:hideMark/>
          </w:tcPr>
          <w:p w14:paraId="0909D27F" w14:textId="77777777" w:rsidR="00123343" w:rsidRPr="000872E3" w:rsidRDefault="00123343" w:rsidP="006979CE">
            <w:pPr>
              <w:jc w:val="both"/>
            </w:pPr>
            <w:r>
              <w:t xml:space="preserve">2018 m. </w:t>
            </w:r>
            <w:r w:rsidRPr="00730298">
              <w:t>bal</w:t>
            </w:r>
            <w:r>
              <w:t>andžio mėn.</w:t>
            </w:r>
          </w:p>
        </w:tc>
        <w:tc>
          <w:tcPr>
            <w:tcW w:w="2835" w:type="dxa"/>
            <w:shd w:val="clear" w:color="auto" w:fill="auto"/>
            <w:noWrap/>
            <w:hideMark/>
          </w:tcPr>
          <w:p w14:paraId="58DD0131" w14:textId="77777777" w:rsidR="00123343" w:rsidRPr="000872E3" w:rsidRDefault="00123343" w:rsidP="006979CE">
            <w:r>
              <w:t xml:space="preserve">2018 m. </w:t>
            </w:r>
            <w:r w:rsidRPr="00730298">
              <w:t>rugp</w:t>
            </w:r>
            <w:r>
              <w:t>jūčio mėn.</w:t>
            </w:r>
          </w:p>
        </w:tc>
        <w:tc>
          <w:tcPr>
            <w:tcW w:w="2127" w:type="dxa"/>
            <w:shd w:val="clear" w:color="auto" w:fill="auto"/>
            <w:noWrap/>
            <w:hideMark/>
          </w:tcPr>
          <w:p w14:paraId="31839157" w14:textId="77777777" w:rsidR="00123343" w:rsidRPr="000872E3" w:rsidRDefault="00123343" w:rsidP="006979CE">
            <w:r>
              <w:t xml:space="preserve">2018 m. </w:t>
            </w:r>
            <w:r w:rsidRPr="00730298">
              <w:t>lapkr</w:t>
            </w:r>
            <w:r>
              <w:t>ičio mėn.</w:t>
            </w:r>
          </w:p>
        </w:tc>
        <w:tc>
          <w:tcPr>
            <w:tcW w:w="1984" w:type="dxa"/>
            <w:shd w:val="clear" w:color="auto" w:fill="auto"/>
            <w:noWrap/>
            <w:hideMark/>
          </w:tcPr>
          <w:p w14:paraId="1F6B7699" w14:textId="77777777" w:rsidR="00123343" w:rsidRPr="000872E3" w:rsidRDefault="00123343" w:rsidP="006979CE">
            <w:r>
              <w:t>2022 m. lapkričio mėn.</w:t>
            </w:r>
          </w:p>
        </w:tc>
      </w:tr>
    </w:tbl>
    <w:p w14:paraId="5E3A9986" w14:textId="77777777" w:rsidR="00292DCE" w:rsidRPr="00C25BD0" w:rsidRDefault="00292DCE" w:rsidP="00A8644B">
      <w:pPr>
        <w:ind w:firstLine="360"/>
        <w:jc w:val="both"/>
        <w:rPr>
          <w:rFonts w:eastAsia="Calibri"/>
        </w:rPr>
      </w:pPr>
    </w:p>
    <w:p w14:paraId="09208120" w14:textId="3B21B44A" w:rsidR="00B12A30" w:rsidRPr="00BF69E0" w:rsidRDefault="00CE4261" w:rsidP="00A8644B">
      <w:pPr>
        <w:numPr>
          <w:ilvl w:val="0"/>
          <w:numId w:val="3"/>
        </w:numPr>
        <w:jc w:val="both"/>
      </w:pPr>
      <w:r w:rsidRPr="00C25BD0">
        <w:rPr>
          <w:b/>
        </w:rPr>
        <w:t>Kaip šiuo metu sprendžiami sprendimo projekte aptarti klausimai</w:t>
      </w:r>
      <w:r w:rsidR="00B12A30" w:rsidRPr="00C25BD0">
        <w:rPr>
          <w:b/>
        </w:rPr>
        <w:t>:</w:t>
      </w:r>
    </w:p>
    <w:p w14:paraId="63B19B50" w14:textId="77777777" w:rsidR="00A83A96" w:rsidRDefault="00AE2B8C" w:rsidP="00A83A96">
      <w:pPr>
        <w:ind w:left="720"/>
        <w:jc w:val="both"/>
      </w:pPr>
      <w:r>
        <w:t>201</w:t>
      </w:r>
      <w:r w:rsidR="00A83A96">
        <w:t>8</w:t>
      </w:r>
      <w:r>
        <w:t xml:space="preserve"> m. s</w:t>
      </w:r>
      <w:r w:rsidR="00A83A96">
        <w:t>ausio</w:t>
      </w:r>
      <w:r>
        <w:t xml:space="preserve"> </w:t>
      </w:r>
      <w:r w:rsidR="00A83A96">
        <w:t>1</w:t>
      </w:r>
      <w:r>
        <w:t>1 d. Investicijų projektų atrankos grupės posėdžio metu nutarta pritarti,</w:t>
      </w:r>
      <w:r w:rsidR="00AE7793">
        <w:t xml:space="preserve"> kad</w:t>
      </w:r>
    </w:p>
    <w:p w14:paraId="170E5A92" w14:textId="01222672" w:rsidR="00BF69E0" w:rsidRPr="00C25BD0" w:rsidRDefault="00A83A96" w:rsidP="00A83A96">
      <w:pPr>
        <w:jc w:val="both"/>
      </w:pPr>
      <w:r>
        <w:t>Panevėžio miesto savivaldybės administracija</w:t>
      </w:r>
      <w:r w:rsidRPr="00A83A96">
        <w:t xml:space="preserve"> </w:t>
      </w:r>
      <w:r>
        <w:t xml:space="preserve">kartu su </w:t>
      </w:r>
      <w:r w:rsidR="004376BC">
        <w:t>VšĮ</w:t>
      </w:r>
      <w:r w:rsidR="004376BC" w:rsidRPr="00B01026">
        <w:t xml:space="preserve"> </w:t>
      </w:r>
      <w:r w:rsidR="00AE2B8C" w:rsidRPr="00B01026">
        <w:t xml:space="preserve">Panevėžio miesto </w:t>
      </w:r>
      <w:r w:rsidR="00602729">
        <w:t>poliklinika</w:t>
      </w:r>
      <w:r w:rsidR="00AE2B8C">
        <w:t xml:space="preserve"> </w:t>
      </w:r>
      <w:r w:rsidR="00AE2B8C" w:rsidRPr="00B01026">
        <w:rPr>
          <w:color w:val="000000"/>
        </w:rPr>
        <w:t>vykdyt</w:t>
      </w:r>
      <w:r w:rsidR="00AE2B8C">
        <w:rPr>
          <w:color w:val="000000"/>
        </w:rPr>
        <w:t>ų</w:t>
      </w:r>
      <w:r w:rsidR="00AE2B8C" w:rsidRPr="00B01026">
        <w:rPr>
          <w:color w:val="000000"/>
        </w:rPr>
        <w:t xml:space="preserve"> projektą „</w:t>
      </w:r>
      <w:r w:rsidR="00E14F5A" w:rsidRPr="004B2044">
        <w:t>Priemonių, gerinančių ambulatorinių sveikatos priežiūros paslaugų prieinamumą tuberkulioze sergantiems asmenims, įgyvendinimas Panevėžio mieste</w:t>
      </w:r>
      <w:r w:rsidR="00AE2B8C" w:rsidRPr="00B01026">
        <w:rPr>
          <w:color w:val="000000"/>
        </w:rPr>
        <w:t>“</w:t>
      </w:r>
      <w:r w:rsidR="00AE2B8C">
        <w:rPr>
          <w:color w:val="000000"/>
        </w:rPr>
        <w:t>.</w:t>
      </w:r>
    </w:p>
    <w:p w14:paraId="4DA90620" w14:textId="1AC667F7" w:rsidR="002D5815" w:rsidRDefault="002B5A69" w:rsidP="00A8644B">
      <w:pPr>
        <w:tabs>
          <w:tab w:val="left" w:pos="0"/>
        </w:tabs>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BD0DD2">
        <w:rPr>
          <w:bCs/>
        </w:rPr>
        <w:t>D</w:t>
      </w:r>
      <w:r w:rsidR="00BD0DD2" w:rsidRPr="0011226B">
        <w:rPr>
          <w:bCs/>
        </w:rPr>
        <w:t>ėl pritarimo teikti projektą „</w:t>
      </w:r>
      <w:r w:rsidR="00E14F5A" w:rsidRPr="004B2044">
        <w:t>Priemonių, gerinančių ambulatorinių sveikatos priežiūros paslaugų prieinamumą tuberkulioze sergantiems asmenims, įgyvendinimas Panevėžio mieste</w:t>
      </w:r>
      <w:r w:rsidR="00BD0DD2" w:rsidRPr="0011226B">
        <w:rPr>
          <w:bCs/>
        </w:rPr>
        <w:t xml:space="preserve">“ </w:t>
      </w:r>
      <w:r w:rsidR="00BD0DD2">
        <w:rPr>
          <w:bCs/>
        </w:rPr>
        <w:t>E</w:t>
      </w:r>
      <w:r w:rsidR="00BD0DD2" w:rsidRPr="0011226B">
        <w:rPr>
          <w:bCs/>
        </w:rPr>
        <w:t xml:space="preserve">uropos </w:t>
      </w:r>
      <w:r w:rsidR="00BD0DD2">
        <w:rPr>
          <w:bCs/>
        </w:rPr>
        <w:t>S</w:t>
      </w:r>
      <w:r w:rsidR="00BD0DD2" w:rsidRPr="0011226B">
        <w:rPr>
          <w:bCs/>
        </w:rPr>
        <w:t>ąjungos fondų invest</w:t>
      </w:r>
      <w:r w:rsidR="00BD0DD2">
        <w:rPr>
          <w:bCs/>
        </w:rPr>
        <w:t>i</w:t>
      </w:r>
      <w:r w:rsidR="00BD0DD2" w:rsidRPr="0011226B">
        <w:rPr>
          <w:bCs/>
        </w:rPr>
        <w:t xml:space="preserve">cijoms gauti ir </w:t>
      </w:r>
      <w:r w:rsidR="00BD0DD2" w:rsidRPr="0011226B">
        <w:t>projekto dalinio finansavimo</w:t>
      </w:r>
      <w:r w:rsidR="00BD0DD2">
        <w:t xml:space="preserve">“ </w:t>
      </w:r>
      <w:r w:rsidR="00134410" w:rsidRPr="00C25BD0">
        <w:rPr>
          <w:bCs/>
        </w:rPr>
        <w:t>kuriuo Savivaldybės Taryba nusprendžia teikti Projektą Europos Sąjungos fondų investicijoms gauti</w:t>
      </w:r>
      <w:r w:rsidR="00BD0DD2">
        <w:rPr>
          <w:bCs/>
        </w:rPr>
        <w:t xml:space="preserve">, </w:t>
      </w:r>
      <w:r w:rsidR="00BD0DD2" w:rsidRPr="00C25BD0">
        <w:t xml:space="preserve">skirti lėšas projektui dalinai finansuoti, </w:t>
      </w:r>
      <w:r w:rsidR="00BD0DD2">
        <w:rPr>
          <w:bCs/>
        </w:rPr>
        <w:t>p</w:t>
      </w:r>
      <w:r w:rsidR="00BD0DD2">
        <w:t xml:space="preserve">adengti tinkamų finansuoti išlaidų dalį, kurios nepadengia Projektui skiriamo finansavimo lėšos ir netinkamas finansuoti, </w:t>
      </w:r>
      <w:r w:rsidR="00BD0DD2" w:rsidRPr="0011226B">
        <w:t xml:space="preserve">tačiau </w:t>
      </w:r>
      <w:r w:rsidR="00BD0DD2">
        <w:t>P</w:t>
      </w:r>
      <w:r w:rsidR="00BD0DD2" w:rsidRPr="0011226B">
        <w:t>rojektui įgyvendinti būtinas</w:t>
      </w:r>
      <w:r w:rsidR="00BD0DD2">
        <w:t>.</w:t>
      </w:r>
    </w:p>
    <w:p w14:paraId="30AC5A94" w14:textId="77777777" w:rsidR="009F65EA" w:rsidRDefault="009F65EA" w:rsidP="00A8644B">
      <w:pPr>
        <w:tabs>
          <w:tab w:val="left" w:pos="0"/>
        </w:tabs>
        <w:ind w:firstLine="851"/>
        <w:jc w:val="both"/>
      </w:pPr>
    </w:p>
    <w:p w14:paraId="685CEB70" w14:textId="57D96E4C" w:rsidR="00C23621" w:rsidRDefault="00CE4261" w:rsidP="00A8644B">
      <w:pPr>
        <w:numPr>
          <w:ilvl w:val="0"/>
          <w:numId w:val="3"/>
        </w:numPr>
        <w:jc w:val="both"/>
        <w:rPr>
          <w:b/>
        </w:rPr>
      </w:pPr>
      <w:r w:rsidRPr="00C25BD0">
        <w:rPr>
          <w:b/>
        </w:rPr>
        <w:t>Sprendimo priėmimo būtinumo pagrindimas, kokių pozityvių rezultatų laukiama:</w:t>
      </w:r>
    </w:p>
    <w:p w14:paraId="0E380739" w14:textId="2894DA2C" w:rsidR="00AE7793" w:rsidRPr="00CE360D" w:rsidRDefault="009B3FF5" w:rsidP="00A8644B">
      <w:pPr>
        <w:tabs>
          <w:tab w:val="left" w:pos="0"/>
        </w:tabs>
        <w:jc w:val="both"/>
      </w:pPr>
      <w:r>
        <w:t xml:space="preserve">              </w:t>
      </w:r>
      <w:r w:rsidR="00AE7793" w:rsidRPr="00CE360D">
        <w:t xml:space="preserve">Vadovaujantis 2014–2020 metų Europos Sąjungos fondų investicijų veiksmų programos </w:t>
      </w:r>
      <w:r w:rsidR="00AE7793" w:rsidRPr="00B01026">
        <w:rPr>
          <w:color w:val="000000"/>
        </w:rPr>
        <w:t>8 prioriteto „Socialinės įtraukties didinimas ir kova su skurdu“ įgyvendinimo priemonės Nr. 08.4.2-ESFA-R-6</w:t>
      </w:r>
      <w:r w:rsidR="000B0F29">
        <w:rPr>
          <w:color w:val="000000"/>
        </w:rPr>
        <w:t>15</w:t>
      </w:r>
      <w:r w:rsidR="00AE7793" w:rsidRPr="00B01026">
        <w:rPr>
          <w:color w:val="000000"/>
        </w:rPr>
        <w:t xml:space="preserve"> „</w:t>
      </w:r>
      <w:r w:rsidR="000B0F29" w:rsidRPr="004B2044">
        <w:t>Priemonių, gerinančių ambulatorinių sveikatos priežiūros paslaugų prieinamumą tuberkulioze sergantiems asmenims, įgyvendinimas</w:t>
      </w:r>
      <w:r w:rsidR="00AE7793" w:rsidRPr="00B01026">
        <w:rPr>
          <w:color w:val="000000"/>
        </w:rPr>
        <w:t>“ projektų finansavimo sąlygų aprašu</w:t>
      </w:r>
      <w:r w:rsidR="00AE7793">
        <w:t>, kartu su paraiška P</w:t>
      </w:r>
      <w:r w:rsidR="00AE7793" w:rsidRPr="00CE360D">
        <w:t>areiškėjas t</w:t>
      </w:r>
      <w:r w:rsidR="00AE7793">
        <w:t>uri pateikti S</w:t>
      </w:r>
      <w:r w:rsidR="00AE7793" w:rsidRPr="00CE360D">
        <w:t>avivaldybės tarybos sprendimą dėl bendrojo finansavimo dalies iš savivaldybės biudžeto lėšų skyrimo projektui, įskaitant ir netinkamų projekto išlaidų apmokėjimą.</w:t>
      </w:r>
    </w:p>
    <w:p w14:paraId="510C9A4B" w14:textId="26D0C08B" w:rsidR="000B0F29" w:rsidRDefault="000B0F29" w:rsidP="000B0F29">
      <w:pPr>
        <w:ind w:firstLine="851"/>
        <w:jc w:val="both"/>
      </w:pPr>
      <w:r w:rsidRPr="00D0770D">
        <w:t>Projektu bus siekiama</w:t>
      </w:r>
      <w:r>
        <w:t xml:space="preserve"> suteikti </w:t>
      </w:r>
      <w:r w:rsidRPr="00015E71">
        <w:t>socialinės paramos priemon</w:t>
      </w:r>
      <w:r>
        <w:t>e</w:t>
      </w:r>
      <w:r w:rsidRPr="00015E71">
        <w:t>s (maisto talon</w:t>
      </w:r>
      <w:r>
        <w:t>us</w:t>
      </w:r>
      <w:r w:rsidR="00355576">
        <w:t>, mėnesinius bilietus</w:t>
      </w:r>
      <w:r w:rsidRPr="00015E71">
        <w:t>)</w:t>
      </w:r>
      <w:r>
        <w:t xml:space="preserve"> 56 t</w:t>
      </w:r>
      <w:r w:rsidRPr="00015E71">
        <w:t>uberkulioze sergant</w:t>
      </w:r>
      <w:r>
        <w:t>iems</w:t>
      </w:r>
      <w:r w:rsidRPr="00015E71">
        <w:t xml:space="preserve"> pacienta</w:t>
      </w:r>
      <w:r>
        <w:t xml:space="preserve">ms </w:t>
      </w:r>
      <w:r w:rsidRPr="00015E71">
        <w:t>tuberkuliozės ambulatorinio gydymo metu</w:t>
      </w:r>
      <w:r>
        <w:t>. Tikimasi taikant papildomas socialinės paramos priemones paskatinti tuberkulioze sergančius pacientus laiku atvykti į gydymo įstaigas</w:t>
      </w:r>
      <w:r w:rsidR="009B3FF5">
        <w:t>, siekiant teigiamų gydymo rezultatų (kad vaistai būtų priimami laiku ir tinkamai).</w:t>
      </w:r>
    </w:p>
    <w:p w14:paraId="094FA151" w14:textId="55E0ADF0" w:rsidR="00101E74" w:rsidRDefault="00765633" w:rsidP="00463B00">
      <w:pPr>
        <w:jc w:val="both"/>
      </w:pPr>
      <w:r>
        <w:t xml:space="preserve">    </w:t>
      </w:r>
      <w:r w:rsidR="00891557">
        <w:tab/>
      </w:r>
      <w:r w:rsidR="00101E74" w:rsidRPr="00D0770D">
        <w:t xml:space="preserve"> </w:t>
      </w:r>
    </w:p>
    <w:p w14:paraId="1A5F0250" w14:textId="77777777" w:rsidR="005E4165" w:rsidRPr="00C25BD0" w:rsidRDefault="00CE4261" w:rsidP="00A8644B">
      <w:pPr>
        <w:numPr>
          <w:ilvl w:val="0"/>
          <w:numId w:val="3"/>
        </w:numPr>
        <w:jc w:val="both"/>
        <w:rPr>
          <w:b/>
          <w:vanish/>
        </w:rPr>
      </w:pPr>
      <w:r w:rsidRPr="00C25BD0">
        <w:rPr>
          <w:b/>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507EA1AA" w14:textId="431DE180" w:rsidR="00017EC8" w:rsidRDefault="00327D6D" w:rsidP="00A8644B">
      <w:pPr>
        <w:tabs>
          <w:tab w:val="left" w:pos="900"/>
          <w:tab w:val="left" w:pos="1418"/>
        </w:tabs>
        <w:ind w:firstLine="851"/>
        <w:jc w:val="both"/>
      </w:pPr>
      <w:r w:rsidRPr="00C25BD0">
        <w:t>Vadovaujantis</w:t>
      </w:r>
      <w:r w:rsidR="00E421BD" w:rsidRPr="00C25BD0">
        <w:t xml:space="preserve"> </w:t>
      </w:r>
      <w:r w:rsidR="00A922A9">
        <w:t>Aprašo 3</w:t>
      </w:r>
      <w:r w:rsidR="00607E41">
        <w:t>5</w:t>
      </w:r>
      <w:r w:rsidR="00A922A9">
        <w:t xml:space="preserve"> punktu „</w:t>
      </w:r>
      <w:r w:rsidR="00017EC8" w:rsidRPr="00B01026">
        <w:t>Didžiausia galima projekto finansuojamoji dalis sudaro ne daugiau kaip 92,5 proc. visų tinkamų finansuoti projekto išlaidų, t. y. iš ES struktūrinių fondų ir Lietuvos Respublikos valstybės biudžeto lėšų skiriamas finansavimas negali viršyti 92,5 proc.</w:t>
      </w:r>
      <w:r w:rsidR="00017EC8">
        <w:t>“ ir 3</w:t>
      </w:r>
      <w:r w:rsidR="00607E41">
        <w:t>6</w:t>
      </w:r>
      <w:r w:rsidR="00017EC8">
        <w:t xml:space="preserve"> </w:t>
      </w:r>
      <w:r w:rsidR="00017EC8">
        <w:lastRenderedPageBreak/>
        <w:t>punktu</w:t>
      </w:r>
      <w:r w:rsidR="00017EC8" w:rsidRPr="00B01026">
        <w:t xml:space="preserve"> </w:t>
      </w:r>
      <w:r w:rsidR="00017EC8">
        <w:t>„</w:t>
      </w:r>
      <w:r w:rsidR="00017EC8" w:rsidRPr="00B01026">
        <w:t>Pareiškėjas privalo savo ir (arba) kitų šaltinių lėšomis prisidėti prie projekto finansavimo ne mažiau kaip 7,5 proc. visų tinkamų finansuoti projekto išlaidų.</w:t>
      </w:r>
      <w:r w:rsidR="00017EC8">
        <w:t>“</w:t>
      </w:r>
      <w:r w:rsidR="00017EC8" w:rsidRPr="00B01026">
        <w:t xml:space="preserve"> </w:t>
      </w:r>
    </w:p>
    <w:tbl>
      <w:tblPr>
        <w:tblW w:w="9209" w:type="dxa"/>
        <w:tblLook w:val="04A0" w:firstRow="1" w:lastRow="0" w:firstColumn="1" w:lastColumn="0" w:noHBand="0" w:noVBand="1"/>
      </w:tblPr>
      <w:tblGrid>
        <w:gridCol w:w="1254"/>
        <w:gridCol w:w="1497"/>
        <w:gridCol w:w="1163"/>
        <w:gridCol w:w="1893"/>
        <w:gridCol w:w="1701"/>
        <w:gridCol w:w="1701"/>
      </w:tblGrid>
      <w:tr w:rsidR="008429D8" w:rsidRPr="000872E3" w14:paraId="000270E3" w14:textId="77777777" w:rsidTr="006979CE">
        <w:trPr>
          <w:trHeight w:val="312"/>
        </w:trPr>
        <w:tc>
          <w:tcPr>
            <w:tcW w:w="9209" w:type="dxa"/>
            <w:gridSpan w:val="6"/>
            <w:tcBorders>
              <w:top w:val="single" w:sz="8" w:space="0" w:color="auto"/>
              <w:left w:val="single" w:sz="4" w:space="0" w:color="auto"/>
              <w:bottom w:val="single" w:sz="4" w:space="0" w:color="auto"/>
              <w:right w:val="single" w:sz="4" w:space="0" w:color="000000"/>
            </w:tcBorders>
            <w:shd w:val="clear" w:color="auto" w:fill="auto"/>
            <w:noWrap/>
            <w:hideMark/>
          </w:tcPr>
          <w:p w14:paraId="6FC1FC8C" w14:textId="77777777" w:rsidR="008429D8" w:rsidRPr="000872E3" w:rsidRDefault="008429D8" w:rsidP="006979CE">
            <w:pPr>
              <w:jc w:val="both"/>
            </w:pPr>
            <w:r w:rsidRPr="000872E3">
              <w:t>Lėšų poreikis ir finansavimo šaltiniai (Eur)</w:t>
            </w:r>
          </w:p>
        </w:tc>
      </w:tr>
      <w:tr w:rsidR="008429D8" w:rsidRPr="000872E3" w14:paraId="18342EEC" w14:textId="77777777" w:rsidTr="006979CE">
        <w:trPr>
          <w:trHeight w:val="577"/>
        </w:trPr>
        <w:tc>
          <w:tcPr>
            <w:tcW w:w="1254" w:type="dxa"/>
            <w:tcBorders>
              <w:top w:val="nil"/>
              <w:left w:val="single" w:sz="4" w:space="0" w:color="auto"/>
              <w:bottom w:val="single" w:sz="4" w:space="0" w:color="auto"/>
              <w:right w:val="single" w:sz="4" w:space="0" w:color="auto"/>
            </w:tcBorders>
            <w:shd w:val="clear" w:color="auto" w:fill="auto"/>
            <w:noWrap/>
            <w:hideMark/>
          </w:tcPr>
          <w:p w14:paraId="78B168D6" w14:textId="77777777" w:rsidR="008429D8" w:rsidRPr="000872E3" w:rsidRDefault="008429D8" w:rsidP="006979CE">
            <w:pPr>
              <w:jc w:val="both"/>
            </w:pPr>
            <w:r w:rsidRPr="000872E3">
              <w:t>Iš viso:</w:t>
            </w:r>
          </w:p>
        </w:tc>
        <w:tc>
          <w:tcPr>
            <w:tcW w:w="1497" w:type="dxa"/>
            <w:tcBorders>
              <w:top w:val="nil"/>
              <w:left w:val="nil"/>
              <w:bottom w:val="single" w:sz="4" w:space="0" w:color="auto"/>
              <w:right w:val="single" w:sz="4" w:space="0" w:color="auto"/>
            </w:tcBorders>
            <w:shd w:val="clear" w:color="auto" w:fill="auto"/>
            <w:hideMark/>
          </w:tcPr>
          <w:p w14:paraId="490FD8AC" w14:textId="77777777" w:rsidR="008429D8" w:rsidRPr="000872E3" w:rsidRDefault="008429D8" w:rsidP="006979CE">
            <w:pPr>
              <w:jc w:val="both"/>
            </w:pPr>
            <w:r w:rsidRPr="000872E3">
              <w:t>Savivaldybės biudžetas</w:t>
            </w:r>
          </w:p>
        </w:tc>
        <w:tc>
          <w:tcPr>
            <w:tcW w:w="1163" w:type="dxa"/>
            <w:tcBorders>
              <w:top w:val="nil"/>
              <w:left w:val="nil"/>
              <w:bottom w:val="single" w:sz="4" w:space="0" w:color="auto"/>
              <w:right w:val="single" w:sz="4" w:space="0" w:color="auto"/>
            </w:tcBorders>
            <w:shd w:val="clear" w:color="auto" w:fill="auto"/>
            <w:hideMark/>
          </w:tcPr>
          <w:p w14:paraId="7FF81AB8" w14:textId="77777777" w:rsidR="008429D8" w:rsidRPr="000872E3" w:rsidRDefault="008429D8" w:rsidP="006979CE">
            <w:pPr>
              <w:jc w:val="both"/>
            </w:pPr>
            <w:r w:rsidRPr="000872E3">
              <w:t>Valstybės biudžetas</w:t>
            </w:r>
          </w:p>
        </w:tc>
        <w:tc>
          <w:tcPr>
            <w:tcW w:w="1893" w:type="dxa"/>
            <w:tcBorders>
              <w:top w:val="nil"/>
              <w:left w:val="nil"/>
              <w:bottom w:val="single" w:sz="4" w:space="0" w:color="auto"/>
              <w:right w:val="single" w:sz="4" w:space="0" w:color="auto"/>
            </w:tcBorders>
            <w:shd w:val="clear" w:color="auto" w:fill="auto"/>
            <w:hideMark/>
          </w:tcPr>
          <w:p w14:paraId="6C25F5AF" w14:textId="77777777" w:rsidR="008429D8" w:rsidRPr="000872E3" w:rsidRDefault="008429D8" w:rsidP="006979CE">
            <w:pPr>
              <w:jc w:val="both"/>
            </w:pPr>
            <w:r w:rsidRPr="000872E3">
              <w:t>Privačios lėšos</w:t>
            </w:r>
          </w:p>
        </w:tc>
        <w:tc>
          <w:tcPr>
            <w:tcW w:w="1701" w:type="dxa"/>
            <w:tcBorders>
              <w:top w:val="nil"/>
              <w:left w:val="nil"/>
              <w:bottom w:val="single" w:sz="4" w:space="0" w:color="auto"/>
              <w:right w:val="single" w:sz="4" w:space="0" w:color="auto"/>
            </w:tcBorders>
            <w:shd w:val="clear" w:color="auto" w:fill="auto"/>
            <w:hideMark/>
          </w:tcPr>
          <w:p w14:paraId="074F29B2" w14:textId="77777777" w:rsidR="008429D8" w:rsidRPr="000872E3" w:rsidRDefault="008429D8" w:rsidP="006979CE">
            <w:pPr>
              <w:jc w:val="both"/>
            </w:pPr>
            <w:r w:rsidRPr="000872E3">
              <w:t>Kitos viešosios lėšos</w:t>
            </w:r>
          </w:p>
        </w:tc>
        <w:tc>
          <w:tcPr>
            <w:tcW w:w="1701" w:type="dxa"/>
            <w:tcBorders>
              <w:top w:val="nil"/>
              <w:left w:val="nil"/>
              <w:bottom w:val="single" w:sz="4" w:space="0" w:color="auto"/>
              <w:right w:val="single" w:sz="4" w:space="0" w:color="auto"/>
            </w:tcBorders>
            <w:shd w:val="clear" w:color="auto" w:fill="auto"/>
            <w:noWrap/>
            <w:hideMark/>
          </w:tcPr>
          <w:p w14:paraId="02FF5388" w14:textId="77777777" w:rsidR="008429D8" w:rsidRPr="000872E3" w:rsidRDefault="008429D8" w:rsidP="006979CE">
            <w:pPr>
              <w:jc w:val="both"/>
            </w:pPr>
            <w:r w:rsidRPr="000872E3">
              <w:t>ES lėšos</w:t>
            </w:r>
          </w:p>
        </w:tc>
      </w:tr>
      <w:tr w:rsidR="008429D8" w:rsidRPr="000872E3" w14:paraId="3756D5EF" w14:textId="77777777" w:rsidTr="006979CE">
        <w:trPr>
          <w:trHeight w:val="429"/>
        </w:trPr>
        <w:tc>
          <w:tcPr>
            <w:tcW w:w="1254" w:type="dxa"/>
            <w:tcBorders>
              <w:top w:val="nil"/>
              <w:left w:val="single" w:sz="4" w:space="0" w:color="auto"/>
              <w:bottom w:val="single" w:sz="4" w:space="0" w:color="auto"/>
              <w:right w:val="single" w:sz="4" w:space="0" w:color="auto"/>
            </w:tcBorders>
            <w:shd w:val="clear" w:color="auto" w:fill="auto"/>
            <w:noWrap/>
            <w:hideMark/>
          </w:tcPr>
          <w:p w14:paraId="24F8D527" w14:textId="77777777" w:rsidR="008429D8" w:rsidRPr="000872E3" w:rsidRDefault="008429D8" w:rsidP="006979CE">
            <w:pPr>
              <w:jc w:val="both"/>
            </w:pPr>
            <w:r w:rsidRPr="000872E3">
              <w:t>24 085,88</w:t>
            </w:r>
          </w:p>
        </w:tc>
        <w:tc>
          <w:tcPr>
            <w:tcW w:w="1497" w:type="dxa"/>
            <w:tcBorders>
              <w:top w:val="nil"/>
              <w:left w:val="nil"/>
              <w:bottom w:val="single" w:sz="4" w:space="0" w:color="auto"/>
              <w:right w:val="single" w:sz="4" w:space="0" w:color="auto"/>
            </w:tcBorders>
            <w:shd w:val="clear" w:color="auto" w:fill="auto"/>
            <w:noWrap/>
            <w:hideMark/>
          </w:tcPr>
          <w:p w14:paraId="7915F33C" w14:textId="77777777" w:rsidR="008429D8" w:rsidRPr="000872E3" w:rsidRDefault="008429D8" w:rsidP="006979CE">
            <w:pPr>
              <w:jc w:val="both"/>
            </w:pPr>
            <w:r w:rsidRPr="000872E3">
              <w:t>1 806,44</w:t>
            </w:r>
          </w:p>
        </w:tc>
        <w:tc>
          <w:tcPr>
            <w:tcW w:w="1163" w:type="dxa"/>
            <w:tcBorders>
              <w:top w:val="nil"/>
              <w:left w:val="nil"/>
              <w:bottom w:val="single" w:sz="4" w:space="0" w:color="auto"/>
              <w:right w:val="single" w:sz="4" w:space="0" w:color="auto"/>
            </w:tcBorders>
            <w:shd w:val="clear" w:color="auto" w:fill="auto"/>
            <w:noWrap/>
            <w:hideMark/>
          </w:tcPr>
          <w:p w14:paraId="5A213C3B" w14:textId="77777777" w:rsidR="008429D8" w:rsidRPr="000872E3" w:rsidRDefault="008429D8" w:rsidP="006979CE">
            <w:pPr>
              <w:jc w:val="both"/>
            </w:pPr>
            <w:r w:rsidRPr="000872E3">
              <w:t>1 806,44</w:t>
            </w:r>
          </w:p>
        </w:tc>
        <w:tc>
          <w:tcPr>
            <w:tcW w:w="1893" w:type="dxa"/>
            <w:tcBorders>
              <w:top w:val="nil"/>
              <w:left w:val="nil"/>
              <w:bottom w:val="single" w:sz="4" w:space="0" w:color="auto"/>
              <w:right w:val="single" w:sz="4" w:space="0" w:color="auto"/>
            </w:tcBorders>
            <w:shd w:val="clear" w:color="auto" w:fill="auto"/>
            <w:noWrap/>
            <w:hideMark/>
          </w:tcPr>
          <w:p w14:paraId="481091F4" w14:textId="77777777" w:rsidR="008429D8" w:rsidRPr="000872E3" w:rsidRDefault="008429D8" w:rsidP="006979CE">
            <w:pPr>
              <w:jc w:val="both"/>
            </w:pPr>
            <w:r w:rsidRPr="000872E3">
              <w:t> </w:t>
            </w:r>
            <w:r>
              <w:t>0,00</w:t>
            </w:r>
          </w:p>
        </w:tc>
        <w:tc>
          <w:tcPr>
            <w:tcW w:w="1701" w:type="dxa"/>
            <w:tcBorders>
              <w:top w:val="nil"/>
              <w:left w:val="nil"/>
              <w:bottom w:val="single" w:sz="4" w:space="0" w:color="auto"/>
              <w:right w:val="single" w:sz="4" w:space="0" w:color="auto"/>
            </w:tcBorders>
            <w:shd w:val="clear" w:color="auto" w:fill="auto"/>
            <w:noWrap/>
            <w:hideMark/>
          </w:tcPr>
          <w:p w14:paraId="3EBC1468" w14:textId="77777777" w:rsidR="008429D8" w:rsidRPr="000872E3" w:rsidRDefault="008429D8" w:rsidP="006979CE">
            <w:pPr>
              <w:jc w:val="both"/>
            </w:pPr>
            <w:r>
              <w:t>0,00</w:t>
            </w:r>
            <w:r w:rsidRPr="000872E3">
              <w:t> </w:t>
            </w:r>
          </w:p>
        </w:tc>
        <w:tc>
          <w:tcPr>
            <w:tcW w:w="1701" w:type="dxa"/>
            <w:tcBorders>
              <w:top w:val="nil"/>
              <w:left w:val="nil"/>
              <w:bottom w:val="single" w:sz="4" w:space="0" w:color="auto"/>
              <w:right w:val="single" w:sz="4" w:space="0" w:color="auto"/>
            </w:tcBorders>
            <w:shd w:val="clear" w:color="auto" w:fill="auto"/>
            <w:noWrap/>
            <w:hideMark/>
          </w:tcPr>
          <w:p w14:paraId="5067C0A8" w14:textId="77777777" w:rsidR="008429D8" w:rsidRPr="000872E3" w:rsidRDefault="008429D8" w:rsidP="006979CE">
            <w:pPr>
              <w:jc w:val="both"/>
            </w:pPr>
            <w:r w:rsidRPr="000872E3">
              <w:t>20 473,00</w:t>
            </w:r>
          </w:p>
        </w:tc>
      </w:tr>
    </w:tbl>
    <w:p w14:paraId="626DDD16" w14:textId="77777777" w:rsidR="008429D8" w:rsidRDefault="008429D8" w:rsidP="00A8644B">
      <w:pPr>
        <w:tabs>
          <w:tab w:val="left" w:pos="900"/>
          <w:tab w:val="left" w:pos="1418"/>
        </w:tabs>
        <w:ind w:firstLine="851"/>
        <w:jc w:val="both"/>
      </w:pPr>
    </w:p>
    <w:p w14:paraId="522F9A09" w14:textId="77777777" w:rsidR="00C25BD0" w:rsidRPr="00C25BD0" w:rsidRDefault="00CE4261" w:rsidP="00A8644B">
      <w:pPr>
        <w:numPr>
          <w:ilvl w:val="0"/>
          <w:numId w:val="3"/>
        </w:numPr>
        <w:jc w:val="both"/>
        <w:rPr>
          <w:b/>
        </w:rPr>
      </w:pPr>
      <w:r w:rsidRPr="00C25BD0">
        <w:rPr>
          <w:b/>
        </w:rPr>
        <w:t xml:space="preserve">Galimos neigiamos pasekmės priėmus sprendimą, kokių priemonių reikėtų imtis, kad tokių pasekmių būtų išvengta: </w:t>
      </w:r>
    </w:p>
    <w:p w14:paraId="073533B9" w14:textId="771C148A" w:rsidR="00CE4261" w:rsidRDefault="008A4728" w:rsidP="003C7E4E">
      <w:pPr>
        <w:ind w:firstLine="720"/>
        <w:jc w:val="both"/>
      </w:pPr>
      <w:r w:rsidRPr="00C25BD0">
        <w:t>Nenumatomos</w:t>
      </w:r>
    </w:p>
    <w:p w14:paraId="0B4CDA10" w14:textId="77777777" w:rsidR="003C7E4E" w:rsidRPr="00C25BD0" w:rsidRDefault="003C7E4E" w:rsidP="003C7E4E">
      <w:pPr>
        <w:ind w:firstLine="720"/>
        <w:jc w:val="both"/>
      </w:pPr>
    </w:p>
    <w:p w14:paraId="1F0DFBA1" w14:textId="77777777" w:rsidR="00C25BD0" w:rsidRPr="00C25BD0" w:rsidRDefault="00CE4261" w:rsidP="00A8644B">
      <w:pPr>
        <w:numPr>
          <w:ilvl w:val="0"/>
          <w:numId w:val="3"/>
        </w:numPr>
        <w:jc w:val="both"/>
      </w:pPr>
      <w:r w:rsidRPr="00C25BD0">
        <w:rPr>
          <w:b/>
        </w:rPr>
        <w:t xml:space="preserve">Kieno iniciatyva parengtas sprendimo projektas: </w:t>
      </w:r>
    </w:p>
    <w:p w14:paraId="767B0489" w14:textId="55567381" w:rsidR="00CE4261" w:rsidRDefault="003C7E4E" w:rsidP="00A8644B">
      <w:pPr>
        <w:tabs>
          <w:tab w:val="left" w:pos="0"/>
        </w:tabs>
        <w:jc w:val="both"/>
      </w:pPr>
      <w:r>
        <w:t xml:space="preserve">            </w:t>
      </w:r>
      <w:r w:rsidR="008A4728" w:rsidRPr="00C25BD0">
        <w:t>Panevėžio miesto savivaldybės administracijos</w:t>
      </w:r>
      <w:r w:rsidR="00F436F6" w:rsidRPr="00C25BD0">
        <w:t>.</w:t>
      </w:r>
    </w:p>
    <w:p w14:paraId="1459450E" w14:textId="77777777" w:rsidR="003C7E4E" w:rsidRPr="00C25BD0" w:rsidRDefault="003C7E4E" w:rsidP="00A8644B">
      <w:pPr>
        <w:tabs>
          <w:tab w:val="left" w:pos="0"/>
        </w:tabs>
        <w:jc w:val="both"/>
      </w:pPr>
    </w:p>
    <w:p w14:paraId="6869ECAF" w14:textId="77777777" w:rsidR="00C25BD0" w:rsidRPr="00C25BD0" w:rsidRDefault="00CE4261" w:rsidP="00A8644B">
      <w:pPr>
        <w:numPr>
          <w:ilvl w:val="0"/>
          <w:numId w:val="3"/>
        </w:numPr>
        <w:jc w:val="both"/>
        <w:rPr>
          <w:b/>
        </w:rPr>
      </w:pPr>
      <w:r w:rsidRPr="00C25BD0">
        <w:rPr>
          <w:b/>
        </w:rPr>
        <w:t xml:space="preserve">Sprendimas suderintas: </w:t>
      </w:r>
    </w:p>
    <w:p w14:paraId="17874733" w14:textId="1D252298" w:rsidR="00564EC5" w:rsidRDefault="004E1C8C" w:rsidP="004E1C8C">
      <w:pPr>
        <w:tabs>
          <w:tab w:val="left" w:pos="6379"/>
        </w:tabs>
        <w:jc w:val="both"/>
      </w:pPr>
      <w:r>
        <w:t xml:space="preserve">            </w:t>
      </w:r>
      <w:r w:rsidR="00CE4261" w:rsidRPr="00C25BD0">
        <w:t xml:space="preserve">su </w:t>
      </w:r>
      <w:r w:rsidR="00564EC5" w:rsidRPr="00B8132B">
        <w:t>Mero pavaduotoj</w:t>
      </w:r>
      <w:r w:rsidR="009F58CB">
        <w:t xml:space="preserve">u </w:t>
      </w:r>
      <w:r w:rsidR="00564EC5" w:rsidRPr="00B8132B">
        <w:t>A</w:t>
      </w:r>
      <w:r w:rsidR="00564EC5">
        <w:t>leks</w:t>
      </w:r>
      <w:r w:rsidR="009F58CB">
        <w:t>u</w:t>
      </w:r>
      <w:r w:rsidR="00564EC5" w:rsidRPr="00B8132B">
        <w:t xml:space="preserve"> Varna</w:t>
      </w:r>
      <w:r w:rsidR="009F58CB">
        <w:t xml:space="preserve">,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t xml:space="preserve">   </w:t>
      </w:r>
      <w:r w:rsidR="00564EC5" w:rsidRPr="00E97AB1">
        <w:t>Indr</w:t>
      </w:r>
      <w:r w:rsidR="009F58CB">
        <w:t xml:space="preserve">e Kisiele, </w:t>
      </w:r>
      <w:r w:rsidR="00564EC5">
        <w:t>Administracijos direktoriu</w:t>
      </w:r>
      <w:r w:rsidR="009F58CB">
        <w:t xml:space="preserve">mi </w:t>
      </w:r>
      <w:r w:rsidR="00564EC5">
        <w:t>Rimant</w:t>
      </w:r>
      <w:r w:rsidR="009F58CB">
        <w:t>u</w:t>
      </w:r>
      <w:r w:rsidR="00564EC5">
        <w:t xml:space="preserve"> Pauža</w:t>
      </w:r>
      <w:r w:rsidR="009F58CB">
        <w:t>,</w:t>
      </w:r>
      <w:r w:rsidR="000420EE">
        <w:t xml:space="preserve"> Administracijos direktoriaus pavaduotoja Sandra Jakštiene,</w:t>
      </w:r>
      <w:r w:rsidR="009F58CB">
        <w:t xml:space="preserve"> </w:t>
      </w:r>
      <w:r w:rsidR="00564EC5" w:rsidRPr="006F2A57">
        <w:t>Strateginio planavimo, investicijų ir biudžeto skyriaus vedėj</w:t>
      </w:r>
      <w:r w:rsidR="00564EC5">
        <w:t>a</w:t>
      </w:r>
      <w:r w:rsidR="009F58CB">
        <w:t xml:space="preserve"> </w:t>
      </w:r>
      <w:r w:rsidR="00564EC5" w:rsidRPr="006F2A57">
        <w:t>Audron</w:t>
      </w:r>
      <w:r w:rsidR="009F58CB">
        <w:t>e</w:t>
      </w:r>
      <w:r w:rsidR="00564EC5" w:rsidRPr="006F2A57">
        <w:t xml:space="preserve"> Meškauskien</w:t>
      </w:r>
      <w:r w:rsidR="009F58CB">
        <w:t xml:space="preserve">e, </w:t>
      </w:r>
      <w:r w:rsidR="00564EC5" w:rsidRPr="00D461BF">
        <w:t>Teisės ir viešosios tvarkos skyriaus</w:t>
      </w:r>
      <w:r w:rsidR="009F58CB">
        <w:t xml:space="preserve"> </w:t>
      </w:r>
      <w:r w:rsidR="00564EC5" w:rsidRPr="00D461BF">
        <w:t>vyriausi</w:t>
      </w:r>
      <w:r w:rsidR="009F58CB">
        <w:t>ą</w:t>
      </w:r>
      <w:r w:rsidR="00564EC5" w:rsidRPr="00D461BF">
        <w:t>j</w:t>
      </w:r>
      <w:r w:rsidR="009F58CB">
        <w:t>a</w:t>
      </w:r>
      <w:r w:rsidR="00564EC5" w:rsidRPr="00D461BF">
        <w:t xml:space="preserve"> specialist</w:t>
      </w:r>
      <w:r w:rsidR="009F58CB">
        <w:t xml:space="preserve">e </w:t>
      </w:r>
      <w:r w:rsidR="006207FA">
        <w:t>Karolina Grubinskiene</w:t>
      </w:r>
      <w:r w:rsidR="009F58CB">
        <w:t xml:space="preserve">, </w:t>
      </w:r>
      <w:r w:rsidR="00564EC5" w:rsidRPr="006F2A57">
        <w:t>Dokumentų valdymo poskyrio vyr. specialist</w:t>
      </w:r>
      <w:r w:rsidR="009F58CB">
        <w:t xml:space="preserve">e </w:t>
      </w:r>
      <w:r w:rsidR="00564EC5" w:rsidRPr="006F2A57">
        <w:t xml:space="preserve"> </w:t>
      </w:r>
      <w:r w:rsidR="009F58CB">
        <w:t>Loreta Vasilevičiene.</w:t>
      </w:r>
    </w:p>
    <w:p w14:paraId="00EDCEF8" w14:textId="77777777" w:rsidR="00E56458" w:rsidRDefault="00E56458" w:rsidP="004E1C8C">
      <w:pPr>
        <w:spacing w:line="360" w:lineRule="auto"/>
        <w:jc w:val="both"/>
      </w:pPr>
    </w:p>
    <w:p w14:paraId="5C234113" w14:textId="25131D02" w:rsidR="00501AD3" w:rsidRDefault="00E01517" w:rsidP="00D0570A">
      <w:pPr>
        <w:tabs>
          <w:tab w:val="left" w:pos="7230"/>
        </w:tabs>
        <w:spacing w:line="360" w:lineRule="auto"/>
        <w:jc w:val="both"/>
      </w:pPr>
      <w:r w:rsidRPr="00C25BD0">
        <w:t xml:space="preserve">Investicijų </w:t>
      </w:r>
      <w:r w:rsidR="00564EC5">
        <w:t>projektų poskyrio vedėja</w:t>
      </w:r>
      <w:bookmarkStart w:id="0" w:name="_GoBack"/>
      <w:bookmarkEnd w:id="0"/>
      <w:r w:rsidR="00C25BD0">
        <w:tab/>
      </w:r>
      <w:r w:rsidR="00564EC5">
        <w:t>Lina Bareikienė</w:t>
      </w:r>
    </w:p>
    <w:p w14:paraId="694C8EE5" w14:textId="77777777" w:rsidR="004E1C8C" w:rsidRDefault="004E1C8C" w:rsidP="00D0570A">
      <w:pPr>
        <w:tabs>
          <w:tab w:val="left" w:pos="7230"/>
        </w:tabs>
        <w:spacing w:line="360" w:lineRule="auto"/>
        <w:jc w:val="both"/>
      </w:pPr>
    </w:p>
    <w:p w14:paraId="2DBF71CF" w14:textId="6923A43A" w:rsidR="00794076" w:rsidRDefault="00794076" w:rsidP="00794076">
      <w:pPr>
        <w:tabs>
          <w:tab w:val="left" w:pos="7230"/>
        </w:tabs>
        <w:spacing w:line="276" w:lineRule="auto"/>
        <w:jc w:val="both"/>
      </w:pPr>
      <w:r>
        <w:t>Investicijų projektų poskyrio vyriausioji</w:t>
      </w:r>
    </w:p>
    <w:p w14:paraId="17602F3F" w14:textId="3C299AD3" w:rsidR="00794076" w:rsidRDefault="00794076" w:rsidP="00D0570A">
      <w:pPr>
        <w:tabs>
          <w:tab w:val="left" w:pos="7230"/>
        </w:tabs>
        <w:spacing w:line="360" w:lineRule="auto"/>
        <w:jc w:val="both"/>
      </w:pPr>
      <w:r>
        <w:t>investicijų projektų specialistė</w:t>
      </w:r>
      <w:r>
        <w:tab/>
        <w:t>Jolanta Rimdžiūtė</w:t>
      </w:r>
    </w:p>
    <w:p w14:paraId="39F67DC2" w14:textId="77777777" w:rsidR="00794076" w:rsidRDefault="00794076" w:rsidP="00D0570A">
      <w:pPr>
        <w:tabs>
          <w:tab w:val="left" w:pos="7230"/>
        </w:tabs>
        <w:spacing w:line="360" w:lineRule="auto"/>
        <w:jc w:val="both"/>
      </w:pPr>
    </w:p>
    <w:p w14:paraId="298E2F9F" w14:textId="4E64C04F" w:rsidR="004376BC" w:rsidRDefault="004376BC" w:rsidP="00D0570A">
      <w:pPr>
        <w:tabs>
          <w:tab w:val="left" w:pos="7230"/>
        </w:tabs>
        <w:spacing w:line="360" w:lineRule="auto"/>
        <w:jc w:val="both"/>
      </w:pPr>
    </w:p>
    <w:p w14:paraId="0A32867F" w14:textId="77777777" w:rsidR="004376BC" w:rsidRPr="00D0570A" w:rsidRDefault="004376BC" w:rsidP="00D0570A">
      <w:pPr>
        <w:tabs>
          <w:tab w:val="left" w:pos="7230"/>
        </w:tabs>
        <w:spacing w:line="360" w:lineRule="auto"/>
        <w:jc w:val="both"/>
      </w:pPr>
    </w:p>
    <w:sectPr w:rsidR="004376BC"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BD277" w14:textId="77777777" w:rsidR="007E6E5F" w:rsidRDefault="007E6E5F" w:rsidP="00D610C3">
      <w:r>
        <w:separator/>
      </w:r>
    </w:p>
  </w:endnote>
  <w:endnote w:type="continuationSeparator" w:id="0">
    <w:p w14:paraId="6CDC5195" w14:textId="77777777" w:rsidR="007E6E5F" w:rsidRDefault="007E6E5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A16ED" w14:textId="77777777" w:rsidR="007E6E5F" w:rsidRDefault="007E6E5F" w:rsidP="00D610C3">
      <w:r>
        <w:separator/>
      </w:r>
    </w:p>
  </w:footnote>
  <w:footnote w:type="continuationSeparator" w:id="0">
    <w:p w14:paraId="76D76E4A" w14:textId="77777777" w:rsidR="007E6E5F" w:rsidRDefault="007E6E5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A93440">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9"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5"/>
  </w:num>
  <w:num w:numId="3">
    <w:abstractNumId w:val="3"/>
  </w:num>
  <w:num w:numId="4">
    <w:abstractNumId w:val="12"/>
  </w:num>
  <w:num w:numId="5">
    <w:abstractNumId w:val="14"/>
  </w:num>
  <w:num w:numId="6">
    <w:abstractNumId w:val="11"/>
  </w:num>
  <w:num w:numId="7">
    <w:abstractNumId w:val="10"/>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2"/>
  </w:num>
  <w:num w:numId="13">
    <w:abstractNumId w:val="4"/>
  </w:num>
  <w:num w:numId="14">
    <w:abstractNumId w:val="5"/>
  </w:num>
  <w:num w:numId="15">
    <w:abstractNumId w:val="1"/>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114DD"/>
    <w:rsid w:val="00012A0B"/>
    <w:rsid w:val="00012D81"/>
    <w:rsid w:val="00017EC8"/>
    <w:rsid w:val="00023946"/>
    <w:rsid w:val="00035DF8"/>
    <w:rsid w:val="000420EE"/>
    <w:rsid w:val="00046125"/>
    <w:rsid w:val="00050CB3"/>
    <w:rsid w:val="00050D33"/>
    <w:rsid w:val="00084013"/>
    <w:rsid w:val="00086272"/>
    <w:rsid w:val="000B0F29"/>
    <w:rsid w:val="000D1CCA"/>
    <w:rsid w:val="000E6FCA"/>
    <w:rsid w:val="000F142F"/>
    <w:rsid w:val="000F6EAA"/>
    <w:rsid w:val="00101E74"/>
    <w:rsid w:val="00101EF7"/>
    <w:rsid w:val="00105414"/>
    <w:rsid w:val="00123343"/>
    <w:rsid w:val="00134410"/>
    <w:rsid w:val="00144285"/>
    <w:rsid w:val="00152580"/>
    <w:rsid w:val="00153D8F"/>
    <w:rsid w:val="00156131"/>
    <w:rsid w:val="00170D73"/>
    <w:rsid w:val="00173464"/>
    <w:rsid w:val="0019105B"/>
    <w:rsid w:val="00194B34"/>
    <w:rsid w:val="001A31DD"/>
    <w:rsid w:val="001A59CF"/>
    <w:rsid w:val="001A6051"/>
    <w:rsid w:val="001B0635"/>
    <w:rsid w:val="001B0807"/>
    <w:rsid w:val="001B1CD5"/>
    <w:rsid w:val="001B2A5E"/>
    <w:rsid w:val="001C14BE"/>
    <w:rsid w:val="001C60B4"/>
    <w:rsid w:val="001E7128"/>
    <w:rsid w:val="001E76F5"/>
    <w:rsid w:val="001F0D4E"/>
    <w:rsid w:val="001F0F56"/>
    <w:rsid w:val="0021352E"/>
    <w:rsid w:val="002316BC"/>
    <w:rsid w:val="00237E62"/>
    <w:rsid w:val="00244250"/>
    <w:rsid w:val="0026426D"/>
    <w:rsid w:val="00264EEB"/>
    <w:rsid w:val="002826D6"/>
    <w:rsid w:val="00292DCE"/>
    <w:rsid w:val="0029507D"/>
    <w:rsid w:val="002A1F66"/>
    <w:rsid w:val="002A2E19"/>
    <w:rsid w:val="002A40B1"/>
    <w:rsid w:val="002B5A69"/>
    <w:rsid w:val="002C25F0"/>
    <w:rsid w:val="002C333C"/>
    <w:rsid w:val="002D1241"/>
    <w:rsid w:val="002D5815"/>
    <w:rsid w:val="002E30B2"/>
    <w:rsid w:val="002E51AC"/>
    <w:rsid w:val="002F0566"/>
    <w:rsid w:val="002F52D8"/>
    <w:rsid w:val="00311EF9"/>
    <w:rsid w:val="00315D85"/>
    <w:rsid w:val="00327D6D"/>
    <w:rsid w:val="00341BA1"/>
    <w:rsid w:val="0034681C"/>
    <w:rsid w:val="00355576"/>
    <w:rsid w:val="00356B27"/>
    <w:rsid w:val="00357FA3"/>
    <w:rsid w:val="003647E6"/>
    <w:rsid w:val="003666E4"/>
    <w:rsid w:val="00384732"/>
    <w:rsid w:val="003A43A7"/>
    <w:rsid w:val="003C4CFD"/>
    <w:rsid w:val="003C7E4E"/>
    <w:rsid w:val="003E056D"/>
    <w:rsid w:val="0040182A"/>
    <w:rsid w:val="004127D6"/>
    <w:rsid w:val="004376BC"/>
    <w:rsid w:val="00451718"/>
    <w:rsid w:val="00463B00"/>
    <w:rsid w:val="0046421B"/>
    <w:rsid w:val="004717F3"/>
    <w:rsid w:val="004826A2"/>
    <w:rsid w:val="004D6061"/>
    <w:rsid w:val="004D7DA8"/>
    <w:rsid w:val="004E19F6"/>
    <w:rsid w:val="004E1C8C"/>
    <w:rsid w:val="004F2D29"/>
    <w:rsid w:val="004F5187"/>
    <w:rsid w:val="00501AD3"/>
    <w:rsid w:val="00533821"/>
    <w:rsid w:val="00542F1D"/>
    <w:rsid w:val="00556676"/>
    <w:rsid w:val="00564EC5"/>
    <w:rsid w:val="00580FF4"/>
    <w:rsid w:val="005817D7"/>
    <w:rsid w:val="005821EF"/>
    <w:rsid w:val="005865D5"/>
    <w:rsid w:val="005978A6"/>
    <w:rsid w:val="005A3F6A"/>
    <w:rsid w:val="005B7CC3"/>
    <w:rsid w:val="005E4165"/>
    <w:rsid w:val="005E51C7"/>
    <w:rsid w:val="005F4AB2"/>
    <w:rsid w:val="00602729"/>
    <w:rsid w:val="00604B2F"/>
    <w:rsid w:val="00607A29"/>
    <w:rsid w:val="00607E41"/>
    <w:rsid w:val="00616A7A"/>
    <w:rsid w:val="006207FA"/>
    <w:rsid w:val="00627AD4"/>
    <w:rsid w:val="00647C0A"/>
    <w:rsid w:val="00651020"/>
    <w:rsid w:val="006633D5"/>
    <w:rsid w:val="00673E98"/>
    <w:rsid w:val="006748DD"/>
    <w:rsid w:val="00675968"/>
    <w:rsid w:val="006808AA"/>
    <w:rsid w:val="006A0294"/>
    <w:rsid w:val="006A3F4E"/>
    <w:rsid w:val="006D1BEC"/>
    <w:rsid w:val="006D520F"/>
    <w:rsid w:val="006D7E98"/>
    <w:rsid w:val="007010AF"/>
    <w:rsid w:val="00701DF5"/>
    <w:rsid w:val="00710A07"/>
    <w:rsid w:val="00714A9E"/>
    <w:rsid w:val="007258D5"/>
    <w:rsid w:val="00761009"/>
    <w:rsid w:val="00765633"/>
    <w:rsid w:val="00776D79"/>
    <w:rsid w:val="007837F0"/>
    <w:rsid w:val="00783CAF"/>
    <w:rsid w:val="00794076"/>
    <w:rsid w:val="007C02FB"/>
    <w:rsid w:val="007D7FB0"/>
    <w:rsid w:val="007E4FB4"/>
    <w:rsid w:val="007E6E5F"/>
    <w:rsid w:val="0080253F"/>
    <w:rsid w:val="00802F82"/>
    <w:rsid w:val="008217A7"/>
    <w:rsid w:val="00831518"/>
    <w:rsid w:val="008407DC"/>
    <w:rsid w:val="008429D8"/>
    <w:rsid w:val="00843093"/>
    <w:rsid w:val="00873C6A"/>
    <w:rsid w:val="00876427"/>
    <w:rsid w:val="00885D3F"/>
    <w:rsid w:val="00891557"/>
    <w:rsid w:val="00891F8B"/>
    <w:rsid w:val="008978F1"/>
    <w:rsid w:val="008A4728"/>
    <w:rsid w:val="008C7A8F"/>
    <w:rsid w:val="008D65D6"/>
    <w:rsid w:val="008F0D9D"/>
    <w:rsid w:val="008F26CC"/>
    <w:rsid w:val="008F58C3"/>
    <w:rsid w:val="009104ED"/>
    <w:rsid w:val="00915CAB"/>
    <w:rsid w:val="00916F0F"/>
    <w:rsid w:val="00924E14"/>
    <w:rsid w:val="009268AA"/>
    <w:rsid w:val="00942D73"/>
    <w:rsid w:val="0095798B"/>
    <w:rsid w:val="00962277"/>
    <w:rsid w:val="00976D44"/>
    <w:rsid w:val="00991168"/>
    <w:rsid w:val="009A096E"/>
    <w:rsid w:val="009A5834"/>
    <w:rsid w:val="009A5E73"/>
    <w:rsid w:val="009B127A"/>
    <w:rsid w:val="009B2D57"/>
    <w:rsid w:val="009B3FF5"/>
    <w:rsid w:val="009B5DBB"/>
    <w:rsid w:val="009D49E2"/>
    <w:rsid w:val="009F05AC"/>
    <w:rsid w:val="009F58CB"/>
    <w:rsid w:val="009F65EA"/>
    <w:rsid w:val="009F706A"/>
    <w:rsid w:val="00A043FD"/>
    <w:rsid w:val="00A10F3E"/>
    <w:rsid w:val="00A1375B"/>
    <w:rsid w:val="00A359A6"/>
    <w:rsid w:val="00A359FC"/>
    <w:rsid w:val="00A42799"/>
    <w:rsid w:val="00A57B12"/>
    <w:rsid w:val="00A77EA0"/>
    <w:rsid w:val="00A8179F"/>
    <w:rsid w:val="00A83A96"/>
    <w:rsid w:val="00A84DD9"/>
    <w:rsid w:val="00A8644B"/>
    <w:rsid w:val="00A922A9"/>
    <w:rsid w:val="00A93440"/>
    <w:rsid w:val="00AB18B3"/>
    <w:rsid w:val="00AB1A7D"/>
    <w:rsid w:val="00AB4B05"/>
    <w:rsid w:val="00AC1759"/>
    <w:rsid w:val="00AC740E"/>
    <w:rsid w:val="00AD7EB7"/>
    <w:rsid w:val="00AE272D"/>
    <w:rsid w:val="00AE2B8C"/>
    <w:rsid w:val="00AE7793"/>
    <w:rsid w:val="00AF352B"/>
    <w:rsid w:val="00AF3C23"/>
    <w:rsid w:val="00B0063E"/>
    <w:rsid w:val="00B0596B"/>
    <w:rsid w:val="00B12A30"/>
    <w:rsid w:val="00B272B2"/>
    <w:rsid w:val="00B31656"/>
    <w:rsid w:val="00B353C2"/>
    <w:rsid w:val="00B40FB8"/>
    <w:rsid w:val="00B500B7"/>
    <w:rsid w:val="00B64AE4"/>
    <w:rsid w:val="00B679D1"/>
    <w:rsid w:val="00B7566C"/>
    <w:rsid w:val="00B7592A"/>
    <w:rsid w:val="00BD0DD2"/>
    <w:rsid w:val="00BE171C"/>
    <w:rsid w:val="00BF4BB8"/>
    <w:rsid w:val="00BF5709"/>
    <w:rsid w:val="00BF69E0"/>
    <w:rsid w:val="00C22CD9"/>
    <w:rsid w:val="00C23621"/>
    <w:rsid w:val="00C25BD0"/>
    <w:rsid w:val="00C26702"/>
    <w:rsid w:val="00C46D3D"/>
    <w:rsid w:val="00C526B7"/>
    <w:rsid w:val="00C54354"/>
    <w:rsid w:val="00C56D5C"/>
    <w:rsid w:val="00C60A01"/>
    <w:rsid w:val="00C64801"/>
    <w:rsid w:val="00C8681E"/>
    <w:rsid w:val="00C96D4D"/>
    <w:rsid w:val="00CA23AE"/>
    <w:rsid w:val="00CA4AFC"/>
    <w:rsid w:val="00CA7E83"/>
    <w:rsid w:val="00CB45FD"/>
    <w:rsid w:val="00CC063E"/>
    <w:rsid w:val="00CC6D07"/>
    <w:rsid w:val="00CC7B37"/>
    <w:rsid w:val="00CE4261"/>
    <w:rsid w:val="00CF6FD9"/>
    <w:rsid w:val="00D019E3"/>
    <w:rsid w:val="00D02330"/>
    <w:rsid w:val="00D04B9C"/>
    <w:rsid w:val="00D0570A"/>
    <w:rsid w:val="00D0770D"/>
    <w:rsid w:val="00D07D53"/>
    <w:rsid w:val="00D13C1B"/>
    <w:rsid w:val="00D14B5D"/>
    <w:rsid w:val="00D218BD"/>
    <w:rsid w:val="00D24BC8"/>
    <w:rsid w:val="00D458F0"/>
    <w:rsid w:val="00D55973"/>
    <w:rsid w:val="00D610C3"/>
    <w:rsid w:val="00D72E08"/>
    <w:rsid w:val="00D91DC5"/>
    <w:rsid w:val="00DC1ACF"/>
    <w:rsid w:val="00DC7AAB"/>
    <w:rsid w:val="00DE52CA"/>
    <w:rsid w:val="00DE774C"/>
    <w:rsid w:val="00E01517"/>
    <w:rsid w:val="00E142DD"/>
    <w:rsid w:val="00E14F26"/>
    <w:rsid w:val="00E14F5A"/>
    <w:rsid w:val="00E30C40"/>
    <w:rsid w:val="00E34D0F"/>
    <w:rsid w:val="00E421BD"/>
    <w:rsid w:val="00E4772D"/>
    <w:rsid w:val="00E56458"/>
    <w:rsid w:val="00E600EB"/>
    <w:rsid w:val="00E6080C"/>
    <w:rsid w:val="00E63016"/>
    <w:rsid w:val="00E7201B"/>
    <w:rsid w:val="00E77D95"/>
    <w:rsid w:val="00E966EA"/>
    <w:rsid w:val="00EB0BEF"/>
    <w:rsid w:val="00EB65FA"/>
    <w:rsid w:val="00EC373D"/>
    <w:rsid w:val="00EC4035"/>
    <w:rsid w:val="00ED5674"/>
    <w:rsid w:val="00EE61B4"/>
    <w:rsid w:val="00EF1E80"/>
    <w:rsid w:val="00F16EA1"/>
    <w:rsid w:val="00F20CFE"/>
    <w:rsid w:val="00F24CDA"/>
    <w:rsid w:val="00F2547C"/>
    <w:rsid w:val="00F436F6"/>
    <w:rsid w:val="00F5430F"/>
    <w:rsid w:val="00F73A98"/>
    <w:rsid w:val="00F74901"/>
    <w:rsid w:val="00F8746D"/>
    <w:rsid w:val="00F87782"/>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C08A-5125-46EB-B5CC-B39CDB07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5624</Words>
  <Characters>3207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2</cp:revision>
  <cp:lastPrinted>2018-02-02T09:14:00Z</cp:lastPrinted>
  <dcterms:created xsi:type="dcterms:W3CDTF">2018-02-02T09:16:00Z</dcterms:created>
  <dcterms:modified xsi:type="dcterms:W3CDTF">2018-02-02T09:16:00Z</dcterms:modified>
</cp:coreProperties>
</file>