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68E7D" w14:textId="77777777" w:rsidR="001465CF" w:rsidRDefault="001465CF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  <w:bookmarkStart w:id="0" w:name="_GoBack"/>
      <w:bookmarkEnd w:id="0"/>
    </w:p>
    <w:p w14:paraId="10868E7E" w14:textId="77777777" w:rsidR="001465CF" w:rsidRDefault="00855364">
      <w:pPr>
        <w:jc w:val="center"/>
        <w:rPr>
          <w:caps/>
          <w:sz w:val="22"/>
        </w:rPr>
      </w:pPr>
      <w:r>
        <w:rPr>
          <w:caps/>
          <w:noProof/>
          <w:lang w:eastAsia="lt-LT"/>
        </w:rPr>
        <w:drawing>
          <wp:inline distT="0" distB="0" distL="0" distR="0" wp14:anchorId="10868FE7" wp14:editId="10868FE8">
            <wp:extent cx="596265" cy="699770"/>
            <wp:effectExtent l="0" t="0" r="0" b="5080"/>
            <wp:docPr id="1" name="Paveikslėlis 1" descr="C:\Documents and Settings\lipetr\My Documents\Vyt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petr\My Documents\Vytis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68E7F" w14:textId="77777777" w:rsidR="001465CF" w:rsidRDefault="001465CF">
      <w:pPr>
        <w:jc w:val="center"/>
        <w:rPr>
          <w:caps/>
          <w:sz w:val="12"/>
          <w:szCs w:val="12"/>
        </w:rPr>
      </w:pPr>
    </w:p>
    <w:p w14:paraId="10868E80" w14:textId="77777777" w:rsidR="001465CF" w:rsidRDefault="00855364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10868E81" w14:textId="77777777" w:rsidR="001465CF" w:rsidRDefault="00855364">
      <w:pPr>
        <w:jc w:val="center"/>
        <w:rPr>
          <w:b/>
          <w:caps/>
        </w:rPr>
      </w:pPr>
      <w:r>
        <w:rPr>
          <w:b/>
          <w:caps/>
        </w:rPr>
        <w:t>VALSTYBĖS IR SAVIVALDYBIŲ ĮSTAIGŲ DARBUOTOJŲ DARBO APMOKĖJIMO ĮSTATYMO NR. XIII-198 2, 3, 4 IR 5 PRIEDŲ PAKEITIMO</w:t>
      </w:r>
    </w:p>
    <w:p w14:paraId="10868E82" w14:textId="77777777" w:rsidR="001465CF" w:rsidRDefault="00855364">
      <w:pPr>
        <w:jc w:val="center"/>
        <w:rPr>
          <w:caps/>
        </w:rPr>
      </w:pPr>
      <w:r>
        <w:rPr>
          <w:b/>
          <w:caps/>
        </w:rPr>
        <w:t>ĮSTATYMAS</w:t>
      </w:r>
    </w:p>
    <w:p w14:paraId="10868E83" w14:textId="77777777" w:rsidR="001465CF" w:rsidRDefault="001465CF">
      <w:pPr>
        <w:jc w:val="center"/>
        <w:rPr>
          <w:b/>
          <w:caps/>
        </w:rPr>
      </w:pPr>
    </w:p>
    <w:p w14:paraId="10868E84" w14:textId="77777777" w:rsidR="001465CF" w:rsidRDefault="00855364">
      <w:pPr>
        <w:jc w:val="center"/>
        <w:rPr>
          <w:szCs w:val="24"/>
        </w:rPr>
      </w:pPr>
      <w:r>
        <w:rPr>
          <w:szCs w:val="24"/>
          <w:lang w:val="en-US"/>
        </w:rPr>
        <w:t>2017</w:t>
      </w:r>
      <w:r>
        <w:rPr>
          <w:szCs w:val="24"/>
        </w:rPr>
        <w:t xml:space="preserve"> m. </w:t>
      </w:r>
      <w:proofErr w:type="spellStart"/>
      <w:r>
        <w:rPr>
          <w:szCs w:val="24"/>
          <w:lang w:val="en-US"/>
        </w:rPr>
        <w:t>lapkričio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16</w:t>
      </w:r>
      <w:r>
        <w:rPr>
          <w:szCs w:val="24"/>
        </w:rPr>
        <w:t xml:space="preserve"> d. Nr. </w:t>
      </w:r>
      <w:r>
        <w:rPr>
          <w:szCs w:val="24"/>
          <w:lang w:val="en-US"/>
        </w:rPr>
        <w:t>XIII-745</w:t>
      </w:r>
    </w:p>
    <w:p w14:paraId="10868E85" w14:textId="77777777" w:rsidR="001465CF" w:rsidRDefault="00855364">
      <w:pPr>
        <w:jc w:val="center"/>
        <w:rPr>
          <w:szCs w:val="24"/>
        </w:rPr>
      </w:pPr>
      <w:r>
        <w:rPr>
          <w:szCs w:val="24"/>
        </w:rPr>
        <w:t>Vilnius</w:t>
      </w:r>
    </w:p>
    <w:p w14:paraId="10868E86" w14:textId="77777777" w:rsidR="001465CF" w:rsidRDefault="001465CF">
      <w:pPr>
        <w:jc w:val="center"/>
        <w:rPr>
          <w:sz w:val="22"/>
        </w:rPr>
      </w:pPr>
    </w:p>
    <w:p w14:paraId="10868E87" w14:textId="77777777" w:rsidR="001465CF" w:rsidRDefault="001465CF">
      <w:pPr>
        <w:spacing w:line="360" w:lineRule="auto"/>
        <w:ind w:firstLine="720"/>
        <w:jc w:val="both"/>
        <w:rPr>
          <w:sz w:val="16"/>
          <w:szCs w:val="16"/>
        </w:rPr>
      </w:pPr>
    </w:p>
    <w:p w14:paraId="10868E88" w14:textId="77777777" w:rsidR="001465CF" w:rsidRDefault="001465CF">
      <w:pPr>
        <w:spacing w:line="360" w:lineRule="auto"/>
        <w:ind w:firstLine="720"/>
        <w:jc w:val="both"/>
        <w:sectPr w:rsidR="001465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10868E8A" w14:textId="02E87435" w:rsidR="001465CF" w:rsidRDefault="00855364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 Įstatymo 2 priedo pakeitimas</w:t>
      </w:r>
    </w:p>
    <w:p w14:paraId="10868E8B" w14:textId="3DDFDD56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Įstatymo 2 priedą ir jį išdėstyti taip:</w:t>
      </w:r>
    </w:p>
    <w:p w14:paraId="10868E8C" w14:textId="49FA6BA6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„Lietuvos Respublikos </w:t>
      </w:r>
    </w:p>
    <w:p w14:paraId="10868E8D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ir savivaldybių įstaigų </w:t>
      </w:r>
    </w:p>
    <w:p w14:paraId="10868E8E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darbuotojų darbo apmokėjimo </w:t>
      </w:r>
    </w:p>
    <w:p w14:paraId="10868E8F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14:paraId="10868E90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10868E91" w14:textId="77777777" w:rsidR="001465CF" w:rsidRDefault="001465CF">
      <w:pPr>
        <w:ind w:firstLine="62"/>
        <w:rPr>
          <w:rFonts w:ascii="TimesLT" w:hAnsi="TimesLT"/>
          <w:szCs w:val="24"/>
          <w:lang w:val="en-US" w:eastAsia="lt-LT"/>
        </w:rPr>
      </w:pPr>
    </w:p>
    <w:p w14:paraId="10868E92" w14:textId="77777777" w:rsidR="001465CF" w:rsidRDefault="00855364">
      <w:pPr>
        <w:jc w:val="center"/>
        <w:rPr>
          <w:b/>
          <w:bCs/>
          <w:szCs w:val="24"/>
          <w:lang w:val="en-US" w:eastAsia="lt-LT"/>
        </w:rPr>
      </w:pPr>
      <w:r>
        <w:rPr>
          <w:b/>
          <w:bCs/>
          <w:szCs w:val="24"/>
          <w:lang w:val="en-US" w:eastAsia="lt-LT"/>
        </w:rPr>
        <w:t>VALSTYBĖS IR SAVIVALDYBIŲ ĮSTAIGŲ ADMINISTRACIJOS IR STRUKTŪRINIŲ PADALINIŲ VADOVŲ PAREIGINĖS ALGOS PASTOVIOSIOS DALIES KOEFICIENTAI</w:t>
      </w:r>
    </w:p>
    <w:p w14:paraId="10868E93" w14:textId="77777777" w:rsidR="001465CF" w:rsidRDefault="001465CF">
      <w:pPr>
        <w:rPr>
          <w:rFonts w:ascii="TimesLT" w:hAnsi="TimesLT"/>
          <w:sz w:val="20"/>
          <w:lang w:val="en-US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192"/>
        <w:gridCol w:w="1333"/>
        <w:gridCol w:w="1354"/>
        <w:gridCol w:w="1345"/>
        <w:gridCol w:w="1335"/>
        <w:gridCol w:w="1358"/>
      </w:tblGrid>
      <w:tr w:rsidR="001465CF" w14:paraId="10868E98" w14:textId="77777777">
        <w:tc>
          <w:tcPr>
            <w:tcW w:w="1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94" w14:textId="77777777" w:rsidR="001465CF" w:rsidRDefault="00855364">
            <w:pPr>
              <w:ind w:left="-49"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Vadovaujamo darbo</w:t>
            </w:r>
          </w:p>
          <w:p w14:paraId="10868E95" w14:textId="77777777" w:rsidR="001465CF" w:rsidRDefault="00855364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patirtis</w:t>
            </w:r>
          </w:p>
          <w:p w14:paraId="10868E96" w14:textId="77777777" w:rsidR="001465CF" w:rsidRDefault="00855364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(metais)</w:t>
            </w:r>
          </w:p>
        </w:tc>
        <w:tc>
          <w:tcPr>
            <w:tcW w:w="8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97" w14:textId="77777777" w:rsidR="001465CF" w:rsidRDefault="00855364">
            <w:pPr>
              <w:ind w:left="-99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</w:tr>
      <w:tr w:rsidR="001465CF" w14:paraId="10868E9C" w14:textId="77777777">
        <w:tc>
          <w:tcPr>
            <w:tcW w:w="1668" w:type="dxa"/>
            <w:vMerge/>
            <w:vAlign w:val="center"/>
            <w:hideMark/>
          </w:tcPr>
          <w:p w14:paraId="10868E99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40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9A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</w:p>
        </w:tc>
        <w:tc>
          <w:tcPr>
            <w:tcW w:w="41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9B" w14:textId="77777777" w:rsidR="001465CF" w:rsidRDefault="00855364">
            <w:pPr>
              <w:ind w:left="-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</w:t>
            </w:r>
          </w:p>
        </w:tc>
      </w:tr>
      <w:tr w:rsidR="001465CF" w14:paraId="10868EA0" w14:textId="77777777">
        <w:tc>
          <w:tcPr>
            <w:tcW w:w="1668" w:type="dxa"/>
            <w:vMerge/>
            <w:vAlign w:val="center"/>
            <w:hideMark/>
          </w:tcPr>
          <w:p w14:paraId="10868E9D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40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9E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  <w:tc>
          <w:tcPr>
            <w:tcW w:w="41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9F" w14:textId="77777777" w:rsidR="001465CF" w:rsidRDefault="00855364">
            <w:pPr>
              <w:ind w:left="-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1465CF" w14:paraId="10868EA8" w14:textId="77777777">
        <w:tc>
          <w:tcPr>
            <w:tcW w:w="1668" w:type="dxa"/>
            <w:vMerge/>
            <w:vAlign w:val="center"/>
            <w:hideMark/>
          </w:tcPr>
          <w:p w14:paraId="10868EA1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2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3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4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5" w14:textId="77777777" w:rsidR="001465CF" w:rsidRDefault="00855364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6" w14:textId="77777777" w:rsidR="001465CF" w:rsidRDefault="00855364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7" w14:textId="77777777" w:rsidR="001465CF" w:rsidRDefault="00855364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1465CF" w14:paraId="10868EB0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9" w14:textId="77777777" w:rsidR="001465CF" w:rsidRDefault="00855364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A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3,41–9,5</w:t>
            </w: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B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3,52–9,7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C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3,61–10,2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D" w14:textId="77777777" w:rsidR="001465CF" w:rsidRDefault="00855364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3,31–8,88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E" w14:textId="77777777" w:rsidR="001465CF" w:rsidRDefault="00855364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3,41–9,05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AF" w14:textId="77777777" w:rsidR="001465CF" w:rsidRDefault="00855364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3,52–9,23</w:t>
            </w:r>
          </w:p>
        </w:tc>
      </w:tr>
      <w:tr w:rsidR="001465CF" w14:paraId="10868EB8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1" w14:textId="77777777" w:rsidR="001465CF" w:rsidRDefault="00855364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5–10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2" w14:textId="77777777" w:rsidR="001465CF" w:rsidRDefault="00855364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3,52–9,55</w:t>
            </w: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3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3,61–9,9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4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3,71–10,6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5" w14:textId="77777777" w:rsidR="001465CF" w:rsidRDefault="00855364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3,41–9,05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6" w14:textId="77777777" w:rsidR="001465CF" w:rsidRDefault="00855364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3,52–9,23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7" w14:textId="77777777" w:rsidR="001465CF" w:rsidRDefault="00855364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3,61–9,41</w:t>
            </w:r>
          </w:p>
        </w:tc>
      </w:tr>
      <w:tr w:rsidR="001465CF" w14:paraId="10868EC0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9" w14:textId="77777777" w:rsidR="001465CF" w:rsidRDefault="00855364">
            <w:pPr>
              <w:ind w:left="-4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A" w14:textId="77777777" w:rsidR="001465CF" w:rsidRDefault="00855364">
            <w:pPr>
              <w:ind w:firstLine="1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3,61–9,6</w:t>
            </w:r>
          </w:p>
        </w:tc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B" w14:textId="77777777" w:rsidR="001465CF" w:rsidRDefault="00855364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3,71–10,1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C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3,81–11,0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D" w14:textId="77777777" w:rsidR="001465CF" w:rsidRDefault="00855364">
            <w:pPr>
              <w:ind w:left="12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3,52–9,23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E" w14:textId="77777777" w:rsidR="001465CF" w:rsidRDefault="00855364">
            <w:pPr>
              <w:ind w:left="1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3,61–9,41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BF" w14:textId="77777777" w:rsidR="001465CF" w:rsidRDefault="00855364">
            <w:pPr>
              <w:ind w:left="3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3,71–9,59</w:t>
            </w:r>
          </w:p>
        </w:tc>
      </w:tr>
    </w:tbl>
    <w:p w14:paraId="10868EC1" w14:textId="77777777" w:rsidR="001465CF" w:rsidRDefault="001465CF">
      <w:pPr>
        <w:ind w:firstLine="62"/>
        <w:jc w:val="center"/>
        <w:rPr>
          <w:rFonts w:ascii="TimesLT" w:hAnsi="TimesLT"/>
          <w:szCs w:val="24"/>
          <w:lang w:val="en-US" w:eastAsia="lt-LT"/>
        </w:rPr>
      </w:pPr>
    </w:p>
    <w:p w14:paraId="10868EC2" w14:textId="77777777" w:rsidR="001465CF" w:rsidRDefault="001465CF">
      <w:pPr>
        <w:ind w:firstLine="62"/>
        <w:jc w:val="center"/>
        <w:rPr>
          <w:rFonts w:ascii="TimesLT" w:hAnsi="TimesLT"/>
          <w:szCs w:val="24"/>
          <w:lang w:val="en-US" w:eastAsia="lt-LT"/>
        </w:rPr>
      </w:pPr>
    </w:p>
    <w:p w14:paraId="10868EC3" w14:textId="52BD8D58" w:rsidR="001465CF" w:rsidRDefault="00855364">
      <w:pPr>
        <w:jc w:val="center"/>
        <w:rPr>
          <w:b/>
          <w:bCs/>
          <w:szCs w:val="24"/>
          <w:lang w:val="en-US" w:eastAsia="lt-LT"/>
        </w:rPr>
      </w:pPr>
      <w:r>
        <w:rPr>
          <w:b/>
          <w:bCs/>
          <w:szCs w:val="24"/>
          <w:lang w:val="en-US" w:eastAsia="lt-LT"/>
        </w:rPr>
        <w:t>VALSTYBĖS IR SAVIVALDYBIŲ ĮSTAIGŲ ADMINISTRACIJOS IR STRUKTŪRINIŲ PADALINIŲ VADOVŲ PAVADUOTOJŲ PAREIGINĖS ALGOS PASTOVIOSIOS DALIES KOEFICIENTAI</w:t>
      </w:r>
    </w:p>
    <w:p w14:paraId="10868EC4" w14:textId="77777777" w:rsidR="001465CF" w:rsidRDefault="001465CF">
      <w:pPr>
        <w:jc w:val="center"/>
        <w:rPr>
          <w:rFonts w:ascii="TimesLT" w:hAnsi="TimesLT"/>
          <w:sz w:val="20"/>
          <w:lang w:val="en-US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225"/>
        <w:gridCol w:w="1324"/>
        <w:gridCol w:w="1350"/>
        <w:gridCol w:w="1336"/>
        <w:gridCol w:w="1189"/>
        <w:gridCol w:w="1488"/>
      </w:tblGrid>
      <w:tr w:rsidR="001465CF" w14:paraId="10868EC9" w14:textId="77777777">
        <w:tc>
          <w:tcPr>
            <w:tcW w:w="1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C5" w14:textId="77777777" w:rsidR="001465CF" w:rsidRDefault="00855364">
            <w:pPr>
              <w:ind w:left="93" w:hanging="9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Vadovaujamo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darbo</w:t>
            </w:r>
            <w:proofErr w:type="spellEnd"/>
          </w:p>
          <w:p w14:paraId="10868EC6" w14:textId="77777777" w:rsidR="001465CF" w:rsidRDefault="00855364">
            <w:pPr>
              <w:ind w:left="93" w:hanging="9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patirtis</w:t>
            </w:r>
            <w:proofErr w:type="spellEnd"/>
          </w:p>
          <w:p w14:paraId="10868EC7" w14:textId="77777777" w:rsidR="001465CF" w:rsidRDefault="00855364">
            <w:pPr>
              <w:ind w:left="93" w:hanging="93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(</w:t>
            </w:r>
            <w:proofErr w:type="spellStart"/>
            <w:r>
              <w:rPr>
                <w:szCs w:val="24"/>
                <w:lang w:val="en-US" w:eastAsia="lt-LT"/>
              </w:rPr>
              <w:t>metais</w:t>
            </w:r>
            <w:proofErr w:type="spellEnd"/>
            <w:r>
              <w:rPr>
                <w:szCs w:val="24"/>
                <w:lang w:val="en-US" w:eastAsia="lt-LT"/>
              </w:rPr>
              <w:t>)</w:t>
            </w:r>
          </w:p>
        </w:tc>
        <w:tc>
          <w:tcPr>
            <w:tcW w:w="8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C8" w14:textId="77777777" w:rsidR="001465CF" w:rsidRDefault="00855364">
            <w:pPr>
              <w:ind w:left="-99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Pareigybės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lygis</w:t>
            </w:r>
            <w:proofErr w:type="spellEnd"/>
          </w:p>
        </w:tc>
      </w:tr>
      <w:tr w:rsidR="001465CF" w14:paraId="10868ECD" w14:textId="77777777">
        <w:tc>
          <w:tcPr>
            <w:tcW w:w="1668" w:type="dxa"/>
            <w:vMerge/>
            <w:vAlign w:val="center"/>
            <w:hideMark/>
          </w:tcPr>
          <w:p w14:paraId="10868ECA" w14:textId="77777777" w:rsidR="001465CF" w:rsidRDefault="001465CF">
            <w:pPr>
              <w:rPr>
                <w:szCs w:val="24"/>
                <w:lang w:val="en-US" w:eastAsia="lt-LT"/>
              </w:rPr>
            </w:pPr>
          </w:p>
        </w:tc>
        <w:tc>
          <w:tcPr>
            <w:tcW w:w="40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CB" w14:textId="77777777" w:rsidR="001465CF" w:rsidRDefault="00855364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A</w:t>
            </w:r>
          </w:p>
        </w:tc>
        <w:tc>
          <w:tcPr>
            <w:tcW w:w="41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CC" w14:textId="77777777" w:rsidR="001465CF" w:rsidRDefault="00855364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B</w:t>
            </w:r>
          </w:p>
        </w:tc>
      </w:tr>
      <w:tr w:rsidR="001465CF" w14:paraId="10868ED1" w14:textId="77777777">
        <w:tc>
          <w:tcPr>
            <w:tcW w:w="1668" w:type="dxa"/>
            <w:vMerge/>
            <w:vAlign w:val="center"/>
            <w:hideMark/>
          </w:tcPr>
          <w:p w14:paraId="10868ECE" w14:textId="77777777" w:rsidR="001465CF" w:rsidRDefault="001465CF">
            <w:pPr>
              <w:rPr>
                <w:szCs w:val="24"/>
                <w:lang w:val="en-US" w:eastAsia="lt-LT"/>
              </w:rPr>
            </w:pPr>
          </w:p>
        </w:tc>
        <w:tc>
          <w:tcPr>
            <w:tcW w:w="40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CF" w14:textId="77777777" w:rsidR="001465CF" w:rsidRDefault="00855364">
            <w:pPr>
              <w:ind w:left="-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profesinio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darbo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patirtis</w:t>
            </w:r>
            <w:proofErr w:type="spellEnd"/>
            <w:r>
              <w:rPr>
                <w:szCs w:val="24"/>
                <w:lang w:val="en-US" w:eastAsia="lt-LT"/>
              </w:rPr>
              <w:t xml:space="preserve"> (</w:t>
            </w:r>
            <w:proofErr w:type="spellStart"/>
            <w:r>
              <w:rPr>
                <w:szCs w:val="24"/>
                <w:lang w:val="en-US" w:eastAsia="lt-LT"/>
              </w:rPr>
              <w:t>metais</w:t>
            </w:r>
            <w:proofErr w:type="spellEnd"/>
            <w:r>
              <w:rPr>
                <w:szCs w:val="24"/>
                <w:lang w:val="en-US" w:eastAsia="lt-LT"/>
              </w:rPr>
              <w:t>)</w:t>
            </w:r>
          </w:p>
        </w:tc>
        <w:tc>
          <w:tcPr>
            <w:tcW w:w="41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0" w14:textId="77777777" w:rsidR="001465CF" w:rsidRDefault="00855364">
            <w:pPr>
              <w:ind w:left="-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profesinio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darbo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patirtis</w:t>
            </w:r>
            <w:proofErr w:type="spellEnd"/>
            <w:r>
              <w:rPr>
                <w:szCs w:val="24"/>
                <w:lang w:val="en-US" w:eastAsia="lt-LT"/>
              </w:rPr>
              <w:t xml:space="preserve"> (</w:t>
            </w:r>
            <w:proofErr w:type="spellStart"/>
            <w:r>
              <w:rPr>
                <w:szCs w:val="24"/>
                <w:lang w:val="en-US" w:eastAsia="lt-LT"/>
              </w:rPr>
              <w:t>metais</w:t>
            </w:r>
            <w:proofErr w:type="spellEnd"/>
            <w:r>
              <w:rPr>
                <w:szCs w:val="24"/>
                <w:lang w:val="en-US" w:eastAsia="lt-LT"/>
              </w:rPr>
              <w:t>)</w:t>
            </w:r>
          </w:p>
        </w:tc>
      </w:tr>
      <w:tr w:rsidR="001465CF" w14:paraId="10868ED9" w14:textId="77777777">
        <w:tc>
          <w:tcPr>
            <w:tcW w:w="1668" w:type="dxa"/>
            <w:vMerge/>
            <w:vAlign w:val="center"/>
            <w:hideMark/>
          </w:tcPr>
          <w:p w14:paraId="10868ED2" w14:textId="77777777" w:rsidR="001465CF" w:rsidRDefault="001465CF">
            <w:pPr>
              <w:rPr>
                <w:szCs w:val="24"/>
                <w:lang w:val="en-US" w:eastAsia="lt-LT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3" w14:textId="77777777" w:rsidR="001465CF" w:rsidRDefault="00855364">
            <w:pPr>
              <w:ind w:left="-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iki</w:t>
            </w:r>
            <w:proofErr w:type="spellEnd"/>
            <w:r>
              <w:rPr>
                <w:szCs w:val="24"/>
                <w:lang w:val="en-US" w:eastAsia="lt-LT"/>
              </w:rPr>
              <w:t xml:space="preserve"> 5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4" w14:textId="77777777" w:rsidR="001465CF" w:rsidRDefault="00855364">
            <w:pPr>
              <w:ind w:left="28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5–10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5" w14:textId="77777777" w:rsidR="001465CF" w:rsidRDefault="00855364">
            <w:pPr>
              <w:ind w:left="61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daugiau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kaip</w:t>
            </w:r>
            <w:proofErr w:type="spellEnd"/>
            <w:r>
              <w:rPr>
                <w:szCs w:val="24"/>
                <w:lang w:val="en-US" w:eastAsia="lt-LT"/>
              </w:rPr>
              <w:t xml:space="preserve"> 10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6" w14:textId="77777777" w:rsidR="001465CF" w:rsidRDefault="00855364">
            <w:pPr>
              <w:ind w:left="92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iki</w:t>
            </w:r>
            <w:proofErr w:type="spellEnd"/>
            <w:r>
              <w:rPr>
                <w:szCs w:val="24"/>
                <w:lang w:val="en-US" w:eastAsia="lt-LT"/>
              </w:rPr>
              <w:t xml:space="preserve"> 5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7" w14:textId="77777777" w:rsidR="001465CF" w:rsidRDefault="00855364">
            <w:pPr>
              <w:ind w:left="-14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5–10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8" w14:textId="77777777" w:rsidR="001465CF" w:rsidRDefault="00855364">
            <w:pPr>
              <w:ind w:left="167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daugiau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kaip</w:t>
            </w:r>
            <w:proofErr w:type="spellEnd"/>
            <w:r>
              <w:rPr>
                <w:szCs w:val="24"/>
                <w:lang w:val="en-US" w:eastAsia="lt-LT"/>
              </w:rPr>
              <w:t xml:space="preserve"> 10</w:t>
            </w:r>
          </w:p>
        </w:tc>
      </w:tr>
      <w:tr w:rsidR="001465CF" w14:paraId="10868EE1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A" w14:textId="77777777" w:rsidR="001465CF" w:rsidRDefault="00855364">
            <w:pPr>
              <w:ind w:left="93" w:hanging="9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iki</w:t>
            </w:r>
            <w:proofErr w:type="spellEnd"/>
            <w:r>
              <w:rPr>
                <w:szCs w:val="24"/>
                <w:lang w:val="en-US" w:eastAsia="lt-LT"/>
              </w:rPr>
              <w:t xml:space="preserve"> 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B" w14:textId="77777777" w:rsidR="001465CF" w:rsidRDefault="00855364">
            <w:pPr>
              <w:ind w:left="-3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3,22–8,2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C" w14:textId="77777777" w:rsidR="001465CF" w:rsidRDefault="00855364">
            <w:pPr>
              <w:ind w:left="28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3,31–8,33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D" w14:textId="77777777" w:rsidR="001465CF" w:rsidRDefault="00855364">
            <w:pPr>
              <w:ind w:left="61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3,41–10,0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E" w14:textId="77777777" w:rsidR="001465CF" w:rsidRDefault="00855364">
            <w:pPr>
              <w:ind w:left="92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3,19–8,0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DF" w14:textId="77777777" w:rsidR="001465CF" w:rsidRDefault="00855364">
            <w:pPr>
              <w:ind w:left="-14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3,26–8,15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0" w14:textId="77777777" w:rsidR="001465CF" w:rsidRDefault="00855364">
            <w:pPr>
              <w:ind w:left="167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3,31–8,3</w:t>
            </w:r>
          </w:p>
        </w:tc>
      </w:tr>
      <w:tr w:rsidR="001465CF" w14:paraId="10868EE9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2" w14:textId="77777777" w:rsidR="001465CF" w:rsidRDefault="00855364">
            <w:pPr>
              <w:ind w:left="93" w:hanging="93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5–10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3" w14:textId="77777777" w:rsidR="001465CF" w:rsidRDefault="00855364">
            <w:pPr>
              <w:ind w:left="-3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3,31–8,33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4" w14:textId="77777777" w:rsidR="001465CF" w:rsidRDefault="00855364">
            <w:pPr>
              <w:ind w:left="28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3,41–8,49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5" w14:textId="77777777" w:rsidR="001465CF" w:rsidRDefault="00855364">
            <w:pPr>
              <w:ind w:left="61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3,52–10,4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6" w14:textId="77777777" w:rsidR="001465CF" w:rsidRDefault="00855364">
            <w:pPr>
              <w:ind w:left="92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3,26–8,15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7" w14:textId="77777777" w:rsidR="001465CF" w:rsidRDefault="00855364">
            <w:pPr>
              <w:ind w:left="-14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3,31–8,3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8" w14:textId="77777777" w:rsidR="001465CF" w:rsidRDefault="00855364">
            <w:pPr>
              <w:ind w:left="167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3,41–8,46</w:t>
            </w:r>
          </w:p>
        </w:tc>
      </w:tr>
      <w:tr w:rsidR="001465CF" w14:paraId="10868EF1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A" w14:textId="77777777" w:rsidR="001465CF" w:rsidRDefault="00855364">
            <w:pPr>
              <w:ind w:left="93" w:hanging="93"/>
              <w:jc w:val="center"/>
              <w:rPr>
                <w:szCs w:val="24"/>
                <w:lang w:val="en-US" w:eastAsia="lt-LT"/>
              </w:rPr>
            </w:pPr>
            <w:proofErr w:type="spellStart"/>
            <w:r>
              <w:rPr>
                <w:szCs w:val="24"/>
                <w:lang w:val="en-US" w:eastAsia="lt-LT"/>
              </w:rPr>
              <w:t>daugiau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Cs w:val="24"/>
                <w:lang w:val="en-US" w:eastAsia="lt-LT"/>
              </w:rPr>
              <w:t>kaip</w:t>
            </w:r>
            <w:proofErr w:type="spellEnd"/>
            <w:r>
              <w:rPr>
                <w:szCs w:val="24"/>
                <w:lang w:val="en-US" w:eastAsia="lt-LT"/>
              </w:rPr>
              <w:t xml:space="preserve"> 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B" w14:textId="77777777" w:rsidR="001465CF" w:rsidRDefault="00855364">
            <w:pPr>
              <w:ind w:left="-3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3,41–8,49</w:t>
            </w:r>
          </w:p>
        </w:tc>
        <w:tc>
          <w:tcPr>
            <w:tcW w:w="1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C" w14:textId="77777777" w:rsidR="001465CF" w:rsidRDefault="00855364">
            <w:pPr>
              <w:ind w:left="28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3,52–8,65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D" w14:textId="77777777" w:rsidR="001465CF" w:rsidRDefault="00855364">
            <w:pPr>
              <w:ind w:left="61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3,61–10,8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E" w14:textId="77777777" w:rsidR="001465CF" w:rsidRDefault="00855364">
            <w:pPr>
              <w:ind w:left="92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3,31–8,3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EF" w14:textId="77777777" w:rsidR="001465CF" w:rsidRDefault="00855364">
            <w:pPr>
              <w:ind w:left="-14"/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3,41–8,47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F0" w14:textId="0C0DD21A" w:rsidR="001465CF" w:rsidRDefault="00855364">
            <w:pPr>
              <w:ind w:firstLine="248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3,52–8,6“</w:t>
            </w:r>
          </w:p>
        </w:tc>
      </w:tr>
    </w:tbl>
    <w:p w14:paraId="10868EF2" w14:textId="0A825DA7" w:rsidR="001465CF" w:rsidRDefault="00855364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2 straipsnis. Įstatymo 3 priedo pakeitimas</w:t>
      </w:r>
    </w:p>
    <w:p w14:paraId="10868EF3" w14:textId="5B189BCB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Įstatymo 3 priedą ir jį išdėstyti taip:</w:t>
      </w:r>
    </w:p>
    <w:p w14:paraId="10868EF4" w14:textId="79D14A2B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„Lietuvos Respublikos </w:t>
      </w:r>
    </w:p>
    <w:p w14:paraId="10868EF5" w14:textId="7B7BC98F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ir savivaldybių įstaigų </w:t>
      </w:r>
    </w:p>
    <w:p w14:paraId="10868EF6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darbuotojų darbo apmokėjimo </w:t>
      </w:r>
    </w:p>
    <w:p w14:paraId="10868EF7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14:paraId="10868EF8" w14:textId="4EDB61E0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14:paraId="10868EF9" w14:textId="77777777" w:rsidR="001465CF" w:rsidRDefault="001465CF">
      <w:pPr>
        <w:ind w:left="5670"/>
        <w:rPr>
          <w:rFonts w:ascii="TimesLT" w:hAnsi="TimesLT"/>
          <w:szCs w:val="24"/>
          <w:lang w:val="en-US" w:eastAsia="lt-LT"/>
        </w:rPr>
      </w:pPr>
    </w:p>
    <w:p w14:paraId="10868EFA" w14:textId="77777777" w:rsidR="001465CF" w:rsidRDefault="001465CF">
      <w:pPr>
        <w:ind w:left="5670"/>
        <w:rPr>
          <w:rFonts w:ascii="TimesLT" w:hAnsi="TimesLT"/>
          <w:szCs w:val="24"/>
          <w:lang w:val="en-US" w:eastAsia="lt-LT"/>
        </w:rPr>
      </w:pPr>
    </w:p>
    <w:p w14:paraId="10868EFB" w14:textId="3B747230" w:rsidR="001465CF" w:rsidRDefault="00855364">
      <w:pPr>
        <w:jc w:val="center"/>
        <w:rPr>
          <w:b/>
          <w:bCs/>
          <w:szCs w:val="24"/>
          <w:lang w:val="en-US" w:eastAsia="lt-LT"/>
        </w:rPr>
      </w:pPr>
      <w:r>
        <w:rPr>
          <w:b/>
          <w:bCs/>
          <w:szCs w:val="24"/>
          <w:lang w:val="en-US" w:eastAsia="lt-LT"/>
        </w:rPr>
        <w:t>VALSTYBĖS IR SAVIVALDYBIŲ ĮSTAIGŲ A IR B LYGIO SPECIALISTŲ PAREIGINĖS ALGOS PASTOVIOSIOS DALIES KOEFICIENTAI</w:t>
      </w:r>
    </w:p>
    <w:p w14:paraId="10868EFC" w14:textId="77777777" w:rsidR="001465CF" w:rsidRDefault="001465CF">
      <w:pPr>
        <w:jc w:val="center"/>
        <w:rPr>
          <w:rFonts w:ascii="TimesLT" w:hAnsi="TimesLT"/>
          <w:szCs w:val="24"/>
          <w:lang w:val="en-US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901"/>
        <w:gridCol w:w="1912"/>
        <w:gridCol w:w="1914"/>
        <w:gridCol w:w="1915"/>
      </w:tblGrid>
      <w:tr w:rsidR="001465CF" w14:paraId="10868EFF" w14:textId="77777777">
        <w:tc>
          <w:tcPr>
            <w:tcW w:w="1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FD" w14:textId="77777777" w:rsidR="001465CF" w:rsidRDefault="00855364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EFE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1465CF" w14:paraId="10868F02" w14:textId="77777777">
        <w:tc>
          <w:tcPr>
            <w:tcW w:w="0" w:type="auto"/>
            <w:vMerge/>
            <w:vAlign w:val="center"/>
            <w:hideMark/>
          </w:tcPr>
          <w:p w14:paraId="10868F00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1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1465CF" w14:paraId="10868F08" w14:textId="77777777">
        <w:tc>
          <w:tcPr>
            <w:tcW w:w="0" w:type="auto"/>
            <w:vMerge/>
            <w:vAlign w:val="center"/>
            <w:hideMark/>
          </w:tcPr>
          <w:p w14:paraId="10868F03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4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2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5" w14:textId="77777777" w:rsidR="001465CF" w:rsidRDefault="00855364">
            <w:pPr>
              <w:ind w:left="28" w:hanging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2 iki 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6" w14:textId="77777777" w:rsidR="001465CF" w:rsidRDefault="00855364">
            <w:pPr>
              <w:ind w:left="4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5 iki 10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7" w14:textId="77777777" w:rsidR="001465CF" w:rsidRDefault="00855364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1465CF" w14:paraId="10868F0E" w14:textId="77777777"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9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lygis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A" w14:textId="77777777" w:rsidR="001465CF" w:rsidRDefault="00855364">
            <w:pPr>
              <w:ind w:left="4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3,17–7,6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B" w14:textId="77777777" w:rsidR="001465CF" w:rsidRDefault="00855364">
            <w:pPr>
              <w:ind w:left="28" w:hanging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3,22–8,5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C" w14:textId="77777777" w:rsidR="001465CF" w:rsidRDefault="00855364">
            <w:pPr>
              <w:ind w:left="4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3,31–9,5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D" w14:textId="77777777" w:rsidR="001465CF" w:rsidRDefault="00855364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3,41–10,5</w:t>
            </w:r>
          </w:p>
        </w:tc>
      </w:tr>
      <w:tr w:rsidR="001465CF" w14:paraId="10868F14" w14:textId="77777777">
        <w:trPr>
          <w:trHeight w:val="252"/>
        </w:trPr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0F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 lygis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10" w14:textId="77777777" w:rsidR="001465CF" w:rsidRDefault="00855364">
            <w:pPr>
              <w:ind w:left="46" w:firstLine="4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3,15–7,3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11" w14:textId="77777777" w:rsidR="001465CF" w:rsidRDefault="00855364">
            <w:pPr>
              <w:ind w:left="28" w:hanging="2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3,19–7,4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12" w14:textId="77777777" w:rsidR="001465CF" w:rsidRDefault="00855364">
            <w:pPr>
              <w:ind w:left="4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3,26–7,6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13" w14:textId="77777777" w:rsidR="001465CF" w:rsidRDefault="00855364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3,32–8,0“</w:t>
            </w:r>
          </w:p>
        </w:tc>
      </w:tr>
    </w:tbl>
    <w:p w14:paraId="10868F15" w14:textId="309FCC53" w:rsidR="001465CF" w:rsidRDefault="001465CF">
      <w:pPr>
        <w:ind w:firstLine="62"/>
        <w:jc w:val="both"/>
        <w:rPr>
          <w:rFonts w:ascii="TimesLT" w:hAnsi="TimesLT"/>
          <w:szCs w:val="24"/>
          <w:lang w:val="en-US" w:eastAsia="lt-LT"/>
        </w:rPr>
      </w:pPr>
    </w:p>
    <w:p w14:paraId="10868F16" w14:textId="07C493D5" w:rsidR="001465CF" w:rsidRDefault="00855364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straipsnis. Įstatymo 4 priedo pakeitimas</w:t>
      </w:r>
    </w:p>
    <w:p w14:paraId="10868F17" w14:textId="0A10CFDA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Įstatymo 4 priedą ir jį išdėstyti taip:</w:t>
      </w:r>
    </w:p>
    <w:p w14:paraId="10868F18" w14:textId="21955B03" w:rsidR="001465CF" w:rsidRDefault="00855364">
      <w:pPr>
        <w:tabs>
          <w:tab w:val="left" w:pos="567"/>
          <w:tab w:val="left" w:pos="5387"/>
          <w:tab w:val="left" w:pos="5812"/>
        </w:tabs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„Lietuvos Respublikos </w:t>
      </w:r>
    </w:p>
    <w:p w14:paraId="10868F19" w14:textId="4EDA239F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valstybės ir savivaldybių įstaigų</w:t>
      </w:r>
    </w:p>
    <w:p w14:paraId="10868F1A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 xml:space="preserve">darbuotojų darbo apmokėjimo </w:t>
      </w:r>
    </w:p>
    <w:p w14:paraId="10868F1B" w14:textId="77777777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įstatymo</w:t>
      </w:r>
    </w:p>
    <w:p w14:paraId="10868F1C" w14:textId="7DBFC5E2" w:rsidR="001465CF" w:rsidRDefault="00855364">
      <w:pPr>
        <w:ind w:firstLine="5670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0868F1D" w14:textId="77777777" w:rsidR="001465CF" w:rsidRDefault="001465CF">
      <w:pPr>
        <w:ind w:left="5670"/>
        <w:jc w:val="both"/>
        <w:rPr>
          <w:rFonts w:ascii="TimesLT" w:hAnsi="TimesLT"/>
          <w:szCs w:val="24"/>
          <w:lang w:val="en-US" w:eastAsia="lt-LT"/>
        </w:rPr>
      </w:pPr>
    </w:p>
    <w:p w14:paraId="10868F1E" w14:textId="77777777" w:rsidR="001465CF" w:rsidRDefault="001465CF">
      <w:pPr>
        <w:ind w:left="5670"/>
        <w:jc w:val="both"/>
        <w:rPr>
          <w:rFonts w:ascii="TimesLT" w:hAnsi="TimesLT"/>
          <w:szCs w:val="24"/>
          <w:lang w:val="en-US" w:eastAsia="lt-LT"/>
        </w:rPr>
      </w:pPr>
    </w:p>
    <w:p w14:paraId="10868F1F" w14:textId="535D4BB6" w:rsidR="001465CF" w:rsidRDefault="00855364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VALSTYBĖS IR SAVIVALDYBIŲ ĮSTAIGŲ KVALIFIKUOTŲ DARBUOTOJŲ PAREIGINĖS ALGOS PASTOVIOSIOS DALIES KOEFICIENTAI</w:t>
      </w:r>
    </w:p>
    <w:p w14:paraId="10868F20" w14:textId="77777777" w:rsidR="001465CF" w:rsidRDefault="001465CF">
      <w:pPr>
        <w:jc w:val="center"/>
        <w:rPr>
          <w:rFonts w:ascii="TimesLT" w:hAnsi="TimesLT"/>
          <w:szCs w:val="24"/>
          <w:lang w:val="en-US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02"/>
        <w:gridCol w:w="1913"/>
        <w:gridCol w:w="1913"/>
        <w:gridCol w:w="1913"/>
      </w:tblGrid>
      <w:tr w:rsidR="001465CF" w14:paraId="10868F23" w14:textId="77777777">
        <w:tc>
          <w:tcPr>
            <w:tcW w:w="1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1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Pareigybės lygis</w:t>
            </w: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2" w14:textId="77777777" w:rsidR="001465CF" w:rsidRDefault="00855364">
            <w:pPr>
              <w:ind w:left="5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1465CF" w14:paraId="10868F26" w14:textId="77777777">
        <w:tc>
          <w:tcPr>
            <w:tcW w:w="0" w:type="auto"/>
            <w:vMerge/>
            <w:vAlign w:val="center"/>
            <w:hideMark/>
          </w:tcPr>
          <w:p w14:paraId="10868F24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7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5" w14:textId="77777777" w:rsidR="001465CF" w:rsidRDefault="00855364">
            <w:pPr>
              <w:ind w:left="5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darbo patirtis (metais)</w:t>
            </w:r>
          </w:p>
        </w:tc>
      </w:tr>
      <w:tr w:rsidR="001465CF" w14:paraId="10868F2C" w14:textId="77777777">
        <w:tc>
          <w:tcPr>
            <w:tcW w:w="0" w:type="auto"/>
            <w:vMerge/>
            <w:vAlign w:val="center"/>
            <w:hideMark/>
          </w:tcPr>
          <w:p w14:paraId="10868F27" w14:textId="77777777" w:rsidR="001465CF" w:rsidRDefault="001465CF">
            <w:pPr>
              <w:rPr>
                <w:szCs w:val="24"/>
                <w:lang w:eastAsia="lt-LT"/>
              </w:rPr>
            </w:pP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8" w14:textId="77777777" w:rsidR="001465CF" w:rsidRDefault="00855364">
            <w:pPr>
              <w:ind w:left="1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2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9" w14:textId="77777777" w:rsidR="001465CF" w:rsidRDefault="00855364">
            <w:pPr>
              <w:ind w:lef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2 iki 5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A" w14:textId="77777777" w:rsidR="001465CF" w:rsidRDefault="00855364">
            <w:pPr>
              <w:ind w:lef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daugiau kaip 5 iki 10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B" w14:textId="77777777" w:rsidR="001465CF" w:rsidRDefault="00855364">
            <w:pPr>
              <w:ind w:left="-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kaip 10</w:t>
            </w:r>
          </w:p>
        </w:tc>
      </w:tr>
      <w:tr w:rsidR="001465CF" w14:paraId="10868F32" w14:textId="77777777"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D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 lygis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E" w14:textId="77777777" w:rsidR="001465CF" w:rsidRDefault="00855364">
            <w:pPr>
              <w:ind w:left="1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3,12–5,3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2F" w14:textId="77777777" w:rsidR="001465CF" w:rsidRDefault="00855364">
            <w:pPr>
              <w:ind w:left="-11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3,14–5,4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30" w14:textId="77777777" w:rsidR="001465CF" w:rsidRDefault="0085536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3,16–5,6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31" w14:textId="77777777" w:rsidR="001465CF" w:rsidRDefault="00855364">
            <w:pPr>
              <w:ind w:left="55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3,18–7,0“</w:t>
            </w:r>
          </w:p>
        </w:tc>
      </w:tr>
    </w:tbl>
    <w:p w14:paraId="10868F33" w14:textId="60D462AB" w:rsidR="001465CF" w:rsidRDefault="001465CF">
      <w:pPr>
        <w:ind w:firstLine="62"/>
        <w:jc w:val="both"/>
        <w:rPr>
          <w:rFonts w:ascii="TimesLT" w:hAnsi="TimesLT"/>
          <w:szCs w:val="24"/>
          <w:lang w:val="en-US" w:eastAsia="lt-LT"/>
        </w:rPr>
      </w:pPr>
    </w:p>
    <w:p w14:paraId="10868F34" w14:textId="1A5A72E9" w:rsidR="001465CF" w:rsidRDefault="00855364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 straipsnis. Įstatymo 5 priedo pakeitimas</w:t>
      </w:r>
    </w:p>
    <w:p w14:paraId="10868F35" w14:textId="5FB572E5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Įstatymo 5 priedo 16 punktą ir jį išdėstyti taip:</w:t>
      </w:r>
    </w:p>
    <w:p w14:paraId="10868F36" w14:textId="719D2D95" w:rsidR="001465CF" w:rsidRDefault="00855364">
      <w:pPr>
        <w:spacing w:line="360" w:lineRule="auto"/>
        <w:ind w:firstLine="720"/>
        <w:jc w:val="both"/>
        <w:rPr>
          <w:rFonts w:ascii="TimesLT" w:hAnsi="TimesLT"/>
          <w:szCs w:val="24"/>
          <w:lang w:val="en-US" w:eastAsia="lt-LT"/>
        </w:rPr>
      </w:pPr>
      <w:r>
        <w:rPr>
          <w:color w:val="000000"/>
          <w:szCs w:val="24"/>
          <w:lang w:eastAsia="lt-LT"/>
        </w:rPr>
        <w:t>„16. Įstaigų, nenurodytų šio priedo I ir II skyriuose, vadovų ir vadovų pavaduotojų, priskiriamų prie pedagoginių darbuotojų, pareiginės algos pastoviosios dalies koeficientai: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93"/>
        <w:gridCol w:w="2410"/>
        <w:gridCol w:w="2835"/>
      </w:tblGrid>
      <w:tr w:rsidR="001465CF" w14:paraId="10868F3B" w14:textId="77777777">
        <w:trPr>
          <w:trHeight w:val="60"/>
          <w:tblHeader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37" w14:textId="76F80183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Pareigybė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38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iki 10 metų pedagoginio darbo stažą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39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3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1465CF" w14:paraId="10868F3D" w14:textId="77777777">
        <w:trPr>
          <w:trHeight w:val="555"/>
        </w:trPr>
        <w:tc>
          <w:tcPr>
            <w:tcW w:w="983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68F3C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Vadovų ir vadovų pavaduotojų, priskiriamų prie pedagoginių darbuotojų, kuriems nesuteiktos vadybinės kvalifikacinės kategorijos</w:t>
            </w:r>
          </w:p>
        </w:tc>
      </w:tr>
      <w:tr w:rsidR="001465CF" w14:paraId="10868F42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3E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3F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4,4–6,49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0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4,5–7,24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1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4,6–8,0</w:t>
            </w:r>
          </w:p>
        </w:tc>
      </w:tr>
      <w:tr w:rsidR="001465CF" w14:paraId="10868F47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3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vadovų pavaduotojai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4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4,0–5,73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5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4,08–6,41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6" w14:textId="77777777" w:rsidR="001465CF" w:rsidRDefault="00855364">
            <w:pPr>
              <w:ind w:left="-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4,14–7,15</w:t>
            </w:r>
          </w:p>
        </w:tc>
      </w:tr>
      <w:tr w:rsidR="001465CF" w14:paraId="10868F49" w14:textId="77777777">
        <w:trPr>
          <w:trHeight w:val="555"/>
        </w:trPr>
        <w:tc>
          <w:tcPr>
            <w:tcW w:w="983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68F48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Vadovų ir vadovų pavaduotojų, priskiriamų prie pedagoginių darbuotojų, kuriems suteiktos vadybinės kvalifikacinės kategorijos</w:t>
            </w:r>
          </w:p>
        </w:tc>
      </w:tr>
      <w:tr w:rsidR="001465CF" w14:paraId="10868F4E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A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B" w14:textId="77777777" w:rsidR="001465CF" w:rsidRDefault="001465CF">
            <w:pPr>
              <w:ind w:left="-993" w:firstLine="62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C" w14:textId="77777777" w:rsidR="001465CF" w:rsidRDefault="001465CF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D" w14:textId="77777777" w:rsidR="001465CF" w:rsidRDefault="001465CF">
            <w:pPr>
              <w:ind w:left="-993"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1465CF" w14:paraId="10868F53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4F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 kategorija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0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6,36–9,59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1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6,68–10,67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2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7,01–11,81</w:t>
            </w:r>
          </w:p>
        </w:tc>
      </w:tr>
      <w:tr w:rsidR="001465CF" w14:paraId="10868F58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4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kategorija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5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5,6–8,98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6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5,87–9,97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7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6,18–11,09</w:t>
            </w:r>
          </w:p>
        </w:tc>
      </w:tr>
      <w:tr w:rsidR="001465CF" w14:paraId="10868F5D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9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III kategorija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4,89–7,88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B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5,13–8,76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C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5,42–9,74</w:t>
            </w:r>
          </w:p>
        </w:tc>
      </w:tr>
      <w:tr w:rsidR="001465CF" w14:paraId="10868F62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E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vadovų pavaduotojai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5F" w14:textId="77777777" w:rsidR="001465CF" w:rsidRDefault="001465CF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0" w14:textId="77777777" w:rsidR="001465CF" w:rsidRDefault="001465CF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1" w14:textId="77777777" w:rsidR="001465CF" w:rsidRDefault="001465CF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1465CF" w14:paraId="10868F67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3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 kategorija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4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5,72–8,51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5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5,98–9,43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6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6,26–10,48</w:t>
            </w:r>
          </w:p>
        </w:tc>
      </w:tr>
      <w:tr w:rsidR="001465CF" w14:paraId="10868F6C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8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kategorija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9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5,04–8,21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5,3–9,12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B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5,55–10,11</w:t>
            </w:r>
          </w:p>
        </w:tc>
      </w:tr>
      <w:tr w:rsidR="001465CF" w14:paraId="10868F71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D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III kategorija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E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4,44–7,05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6F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4,67–7,83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0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4,89–8,68</w:t>
            </w:r>
          </w:p>
        </w:tc>
      </w:tr>
      <w:tr w:rsidR="001465CF" w14:paraId="10868F73" w14:textId="77777777">
        <w:trPr>
          <w:trHeight w:val="555"/>
        </w:trPr>
        <w:tc>
          <w:tcPr>
            <w:tcW w:w="983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68F72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Vadovų ir vadovų pavaduotojų, priskiriamų prie pedagoginių darbuotojų, kuriems nesuteikiamos vadybinės kvalifikacinės kategorijos</w:t>
            </w:r>
          </w:p>
        </w:tc>
      </w:tr>
      <w:tr w:rsidR="001465CF" w14:paraId="10868F78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4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5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4,4–9,55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6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4,5–10,64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7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4,6–11,81</w:t>
            </w:r>
          </w:p>
        </w:tc>
      </w:tr>
      <w:tr w:rsidR="001465CF" w14:paraId="10868F7D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9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vadovų pavaduotojai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4,0–8,49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B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4,08–9,43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7C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4,14–10,48“</w:t>
            </w:r>
          </w:p>
        </w:tc>
      </w:tr>
    </w:tbl>
    <w:p w14:paraId="10868F7E" w14:textId="30FA87BF" w:rsidR="001465CF" w:rsidRDefault="001465CF">
      <w:pPr>
        <w:ind w:firstLine="782"/>
        <w:rPr>
          <w:rFonts w:ascii="TimesLT" w:hAnsi="TimesLT"/>
          <w:szCs w:val="24"/>
          <w:lang w:val="en-US" w:eastAsia="lt-LT"/>
        </w:rPr>
      </w:pPr>
    </w:p>
    <w:p w14:paraId="10868F7F" w14:textId="04C0CB96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Įstatymo 5 priedo 24 punktą ir jį išdėstyti taip:</w:t>
      </w:r>
    </w:p>
    <w:p w14:paraId="10868F80" w14:textId="60B26A65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szCs w:val="24"/>
          <w:lang w:eastAsia="lt-LT"/>
        </w:rPr>
        <w:t>24. Mokytojų (išskyrus mokytojus, nurodytus šio priedo 29, 31 ir 32 punktuose), neformaliojo švietimo mokytojų (pedagogų) (toliau – mokytojai):</w:t>
      </w:r>
    </w:p>
    <w:p w14:paraId="10868F81" w14:textId="77777777" w:rsidR="001465CF" w:rsidRDefault="00855364">
      <w:pPr>
        <w:overflowPunct w:val="0"/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24.1. kuriems nesuteiktos kvalifikacinės kategorijos, pareiginės algos pastoviosios dalies koeficientai: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841"/>
        <w:gridCol w:w="1843"/>
        <w:gridCol w:w="1842"/>
        <w:gridCol w:w="1843"/>
      </w:tblGrid>
      <w:tr w:rsidR="001465CF" w14:paraId="10868F87" w14:textId="77777777">
        <w:trPr>
          <w:trHeight w:val="20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2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Pareigybė ir išsilavinimas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3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Turintiems iki 3 metų pedagoginio darbo stažą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4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Turintiems nuo 3 iki 10 metų pedagoginio darbo stažą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5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6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Turintiems 15 ir daugiau metų pedagoginio darbo stažą</w:t>
            </w:r>
          </w:p>
        </w:tc>
      </w:tr>
      <w:tr w:rsidR="001465CF" w14:paraId="10868F8E" w14:textId="77777777">
        <w:trPr>
          <w:trHeight w:val="20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8" w14:textId="77777777" w:rsidR="001465CF" w:rsidRDefault="001465CF">
            <w:pPr>
              <w:ind w:firstLine="24"/>
              <w:rPr>
                <w:szCs w:val="24"/>
                <w:lang w:eastAsia="lt-LT"/>
              </w:rPr>
            </w:pPr>
          </w:p>
          <w:p w14:paraId="10868F89" w14:textId="77777777" w:rsidR="001465CF" w:rsidRDefault="0085536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Mokytojai, įgiję aukštesnįjį ar specialųjį vidurinį išsilavinimą, įgytą iki 1995 metų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A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B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C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3,26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D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</w:t>
            </w:r>
          </w:p>
        </w:tc>
      </w:tr>
      <w:tr w:rsidR="001465CF" w14:paraId="10868F95" w14:textId="77777777">
        <w:trPr>
          <w:trHeight w:val="20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8F" w14:textId="77777777" w:rsidR="001465CF" w:rsidRDefault="001465CF">
            <w:pPr>
              <w:ind w:firstLine="24"/>
              <w:rPr>
                <w:szCs w:val="24"/>
                <w:lang w:eastAsia="lt-LT"/>
              </w:rPr>
            </w:pPr>
          </w:p>
          <w:p w14:paraId="10868F90" w14:textId="77777777" w:rsidR="001465CF" w:rsidRDefault="00855364">
            <w:pPr>
              <w:overflowPunct w:val="0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Mokytojai, įgiję aukštąjį universitetinį ar koleginį išsilavinimą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91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92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93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8F94" w14:textId="77777777" w:rsidR="001465CF" w:rsidRDefault="00855364">
            <w:pPr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</w:t>
            </w:r>
          </w:p>
        </w:tc>
      </w:tr>
    </w:tbl>
    <w:p w14:paraId="10868F96" w14:textId="6249C271" w:rsidR="001465CF" w:rsidRDefault="001465CF">
      <w:pPr>
        <w:ind w:firstLine="782"/>
        <w:rPr>
          <w:rFonts w:ascii="TimesLT" w:hAnsi="TimesLT"/>
          <w:szCs w:val="24"/>
          <w:lang w:val="en-US" w:eastAsia="lt-LT"/>
        </w:rPr>
      </w:pPr>
    </w:p>
    <w:p w14:paraId="10868F97" w14:textId="77777777" w:rsidR="001465CF" w:rsidRDefault="00855364">
      <w:pPr>
        <w:spacing w:line="360" w:lineRule="auto"/>
        <w:ind w:firstLine="720"/>
        <w:jc w:val="both"/>
        <w:rPr>
          <w:rFonts w:ascii="TimesLT" w:hAnsi="TimesLT"/>
          <w:szCs w:val="24"/>
          <w:lang w:val="en-US" w:eastAsia="lt-LT"/>
        </w:rPr>
      </w:pPr>
      <w:r>
        <w:rPr>
          <w:color w:val="000000"/>
          <w:szCs w:val="24"/>
          <w:lang w:eastAsia="lt-LT"/>
        </w:rPr>
        <w:t xml:space="preserve">24.2. kuriems suteiktos kvalifikacinės kategorijos, </w:t>
      </w:r>
      <w:r>
        <w:rPr>
          <w:szCs w:val="24"/>
          <w:lang w:eastAsia="lt-LT"/>
        </w:rPr>
        <w:t>pareiginės algos pastoviosios dalies</w:t>
      </w:r>
      <w:r>
        <w:rPr>
          <w:color w:val="000000"/>
          <w:szCs w:val="24"/>
          <w:lang w:eastAsia="lt-LT"/>
        </w:rPr>
        <w:t xml:space="preserve"> koeficientai:</w:t>
      </w:r>
      <w:r>
        <w:rPr>
          <w:rFonts w:ascii="TimesLT" w:hAnsi="TimesLT"/>
          <w:szCs w:val="24"/>
          <w:lang w:val="en-US" w:eastAsia="lt-LT"/>
        </w:rPr>
        <w:t xml:space="preserve"> 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93"/>
        <w:gridCol w:w="2268"/>
        <w:gridCol w:w="2977"/>
      </w:tblGrid>
      <w:tr w:rsidR="001465CF" w14:paraId="10868F9C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8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Pareigybė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9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iki 10 metų pedagoginio darbo stažą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B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1465CF" w14:paraId="10868FA1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D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Mokytojai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E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3,31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9F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3,41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0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3,45</w:t>
            </w:r>
          </w:p>
        </w:tc>
      </w:tr>
      <w:tr w:rsidR="001465CF" w14:paraId="10868FA6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2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Vyresnieji mokytojai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3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3,46–3,51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4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3,5–3,56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5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3,63–3,7</w:t>
            </w:r>
          </w:p>
        </w:tc>
      </w:tr>
      <w:tr w:rsidR="001465CF" w14:paraId="10868FAB" w14:textId="77777777">
        <w:trPr>
          <w:trHeight w:val="6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7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Mokytojai metodininkai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8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3,7–3,77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9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3,77–3,84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3,89–3,96</w:t>
            </w:r>
          </w:p>
        </w:tc>
      </w:tr>
      <w:tr w:rsidR="001465CF" w14:paraId="10868FB0" w14:textId="77777777">
        <w:trPr>
          <w:trHeight w:val="376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C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Mokytojai ekspertai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D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4,2–4,29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E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4,28–4,36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AF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4,4–4,47</w:t>
            </w:r>
          </w:p>
        </w:tc>
      </w:tr>
    </w:tbl>
    <w:p w14:paraId="10868FB1" w14:textId="2E6F1363" w:rsidR="001465CF" w:rsidRDefault="001465CF">
      <w:pPr>
        <w:ind w:firstLine="782"/>
        <w:rPr>
          <w:rFonts w:ascii="TimesLT" w:hAnsi="TimesLT"/>
          <w:szCs w:val="24"/>
          <w:lang w:val="en-US" w:eastAsia="lt-LT"/>
        </w:rPr>
      </w:pPr>
    </w:p>
    <w:p w14:paraId="10868FB2" w14:textId="23E9191D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24.3. kuriems taikomos Lietuvos Respublikos švietimo įstatymo pakeitimo įstatymo Nr. XI-1281 2 straipsnio 6 dalies nuostatos, pareiginės algos pastoviosios dalies koeficientai: turintiems iki 15 metų pedagoginio darbo stažą – 3,15; turintiems 15 ir daugiau metų pedagoginio darbo stažą – 3,19;</w:t>
      </w:r>
    </w:p>
    <w:p w14:paraId="10868FB3" w14:textId="6C06A77B" w:rsidR="001465CF" w:rsidRDefault="00855364">
      <w:pPr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24.4. kurie dirba pagal neformaliojo švietimo programas (išskyrus ikimokyklinio ugdymo ir priešmokyklinio ugdymo bei formalųjį švietimą papildančio ugdymo programas) ir yra įgiję tik vidurinį išsilavinimą, pareiginės algos pastoviosios dalies koeficientai: turintiems iki 15 metų pedagoginio darbo stažą – 3,15; turintiems 15 ir daugiau metų pedagoginio darbo stažą – 3,19.“</w:t>
      </w:r>
    </w:p>
    <w:p w14:paraId="10868FB4" w14:textId="4A93550C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</w:t>
      </w:r>
      <w:r>
        <w:rPr>
          <w:color w:val="000000"/>
          <w:szCs w:val="24"/>
          <w:lang w:eastAsia="lt-LT"/>
        </w:rPr>
        <w:t>keist</w:t>
      </w:r>
      <w:r>
        <w:rPr>
          <w:szCs w:val="24"/>
          <w:lang w:eastAsia="lt-LT"/>
        </w:rPr>
        <w:t>i Įstatymo 5 priedo 32 punktą ir jį išdėstyti taip:</w:t>
      </w:r>
    </w:p>
    <w:p w14:paraId="10868FB5" w14:textId="032E5680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„32. Profesijos mokytojų:</w:t>
      </w:r>
    </w:p>
    <w:p w14:paraId="10868FB6" w14:textId="77777777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32.1. kuriems nesuteiktos kvalifikacinės kategorijos, pareiginės algos pastoviosios dalies koeficientai: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126"/>
        <w:gridCol w:w="1985"/>
        <w:gridCol w:w="1701"/>
        <w:gridCol w:w="2126"/>
      </w:tblGrid>
      <w:tr w:rsidR="001465CF" w14:paraId="10868FBC" w14:textId="77777777">
        <w:trPr>
          <w:trHeight w:val="555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7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Pareigybė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8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iki 3 metų pedagoginio darbo stažą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9" w14:textId="77777777" w:rsidR="001465CF" w:rsidRDefault="00855364">
            <w:pPr>
              <w:ind w:left="-21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nuo 3 iki 10 metų pedagoginio darbo stažą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A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B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pacing w:val="-1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1465CF" w14:paraId="10868FC2" w14:textId="77777777">
        <w:trPr>
          <w:trHeight w:val="492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D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Profesijos mokytojas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E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3,18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BF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3,22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0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1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</w:t>
            </w:r>
          </w:p>
        </w:tc>
      </w:tr>
    </w:tbl>
    <w:p w14:paraId="10868FC3" w14:textId="06F06791" w:rsidR="001465CF" w:rsidRDefault="001465CF">
      <w:pPr>
        <w:spacing w:line="360" w:lineRule="auto"/>
        <w:ind w:firstLine="782"/>
        <w:jc w:val="both"/>
        <w:textAlignment w:val="baseline"/>
        <w:rPr>
          <w:rFonts w:ascii="TimesLT" w:hAnsi="TimesLT"/>
          <w:szCs w:val="24"/>
          <w:lang w:val="en-US" w:eastAsia="lt-LT"/>
        </w:rPr>
      </w:pPr>
    </w:p>
    <w:p w14:paraId="10868FC4" w14:textId="77777777" w:rsidR="001465CF" w:rsidRDefault="00855364">
      <w:pPr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32.2. kuriems suteiktos kvalifikacinės kategorijos, mėnesinių tarifinių atlygių koeficientai:</w:t>
      </w:r>
      <w:r>
        <w:rPr>
          <w:szCs w:val="24"/>
          <w:lang w:eastAsia="lt-LT"/>
        </w:rPr>
        <w:t xml:space="preserve"> 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93"/>
        <w:gridCol w:w="2410"/>
        <w:gridCol w:w="2835"/>
      </w:tblGrid>
      <w:tr w:rsidR="001465CF" w14:paraId="10868FC9" w14:textId="77777777">
        <w:trPr>
          <w:trHeight w:val="540"/>
          <w:tblHeader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5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Pareigybė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6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iki 10 metų pedagoginio darbo stažą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7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8" w14:textId="77777777" w:rsidR="001465CF" w:rsidRDefault="0085536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1465CF" w14:paraId="10868FCE" w14:textId="77777777">
        <w:trPr>
          <w:trHeight w:val="34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A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Profesijos mokytojas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B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3,31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C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3,41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D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3,45</w:t>
            </w:r>
          </w:p>
        </w:tc>
      </w:tr>
      <w:tr w:rsidR="001465CF" w14:paraId="10868FD3" w14:textId="77777777">
        <w:trPr>
          <w:trHeight w:val="39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CF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Vyresnysis profesijos mokytojas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0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3,46–3,51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1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3,5–3,55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2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3,63–3,7</w:t>
            </w:r>
          </w:p>
        </w:tc>
      </w:tr>
      <w:tr w:rsidR="001465CF" w14:paraId="10868FD8" w14:textId="77777777">
        <w:trPr>
          <w:trHeight w:val="39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4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Profesijos mokytojas metodininkas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5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3,7–3,77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6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3,77–3,84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7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3,89–3,96</w:t>
            </w:r>
          </w:p>
        </w:tc>
      </w:tr>
      <w:tr w:rsidR="001465CF" w14:paraId="10868FDD" w14:textId="77777777">
        <w:trPr>
          <w:trHeight w:val="390"/>
        </w:trPr>
        <w:tc>
          <w:tcPr>
            <w:tcW w:w="1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9" w14:textId="77777777" w:rsidR="001465CF" w:rsidRDefault="00855364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Profesijos mokytojas ekspertas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A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4,2–4,29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B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4,28–4,36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68FDC" w14:textId="77777777" w:rsidR="001465CF" w:rsidRDefault="00855364">
            <w:pPr>
              <w:ind w:left="5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4,4–4,47“</w:t>
            </w:r>
          </w:p>
        </w:tc>
      </w:tr>
    </w:tbl>
    <w:p w14:paraId="10868FDE" w14:textId="5C554C16" w:rsidR="001465CF" w:rsidRDefault="001465CF">
      <w:pPr>
        <w:spacing w:line="360" w:lineRule="auto"/>
        <w:ind w:firstLine="782"/>
        <w:rPr>
          <w:rFonts w:ascii="TimesLT" w:hAnsi="TimesLT"/>
          <w:szCs w:val="24"/>
          <w:lang w:val="en-US" w:eastAsia="lt-LT"/>
        </w:rPr>
      </w:pPr>
    </w:p>
    <w:p w14:paraId="10868FDF" w14:textId="77777777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5 straipsnis. Įstatymo įsigaliojimas </w:t>
      </w:r>
    </w:p>
    <w:p w14:paraId="10868FE0" w14:textId="77777777" w:rsidR="001465CF" w:rsidRDefault="0085536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Šis įstatymas įsigalioja 2018 m. sausio 1 d.</w:t>
      </w:r>
    </w:p>
    <w:p w14:paraId="10868FE1" w14:textId="77777777" w:rsidR="001465CF" w:rsidRDefault="001465CF">
      <w:pPr>
        <w:spacing w:line="360" w:lineRule="auto"/>
        <w:ind w:firstLine="720"/>
        <w:jc w:val="both"/>
        <w:rPr>
          <w:i/>
          <w:szCs w:val="24"/>
        </w:rPr>
      </w:pPr>
    </w:p>
    <w:p w14:paraId="10868FE2" w14:textId="77777777" w:rsidR="001465CF" w:rsidRDefault="00855364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10868FE3" w14:textId="77777777" w:rsidR="001465CF" w:rsidRDefault="001465CF">
      <w:pPr>
        <w:spacing w:line="360" w:lineRule="auto"/>
        <w:rPr>
          <w:i/>
          <w:szCs w:val="24"/>
        </w:rPr>
      </w:pPr>
    </w:p>
    <w:p w14:paraId="10868FE4" w14:textId="77777777" w:rsidR="001465CF" w:rsidRDefault="001465CF">
      <w:pPr>
        <w:spacing w:line="360" w:lineRule="auto"/>
        <w:rPr>
          <w:i/>
          <w:szCs w:val="24"/>
        </w:rPr>
      </w:pPr>
    </w:p>
    <w:p w14:paraId="10868FE5" w14:textId="77777777" w:rsidR="001465CF" w:rsidRDefault="001465CF">
      <w:pPr>
        <w:spacing w:line="360" w:lineRule="auto"/>
      </w:pPr>
    </w:p>
    <w:p w14:paraId="10868FE6" w14:textId="77777777" w:rsidR="001465CF" w:rsidRDefault="00855364">
      <w:pPr>
        <w:tabs>
          <w:tab w:val="right" w:pos="9356"/>
        </w:tabs>
      </w:pPr>
      <w:r>
        <w:t>Respublikos Prezidentė</w:t>
      </w:r>
      <w:r>
        <w:rPr>
          <w:caps/>
        </w:rPr>
        <w:tab/>
      </w:r>
      <w:r>
        <w:t>Dalia Grybauskaitė</w:t>
      </w:r>
    </w:p>
    <w:sectPr w:rsidR="001465C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8E00C" w14:textId="77777777" w:rsidR="00075981" w:rsidRDefault="000759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2CC8930" w14:textId="77777777" w:rsidR="00075981" w:rsidRDefault="000759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8FF1" w14:textId="77777777" w:rsidR="001465CF" w:rsidRDefault="00855364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0868FF2" w14:textId="77777777" w:rsidR="001465CF" w:rsidRDefault="001465C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8FF3" w14:textId="77777777" w:rsidR="001465CF" w:rsidRDefault="001465C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8FF5" w14:textId="77777777" w:rsidR="001465CF" w:rsidRDefault="001465C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DB898" w14:textId="77777777" w:rsidR="00075981" w:rsidRDefault="000759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0E8E7C4C" w14:textId="77777777" w:rsidR="00075981" w:rsidRDefault="000759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8FED" w14:textId="77777777" w:rsidR="001465CF" w:rsidRDefault="00855364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0868FEE" w14:textId="77777777" w:rsidR="001465CF" w:rsidRDefault="001465C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8FEF" w14:textId="77777777" w:rsidR="001465CF" w:rsidRDefault="00855364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3353F0">
      <w:rPr>
        <w:noProof/>
        <w:szCs w:val="24"/>
        <w:lang w:val="en-US"/>
      </w:rPr>
      <w:t>5</w:t>
    </w:r>
    <w:r>
      <w:rPr>
        <w:szCs w:val="24"/>
        <w:lang w:val="en-US"/>
      </w:rPr>
      <w:fldChar w:fldCharType="end"/>
    </w:r>
  </w:p>
  <w:p w14:paraId="10868FF0" w14:textId="77777777" w:rsidR="001465CF" w:rsidRDefault="001465C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8FF4" w14:textId="77777777" w:rsidR="001465CF" w:rsidRDefault="001465C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B"/>
    <w:rsid w:val="00075981"/>
    <w:rsid w:val="001465CF"/>
    <w:rsid w:val="003353F0"/>
    <w:rsid w:val="00486665"/>
    <w:rsid w:val="00733FAB"/>
    <w:rsid w:val="0085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68E7D"/>
  <w15:docId w15:val="{429B06B9-E6E7-4494-8266-4A8E10C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553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4415</Words>
  <Characters>2517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6919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DRAZDAUSKIENĖ Nijolė</dc:creator>
  <cp:lastModifiedBy>Sonata Vizorienė</cp:lastModifiedBy>
  <cp:revision>2</cp:revision>
  <cp:lastPrinted>2004-12-10T05:45:00Z</cp:lastPrinted>
  <dcterms:created xsi:type="dcterms:W3CDTF">2017-11-28T08:52:00Z</dcterms:created>
  <dcterms:modified xsi:type="dcterms:W3CDTF">2017-11-28T08:52:00Z</dcterms:modified>
</cp:coreProperties>
</file>