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F1" w:rsidRDefault="00B404F6">
      <w:pPr>
        <w:rPr>
          <w:b/>
        </w:rPr>
      </w:pPr>
      <w:r w:rsidRPr="00B404F6">
        <w:rPr>
          <w:b/>
        </w:rPr>
        <w:t xml:space="preserve">AIŠKINAMASIS RAŠTAS </w:t>
      </w:r>
    </w:p>
    <w:p w:rsidR="00A52CA7" w:rsidRDefault="00B404F6" w:rsidP="00B404F6">
      <w:pPr>
        <w:rPr>
          <w:b/>
        </w:rPr>
      </w:pPr>
      <w:bookmarkStart w:id="0" w:name="Pavadinimas"/>
      <w:r w:rsidRPr="00621815">
        <w:rPr>
          <w:b/>
        </w:rPr>
        <w:t xml:space="preserve">DĖL </w:t>
      </w:r>
      <w:r>
        <w:rPr>
          <w:b/>
        </w:rPr>
        <w:t>KOMUNALINIŲ ATLIEKŲ TVARKYMO KAINOS, SUSIDARYMO NORMOS IR DVINARĖS ĮMOKOS UŽ KOMUNALINIŲ ATLIEKŲ SURINKIMĄ</w:t>
      </w:r>
      <w:r w:rsidR="0020356B">
        <w:rPr>
          <w:b/>
        </w:rPr>
        <w:t xml:space="preserve"> IŠ ATLIEKŲ TURĖTOJŲ</w:t>
      </w:r>
      <w:r>
        <w:rPr>
          <w:b/>
        </w:rPr>
        <w:t xml:space="preserve"> IR</w:t>
      </w:r>
      <w:r w:rsidR="0020356B">
        <w:rPr>
          <w:b/>
        </w:rPr>
        <w:t xml:space="preserve"> ATLIEKŲ</w:t>
      </w:r>
      <w:r>
        <w:rPr>
          <w:b/>
        </w:rPr>
        <w:t xml:space="preserve"> TVARKYMĄ DYDŽIŲ PATVIRTINIMO, SAVIVALDYBĖS TARYBOS 201</w:t>
      </w:r>
      <w:r w:rsidR="00A52CA7">
        <w:rPr>
          <w:b/>
        </w:rPr>
        <w:t>6</w:t>
      </w:r>
      <w:r>
        <w:rPr>
          <w:b/>
        </w:rPr>
        <w:t xml:space="preserve"> M. </w:t>
      </w:r>
      <w:r w:rsidR="00A52CA7">
        <w:rPr>
          <w:b/>
        </w:rPr>
        <w:t>GRUODŽ</w:t>
      </w:r>
      <w:r>
        <w:rPr>
          <w:b/>
        </w:rPr>
        <w:t xml:space="preserve">IO </w:t>
      </w:r>
      <w:r w:rsidR="00A52CA7">
        <w:rPr>
          <w:b/>
        </w:rPr>
        <w:t>29</w:t>
      </w:r>
      <w:r>
        <w:rPr>
          <w:b/>
        </w:rPr>
        <w:t xml:space="preserve"> D. SPRENDIMO Nr. 1</w:t>
      </w:r>
      <w:proofErr w:type="gramStart"/>
      <w:r>
        <w:rPr>
          <w:b/>
        </w:rPr>
        <w:t>-</w:t>
      </w:r>
      <w:proofErr w:type="gramEnd"/>
      <w:r w:rsidR="00A52CA7">
        <w:rPr>
          <w:b/>
        </w:rPr>
        <w:t>426</w:t>
      </w:r>
      <w:r>
        <w:rPr>
          <w:b/>
        </w:rPr>
        <w:t xml:space="preserve"> </w:t>
      </w:r>
    </w:p>
    <w:p w:rsidR="00B404F6" w:rsidRDefault="00B404F6" w:rsidP="00B404F6">
      <w:pPr>
        <w:rPr>
          <w:b/>
        </w:rPr>
      </w:pPr>
      <w:r>
        <w:rPr>
          <w:b/>
        </w:rPr>
        <w:t>PRIPAŽINIMO NETEKUSIU GALIOS</w:t>
      </w:r>
    </w:p>
    <w:bookmarkEnd w:id="0"/>
    <w:p w:rsidR="00B404F6" w:rsidRDefault="00B404F6">
      <w:r w:rsidRPr="00B404F6">
        <w:t>201</w:t>
      </w:r>
      <w:r w:rsidR="00A52CA7">
        <w:t>7</w:t>
      </w:r>
      <w:r w:rsidRPr="00B404F6">
        <w:t xml:space="preserve"> </w:t>
      </w:r>
      <w:r>
        <w:t xml:space="preserve">m. </w:t>
      </w:r>
      <w:r w:rsidR="00A52CA7">
        <w:t>lapkrič</w:t>
      </w:r>
      <w:r>
        <w:t xml:space="preserve">io </w:t>
      </w:r>
      <w:r w:rsidR="00A52CA7">
        <w:t>7</w:t>
      </w:r>
      <w:r>
        <w:t xml:space="preserve"> d.</w:t>
      </w:r>
    </w:p>
    <w:p w:rsidR="00B404F6" w:rsidRDefault="00B404F6">
      <w:r>
        <w:t>Panevėžys</w:t>
      </w:r>
    </w:p>
    <w:p w:rsidR="00B404F6" w:rsidRDefault="00B404F6"/>
    <w:p w:rsidR="00B404F6" w:rsidRDefault="00B404F6" w:rsidP="00B404F6">
      <w:pPr>
        <w:jc w:val="both"/>
        <w:rPr>
          <w:b/>
        </w:rPr>
      </w:pPr>
      <w:r w:rsidRPr="00B404F6">
        <w:rPr>
          <w:b/>
        </w:rPr>
        <w:t>1. Problemos esmė:</w:t>
      </w:r>
    </w:p>
    <w:p w:rsidR="00D70F4A" w:rsidRDefault="00D70F4A" w:rsidP="00C42D34">
      <w:pPr>
        <w:ind w:firstLine="851"/>
        <w:jc w:val="both"/>
      </w:pPr>
      <w:r w:rsidRPr="00D70F4A">
        <w:t>Panevėžio miesto savivaldybės taryba 2016 m. gruodžio 29</w:t>
      </w:r>
      <w:r>
        <w:t xml:space="preserve"> d.</w:t>
      </w:r>
      <w:r w:rsidRPr="00D70F4A">
        <w:t xml:space="preserve"> sprendimu </w:t>
      </w:r>
      <w:r>
        <w:t>Nr. 1</w:t>
      </w:r>
      <w:proofErr w:type="gramStart"/>
      <w:r>
        <w:t>-</w:t>
      </w:r>
      <w:proofErr w:type="gramEnd"/>
      <w:r>
        <w:t>426</w:t>
      </w:r>
    </w:p>
    <w:p w:rsidR="00D70F4A" w:rsidRDefault="00D70F4A" w:rsidP="00B404F6">
      <w:pPr>
        <w:jc w:val="both"/>
      </w:pPr>
      <w:r>
        <w:t>patvirtino komunalinių atliekų tvarkymo kainą, susidarymo normas ir dvinarės</w:t>
      </w:r>
      <w:r w:rsidR="001C654D">
        <w:t xml:space="preserve"> </w:t>
      </w:r>
      <w:r>
        <w:t>įmokos</w:t>
      </w:r>
      <w:r w:rsidR="001C654D">
        <w:t xml:space="preserve"> už komunalinių atliekų surinkimą iš atliekų turėtojų ir atliekų tvarkymą dydžius (toliau – Įmokos </w:t>
      </w:r>
      <w:r w:rsidR="00EF3A61">
        <w:t>dydžiai), kurie taikomi nuo 2017 m. sausio 1 d.</w:t>
      </w:r>
    </w:p>
    <w:p w:rsidR="00EF3A61" w:rsidRDefault="00EF3A61" w:rsidP="00C42D34">
      <w:pPr>
        <w:ind w:firstLine="851"/>
        <w:jc w:val="both"/>
      </w:pPr>
      <w:r>
        <w:t xml:space="preserve">Vadovaujantis </w:t>
      </w:r>
      <w:r w:rsidRPr="00D70F4A">
        <w:t>Panevėžio miesto savivaldybės taryb</w:t>
      </w:r>
      <w:r>
        <w:t>os</w:t>
      </w:r>
      <w:r w:rsidRPr="00D70F4A">
        <w:t xml:space="preserve"> 2016 m. gruodžio 29</w:t>
      </w:r>
      <w:r>
        <w:t xml:space="preserve"> d.</w:t>
      </w:r>
      <w:r w:rsidRPr="00D70F4A">
        <w:t xml:space="preserve"> sprendimu </w:t>
      </w:r>
      <w:r>
        <w:t>Nr.1</w:t>
      </w:r>
      <w:proofErr w:type="gramStart"/>
      <w:r>
        <w:t>-</w:t>
      </w:r>
      <w:proofErr w:type="gramEnd"/>
      <w:r>
        <w:t xml:space="preserve">425 patvirtintos </w:t>
      </w:r>
      <w:r w:rsidRPr="00D70F4A">
        <w:t>Panevėžio miesto savivaldybės</w:t>
      </w:r>
      <w:r>
        <w:t xml:space="preserve"> dvinarės įmokos už komunalinių atliekų surinkimą iš atliekų turėtojų ir atliekų tvarkymą dydžio nustatymo metodikos 65 punktu, </w:t>
      </w:r>
      <w:r w:rsidR="00A57A0F">
        <w:t>„</w:t>
      </w:r>
      <w:r>
        <w:t xml:space="preserve">pasibaigus </w:t>
      </w:r>
      <w:r w:rsidR="008912E2">
        <w:t>veiklos einamųjų metų 9 mėnesiams būtinosios sąnaudos perskaičiuojamos ateinantiems finansiniams metams</w:t>
      </w:r>
      <w:r w:rsidR="00A57A0F">
        <w:t>. Būtinosios sąnaudos perskaičiuojamos atsižvelgiant į einamųjų metų 1</w:t>
      </w:r>
      <w:proofErr w:type="gramStart"/>
      <w:r w:rsidR="00A57A0F">
        <w:t>-</w:t>
      </w:r>
      <w:proofErr w:type="gramEnd"/>
      <w:r w:rsidR="00A57A0F">
        <w:t>9 mėn. faktinius ir 10-12 mėn. prognozuojamus finansinius rezultatus</w:t>
      </w:r>
      <w:r w:rsidR="00630180">
        <w:t>, sąnaudų pokyčius, į naujų komunalinių atliekų tvarkymo priemonių įgyvendinimą.“</w:t>
      </w:r>
    </w:p>
    <w:p w:rsidR="00650910" w:rsidRDefault="00650910" w:rsidP="00650910">
      <w:pPr>
        <w:spacing w:line="276" w:lineRule="auto"/>
        <w:ind w:firstLine="851"/>
        <w:jc w:val="both"/>
      </w:pPr>
      <w:r w:rsidRPr="00AB5B65">
        <w:t xml:space="preserve">Gautas </w:t>
      </w:r>
      <w:r>
        <w:t>2017 m. liepos 11 d. Vyriausybės atstovo Panevėžio apskrityje tarnybos teikimas Nr. T- 9 „Dėl 2016 m. gruodžio 29 d. sprendimo Nr. 1</w:t>
      </w:r>
      <w:proofErr w:type="gramStart"/>
      <w:r>
        <w:t>-</w:t>
      </w:r>
      <w:proofErr w:type="gramEnd"/>
      <w:r>
        <w:t xml:space="preserve">426 pakeitimo“, kuriame išsakytos pastabos, kad </w:t>
      </w:r>
      <w:r w:rsidR="00A614DA">
        <w:t xml:space="preserve">Tarybos sprendimu Nr. 1-426 </w:t>
      </w:r>
      <w:r>
        <w:t xml:space="preserve">patvirtinti Įmokos dydžiai tik daliai iš 19 </w:t>
      </w:r>
      <w:r w:rsidR="00A614DA">
        <w:t>m</w:t>
      </w:r>
      <w:r>
        <w:t xml:space="preserve">etodikoje numatytų nekilnojamojo turto objektų kategorijų. </w:t>
      </w:r>
    </w:p>
    <w:p w:rsidR="003C6584" w:rsidRPr="00AB5B65" w:rsidRDefault="003C6584" w:rsidP="00650910">
      <w:pPr>
        <w:spacing w:line="276" w:lineRule="auto"/>
        <w:ind w:firstLine="851"/>
        <w:jc w:val="both"/>
      </w:pPr>
    </w:p>
    <w:p w:rsidR="00B404F6" w:rsidRDefault="00B404F6" w:rsidP="00B404F6">
      <w:pPr>
        <w:jc w:val="both"/>
        <w:rPr>
          <w:b/>
        </w:rPr>
      </w:pPr>
      <w:r>
        <w:rPr>
          <w:b/>
        </w:rPr>
        <w:t>2. Kaip šiuo metu sprendžiami sprendimo projekte aptarti klausimai:</w:t>
      </w:r>
    </w:p>
    <w:p w:rsidR="00B404F6" w:rsidRDefault="000F0524" w:rsidP="000F0524">
      <w:pPr>
        <w:ind w:firstLine="851"/>
        <w:jc w:val="both"/>
      </w:pPr>
      <w:r w:rsidRPr="000F0524">
        <w:t xml:space="preserve">Teikiamas sprendimo </w:t>
      </w:r>
      <w:r>
        <w:t>projektas, kuriuo</w:t>
      </w:r>
      <w:r w:rsidR="005B4C35">
        <w:t xml:space="preserve"> siūloma patvirtinti komunalinių atliekų tvarkymo kainas, susidarymo normas</w:t>
      </w:r>
      <w:r w:rsidR="00DA2ACF">
        <w:t xml:space="preserve"> visoms atliekų turėtojų grupėms</w:t>
      </w:r>
      <w:r w:rsidR="005B4C35">
        <w:t xml:space="preserve"> ir dvinarės įmokos už komunalinių atliekų surinkimą</w:t>
      </w:r>
      <w:r w:rsidR="0020356B">
        <w:t xml:space="preserve"> iš atliekų turėtojų</w:t>
      </w:r>
      <w:r w:rsidR="005B4C35">
        <w:t xml:space="preserve"> ir </w:t>
      </w:r>
      <w:r w:rsidR="0020356B">
        <w:t xml:space="preserve">atliekų </w:t>
      </w:r>
      <w:r w:rsidR="005B4C35">
        <w:t>tvarkymą dydžius</w:t>
      </w:r>
      <w:r w:rsidR="00A614DA">
        <w:t xml:space="preserve"> visoms nekilnojamojo turto objektų kategorijoms</w:t>
      </w:r>
      <w:r w:rsidR="005B4C35">
        <w:t>.</w:t>
      </w:r>
    </w:p>
    <w:p w:rsidR="003C6584" w:rsidRPr="000F0524" w:rsidRDefault="003C6584" w:rsidP="000F0524">
      <w:pPr>
        <w:ind w:firstLine="851"/>
        <w:jc w:val="both"/>
      </w:pPr>
    </w:p>
    <w:p w:rsidR="00B404F6" w:rsidRDefault="00B404F6" w:rsidP="00B404F6">
      <w:pPr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:rsidR="00B404F6" w:rsidRDefault="009169BE" w:rsidP="00D5658F">
      <w:pPr>
        <w:spacing w:line="276" w:lineRule="auto"/>
        <w:ind w:firstLine="851"/>
        <w:jc w:val="both"/>
      </w:pPr>
      <w:r>
        <w:t xml:space="preserve">Priėmus sprendimą bus atsižvelgta į </w:t>
      </w:r>
      <w:r>
        <w:t>Vyriausybės atstovės teikime Nr. T-9 nurodyt</w:t>
      </w:r>
      <w:r>
        <w:t>a</w:t>
      </w:r>
      <w:r>
        <w:t>s pastab</w:t>
      </w:r>
      <w:r>
        <w:t>a</w:t>
      </w:r>
      <w:r>
        <w:t>s</w:t>
      </w:r>
      <w:r>
        <w:t xml:space="preserve"> ir </w:t>
      </w:r>
      <w:r>
        <w:t xml:space="preserve">patvirtinti Įmokos dydžiai </w:t>
      </w:r>
      <w:r>
        <w:t>visiems</w:t>
      </w:r>
      <w:r>
        <w:t xml:space="preserve"> 19 metodikoje numatytų nekilnojamojo turto objektų kategorijų</w:t>
      </w:r>
      <w:r>
        <w:t xml:space="preserve">. </w:t>
      </w:r>
    </w:p>
    <w:p w:rsidR="003C6584" w:rsidRDefault="003C6584" w:rsidP="00D5658F">
      <w:pPr>
        <w:spacing w:line="276" w:lineRule="auto"/>
        <w:ind w:firstLine="851"/>
        <w:jc w:val="both"/>
        <w:rPr>
          <w:b/>
        </w:rPr>
      </w:pPr>
    </w:p>
    <w:p w:rsidR="00B404F6" w:rsidRDefault="00B404F6" w:rsidP="00B404F6">
      <w:pPr>
        <w:jc w:val="both"/>
        <w:rPr>
          <w:b/>
        </w:rPr>
      </w:pPr>
      <w:r>
        <w:rPr>
          <w:b/>
        </w:rPr>
        <w:t>4. Skaičiavimai, išlaidų sąmatos, finansavimo šaltiniai:</w:t>
      </w:r>
    </w:p>
    <w:p w:rsidR="009F1276" w:rsidRDefault="009F1276" w:rsidP="009F1276">
      <w:pPr>
        <w:pStyle w:val="Pagrindiniotekstotrauka"/>
      </w:pPr>
      <w:r>
        <w:t>2016</w:t>
      </w:r>
      <w:proofErr w:type="gramStart"/>
      <w:r>
        <w:t>-</w:t>
      </w:r>
      <w:proofErr w:type="gramEnd"/>
      <w:r>
        <w:t xml:space="preserve">2017 metais atlikus mišrių komunalinių atliekų susidarymo normų tyrimą, visoms Panevėžio miesto komunalinių atliekų turėtojų grupėms nustatytos komunalinių atliekų susidarymo normos </w:t>
      </w:r>
      <w:r>
        <w:t>m³</w:t>
      </w:r>
      <w:r>
        <w:t xml:space="preserve"> ir komunalinių atliekų tūrinis svoris </w:t>
      </w:r>
      <w:r>
        <w:t>kg/m³</w:t>
      </w:r>
      <w:r>
        <w:t xml:space="preserve">. </w:t>
      </w:r>
      <w:r>
        <w:rPr>
          <w:bCs/>
          <w:iCs/>
        </w:rPr>
        <w:t>Vadovaujantis šio tyrimo rezultatais</w:t>
      </w:r>
      <w:r>
        <w:t xml:space="preserve"> ir 2013 m. vasario 20 d. LR aplinkos ministro įsakymu Nr. D1-150 nustatytu NT objektų rūšių sąrašu, visi juridiniai asmenys suskirstomi į grupes ir DVĮ pastovioji dalis skaičiuojama nuo NT užimamo ploto, o kintamoji– nuo faktinio atliekų kiekio, bet ne mažesnio nei nustatyta norma.</w:t>
      </w:r>
    </w:p>
    <w:p w:rsidR="009F1276" w:rsidRDefault="009F1276" w:rsidP="009F1276">
      <w:pPr>
        <w:pStyle w:val="Pagrindiniotekstotrauka"/>
      </w:pPr>
      <w:r>
        <w:t>Svarbus veiksnys, skaičiuojant DVĮ gyventojams pasikeitę šie parametrai :</w:t>
      </w:r>
    </w:p>
    <w:p w:rsidR="003C6584" w:rsidRDefault="003C6584" w:rsidP="009F1276">
      <w:pPr>
        <w:pStyle w:val="Pagrindiniotekstotrauka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1 lentelė</w:t>
      </w:r>
    </w:p>
    <w:p w:rsidR="009F1276" w:rsidRDefault="009F1276" w:rsidP="009F1276">
      <w:pPr>
        <w:pStyle w:val="Pagrindiniotekstotrauka"/>
        <w:jc w:val="center"/>
        <w:rPr>
          <w:b/>
          <w:bCs/>
        </w:rPr>
      </w:pPr>
      <w:r>
        <w:rPr>
          <w:b/>
          <w:bCs/>
        </w:rPr>
        <w:t>Panevėžio miesto gyventojų komunalinių atliekų (KA) susidarymo normos ir tūrinio svorio pokyčiai 2018 metais, lyginant su 2017 metais</w:t>
      </w:r>
    </w:p>
    <w:p w:rsidR="003C6584" w:rsidRDefault="003C6584" w:rsidP="009F1276">
      <w:pPr>
        <w:pStyle w:val="Pagrindiniotekstotrauka"/>
        <w:ind w:left="8460" w:firstLine="0"/>
      </w:pPr>
    </w:p>
    <w:p w:rsidR="003C6584" w:rsidRDefault="003C6584" w:rsidP="009F1276">
      <w:pPr>
        <w:pStyle w:val="Pagrindiniotekstotrauka"/>
        <w:ind w:left="8460" w:firstLine="0"/>
      </w:pPr>
    </w:p>
    <w:p w:rsidR="003C6584" w:rsidRDefault="003C6584" w:rsidP="009F1276">
      <w:pPr>
        <w:pStyle w:val="Pagrindiniotekstotrauka"/>
        <w:ind w:left="8460" w:firstLine="0"/>
      </w:pPr>
    </w:p>
    <w:p w:rsidR="009F1276" w:rsidRDefault="009F1276" w:rsidP="009F1276">
      <w:pPr>
        <w:pStyle w:val="Pagrindiniotekstotrauka"/>
        <w:ind w:left="8460" w:firstLine="0"/>
      </w:pPr>
    </w:p>
    <w:tbl>
      <w:tblPr>
        <w:tblW w:w="9385" w:type="dxa"/>
        <w:tblInd w:w="-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2827"/>
        <w:gridCol w:w="992"/>
        <w:gridCol w:w="1053"/>
        <w:gridCol w:w="940"/>
        <w:gridCol w:w="842"/>
        <w:gridCol w:w="851"/>
        <w:gridCol w:w="1417"/>
      </w:tblGrid>
      <w:tr w:rsidR="009F1276" w:rsidTr="003C6584">
        <w:trPr>
          <w:cantSplit/>
          <w:trHeight w:val="71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276" w:rsidRDefault="009F1276" w:rsidP="0071588D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Eil. Nr.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  <w:lang w:eastAsia="lt-LT"/>
              </w:rPr>
              <w:t>Atliekų turėtojų grupė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  <w:lang w:eastAsia="lt-LT"/>
              </w:rPr>
              <w:t>KA susidarymo norma m³</w:t>
            </w:r>
            <w:r w:rsidR="003C6584">
              <w:rPr>
                <w:sz w:val="22"/>
                <w:lang w:eastAsia="lt-LT"/>
              </w:rPr>
              <w:t xml:space="preserve"> </w:t>
            </w:r>
            <w:r>
              <w:rPr>
                <w:sz w:val="22"/>
                <w:lang w:eastAsia="lt-LT"/>
              </w:rPr>
              <w:t>/</w:t>
            </w:r>
            <w:r w:rsidR="003C6584">
              <w:rPr>
                <w:sz w:val="22"/>
                <w:lang w:eastAsia="lt-LT"/>
              </w:rPr>
              <w:t xml:space="preserve"> </w:t>
            </w:r>
            <w:r>
              <w:rPr>
                <w:sz w:val="22"/>
                <w:lang w:eastAsia="lt-LT"/>
              </w:rPr>
              <w:t>gyvent.</w:t>
            </w:r>
            <w:r w:rsidR="003C6584">
              <w:rPr>
                <w:sz w:val="22"/>
                <w:lang w:eastAsia="lt-LT"/>
              </w:rPr>
              <w:t xml:space="preserve"> </w:t>
            </w:r>
            <w:r>
              <w:rPr>
                <w:sz w:val="22"/>
                <w:lang w:eastAsia="lt-LT"/>
              </w:rPr>
              <w:t>/</w:t>
            </w:r>
            <w:r w:rsidR="003C6584">
              <w:rPr>
                <w:sz w:val="22"/>
                <w:lang w:eastAsia="lt-LT"/>
              </w:rPr>
              <w:t xml:space="preserve"> </w:t>
            </w:r>
            <w:r>
              <w:rPr>
                <w:sz w:val="22"/>
                <w:lang w:eastAsia="lt-LT"/>
              </w:rPr>
              <w:t>metus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F1276" w:rsidRDefault="009F1276" w:rsidP="003C6584">
            <w:pPr>
              <w:rPr>
                <w:sz w:val="22"/>
              </w:rPr>
            </w:pPr>
            <w:r>
              <w:rPr>
                <w:sz w:val="22"/>
              </w:rPr>
              <w:t xml:space="preserve">Pokytis </w:t>
            </w:r>
            <w:r>
              <w:rPr>
                <w:color w:val="000000"/>
                <w:sz w:val="22"/>
              </w:rPr>
              <w:t>% (4 st.</w:t>
            </w:r>
            <w:r w:rsidR="003C6584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/ 3 st. x 100</w:t>
            </w:r>
            <w:proofErr w:type="gramStart"/>
            <w:r>
              <w:rPr>
                <w:color w:val="000000"/>
                <w:sz w:val="22"/>
              </w:rPr>
              <w:t>-</w:t>
            </w:r>
            <w:proofErr w:type="gramEnd"/>
            <w:r>
              <w:rPr>
                <w:color w:val="000000"/>
                <w:sz w:val="22"/>
              </w:rPr>
              <w:t>100)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584" w:rsidRDefault="009F1276" w:rsidP="009F1276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KA tūrinis svoris</w:t>
            </w:r>
          </w:p>
          <w:p w:rsidR="009F1276" w:rsidRDefault="009F1276" w:rsidP="009F1276">
            <w:pPr>
              <w:rPr>
                <w:sz w:val="22"/>
              </w:rPr>
            </w:pPr>
            <w:r>
              <w:rPr>
                <w:sz w:val="22"/>
                <w:lang w:eastAsia="lt-LT"/>
              </w:rPr>
              <w:t xml:space="preserve"> kg/m³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C6584" w:rsidRDefault="009F1276" w:rsidP="0071588D">
            <w:pPr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Pokytis </w:t>
            </w:r>
            <w:r>
              <w:rPr>
                <w:color w:val="000000"/>
                <w:sz w:val="22"/>
              </w:rPr>
              <w:t>%</w:t>
            </w:r>
          </w:p>
          <w:p w:rsidR="009F1276" w:rsidRDefault="009F1276" w:rsidP="0071588D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(7 st.</w:t>
            </w:r>
            <w:r w:rsidR="003C6584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/ 6 st. x 100</w:t>
            </w:r>
            <w:r w:rsidR="003C6584"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</w:rPr>
              <w:t>-</w:t>
            </w:r>
            <w:proofErr w:type="gramEnd"/>
            <w:r w:rsidR="003C6584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100)</w:t>
            </w:r>
          </w:p>
        </w:tc>
      </w:tr>
      <w:tr w:rsidR="009F1276" w:rsidTr="003C6584">
        <w:trPr>
          <w:cantSplit/>
          <w:trHeight w:val="37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1276" w:rsidRDefault="009F1276" w:rsidP="0071588D">
            <w:pPr>
              <w:rPr>
                <w:b/>
                <w:bCs/>
                <w:sz w:val="20"/>
              </w:rPr>
            </w:pP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276" w:rsidRDefault="009F1276" w:rsidP="0071588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2017 m.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2018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2017 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2018 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9F1276" w:rsidTr="003C6584">
        <w:trPr>
          <w:cantSplit/>
          <w:trHeight w:val="31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6" w:rsidRDefault="009F1276" w:rsidP="0071588D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6" w:rsidRDefault="009F1276" w:rsidP="0071588D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276" w:rsidRDefault="009F1276" w:rsidP="0071588D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276" w:rsidRDefault="009F1276" w:rsidP="0071588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276" w:rsidRDefault="009F1276" w:rsidP="0071588D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276" w:rsidRDefault="009F1276" w:rsidP="0071588D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276" w:rsidRDefault="009F1276" w:rsidP="0071588D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276" w:rsidRDefault="009F1276" w:rsidP="0071588D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9F1276" w:rsidTr="003C6584">
        <w:trPr>
          <w:cantSplit/>
          <w:trHeight w:val="28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6" w:rsidRDefault="009F1276" w:rsidP="0071588D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1</w:t>
            </w:r>
            <w:r w:rsidR="003C6584">
              <w:rPr>
                <w:bCs/>
                <w:sz w:val="20"/>
                <w:lang w:eastAsia="lt-LT"/>
              </w:rPr>
              <w:t>.</w:t>
            </w: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bCs/>
                <w:sz w:val="22"/>
                <w:lang w:eastAsia="lt-LT"/>
              </w:rPr>
              <w:t>Individualių namų gyventojai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1,33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-18,0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219,67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22,0</w:t>
            </w:r>
          </w:p>
        </w:tc>
      </w:tr>
      <w:tr w:rsidR="009F1276" w:rsidTr="003C6584">
        <w:trPr>
          <w:cantSplit/>
          <w:trHeight w:val="28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76" w:rsidRDefault="009F1276" w:rsidP="0071588D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2</w:t>
            </w:r>
            <w:r w:rsidR="003C6584">
              <w:rPr>
                <w:bCs/>
                <w:sz w:val="20"/>
                <w:lang w:eastAsia="lt-LT"/>
              </w:rPr>
              <w:t>.</w:t>
            </w: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76" w:rsidRDefault="003C6584" w:rsidP="003C6584">
            <w:pPr>
              <w:jc w:val="left"/>
              <w:rPr>
                <w:sz w:val="22"/>
              </w:rPr>
            </w:pPr>
            <w:r>
              <w:rPr>
                <w:bCs/>
                <w:sz w:val="22"/>
                <w:lang w:eastAsia="lt-LT"/>
              </w:rPr>
              <w:t xml:space="preserve"> </w:t>
            </w:r>
            <w:r w:rsidR="009F1276">
              <w:rPr>
                <w:bCs/>
                <w:sz w:val="22"/>
                <w:lang w:eastAsia="lt-LT"/>
              </w:rPr>
              <w:t>Daugiabučių namų butų gyventojai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107,52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276" w:rsidRDefault="009F1276" w:rsidP="0071588D">
            <w:pPr>
              <w:rPr>
                <w:sz w:val="22"/>
              </w:rPr>
            </w:pPr>
            <w:r>
              <w:rPr>
                <w:sz w:val="22"/>
              </w:rPr>
              <w:t>-10,4</w:t>
            </w:r>
          </w:p>
        </w:tc>
      </w:tr>
    </w:tbl>
    <w:p w:rsidR="009F1276" w:rsidRDefault="009F1276" w:rsidP="009F1276">
      <w:pPr>
        <w:pStyle w:val="Pagrindiniotekstotrauka"/>
      </w:pPr>
    </w:p>
    <w:p w:rsidR="009F1276" w:rsidRDefault="009F1276" w:rsidP="009F1276">
      <w:pPr>
        <w:pStyle w:val="Pagrindiniotekstotrauka"/>
      </w:pPr>
      <w:r>
        <w:t xml:space="preserve">Sąvartyno sąnaudos komunalinių atliekų tvarkymo tarife sudaro 48 proc., todėl svarbus veiksnys </w:t>
      </w:r>
      <w:proofErr w:type="gramStart"/>
      <w:r>
        <w:t>įtakojantis</w:t>
      </w:r>
      <w:proofErr w:type="gramEnd"/>
      <w:r>
        <w:t xml:space="preserve"> komunalinių atliekų tvarkymo tarifo perskaičiavimą – nuo 2018 metų vasario 1 d. didinamas mokestis už atliekų priėmimą į regioninį sąvartyną. Naujovė – dvinaris mišrių komunalinių atliekų priėmimo sąvartyne mokestis, t.y. kas mėnesį mokama pastovioji dalis ir kintamoji, kuri priklausys nuo atvežto mišrių komunalinių atliekų svorio.</w:t>
      </w:r>
    </w:p>
    <w:p w:rsidR="009F1276" w:rsidRDefault="009F1276" w:rsidP="009F1276">
      <w:pPr>
        <w:pStyle w:val="Pagrindiniotekstotrauka2"/>
        <w:jc w:val="right"/>
        <w:rPr>
          <w:b w:val="0"/>
          <w:bCs w:val="0"/>
        </w:rPr>
      </w:pPr>
      <w:r>
        <w:rPr>
          <w:b w:val="0"/>
          <w:bCs w:val="0"/>
        </w:rPr>
        <w:t>2 lentelė</w:t>
      </w:r>
    </w:p>
    <w:p w:rsidR="009F1276" w:rsidRDefault="009F1276" w:rsidP="009F1276">
      <w:pPr>
        <w:pStyle w:val="Pagrindiniotekstotrauka2"/>
      </w:pPr>
      <w:r>
        <w:t>Veiksniai, turintys įtaką būtinųjų sąnaudų pokyčiui 2018 metais</w:t>
      </w:r>
    </w:p>
    <w:p w:rsidR="009F1276" w:rsidRDefault="009F1276" w:rsidP="009F1276">
      <w:pPr>
        <w:pStyle w:val="Pagrindiniotekstotrauka2"/>
        <w:jc w:val="left"/>
      </w:pPr>
    </w:p>
    <w:tbl>
      <w:tblPr>
        <w:tblW w:w="9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3752"/>
        <w:gridCol w:w="1341"/>
        <w:gridCol w:w="1240"/>
        <w:gridCol w:w="933"/>
        <w:gridCol w:w="1163"/>
      </w:tblGrid>
      <w:tr w:rsidR="009F1276" w:rsidTr="00626CE6">
        <w:trPr>
          <w:cantSplit/>
          <w:trHeight w:val="315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9F1276" w:rsidRDefault="009F1276" w:rsidP="0071588D">
            <w:pPr>
              <w:jc w:val="both"/>
            </w:pPr>
            <w:r>
              <w:t>Eil. Nr.</w:t>
            </w:r>
          </w:p>
        </w:tc>
        <w:tc>
          <w:tcPr>
            <w:tcW w:w="3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F1276" w:rsidRDefault="009F1276" w:rsidP="007158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F1276" w:rsidRDefault="009F1276" w:rsidP="0071588D">
            <w:r>
              <w:t xml:space="preserve">2017 m. laukiamas įvykdymas tūkst. </w:t>
            </w:r>
            <w:proofErr w:type="spellStart"/>
            <w:r>
              <w:t>Eur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F1276" w:rsidRDefault="009F1276" w:rsidP="00DF4992">
            <w:r>
              <w:t>2018 m. plan</w:t>
            </w:r>
            <w:r w:rsidR="00DF4992">
              <w:t>uojamas</w:t>
            </w:r>
            <w:r>
              <w:t xml:space="preserve"> tūkst. </w:t>
            </w:r>
            <w:proofErr w:type="spellStart"/>
            <w:r>
              <w:t>Eur</w:t>
            </w:r>
            <w:proofErr w:type="spellEnd"/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F1276" w:rsidRDefault="009F1276" w:rsidP="0071588D">
            <w:r>
              <w:t>Pokytis</w:t>
            </w:r>
          </w:p>
        </w:tc>
      </w:tr>
      <w:tr w:rsidR="009F1276" w:rsidTr="00626CE6">
        <w:trPr>
          <w:cantSplit/>
          <w:trHeight w:val="859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276" w:rsidRDefault="009F1276" w:rsidP="0071588D"/>
        </w:tc>
        <w:tc>
          <w:tcPr>
            <w:tcW w:w="3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276" w:rsidRDefault="009F1276" w:rsidP="0071588D">
            <w:pPr>
              <w:rPr>
                <w:b/>
                <w:bCs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276" w:rsidRDefault="009F1276" w:rsidP="0071588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276" w:rsidRDefault="009F1276" w:rsidP="0071588D"/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F1276" w:rsidRDefault="009F1276" w:rsidP="0071588D">
            <w:r>
              <w:t xml:space="preserve">Suma tūkst. </w:t>
            </w:r>
            <w:proofErr w:type="spellStart"/>
            <w:r>
              <w:t>Eur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F1276" w:rsidRDefault="009F1276" w:rsidP="0071588D">
            <w:pPr>
              <w:rPr>
                <w:color w:val="000000"/>
              </w:rPr>
            </w:pPr>
            <w:r>
              <w:rPr>
                <w:color w:val="000000"/>
              </w:rPr>
              <w:t>% (5 st./ 1 eil. 3 st. x 100)</w:t>
            </w:r>
          </w:p>
        </w:tc>
      </w:tr>
      <w:tr w:rsidR="009F1276" w:rsidTr="00626CE6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6</w:t>
            </w:r>
          </w:p>
        </w:tc>
      </w:tr>
      <w:tr w:rsidR="009F1276" w:rsidTr="00626CE6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F1276" w:rsidRDefault="009F1276" w:rsidP="0071588D">
            <w:r>
              <w:t>1.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8400F0">
            <w:pPr>
              <w:jc w:val="left"/>
            </w:pPr>
            <w:r>
              <w:t xml:space="preserve">Būtinosios sąnaudos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2 612,4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2 918,7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306,3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11,7</w:t>
            </w:r>
          </w:p>
        </w:tc>
      </w:tr>
      <w:tr w:rsidR="009F1276" w:rsidTr="00626CE6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F1276" w:rsidRDefault="009F1276" w:rsidP="0071588D">
            <w:r>
              <w:t>2.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8400F0">
            <w:pPr>
              <w:jc w:val="left"/>
            </w:pPr>
            <w:r>
              <w:t>Įtaka būtinųjų sąnaudų pokyčiui: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 </w:t>
            </w:r>
          </w:p>
        </w:tc>
      </w:tr>
      <w:tr w:rsidR="009F1276" w:rsidTr="00626CE6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F1276" w:rsidRDefault="009F1276" w:rsidP="0071588D">
            <w:r>
              <w:t>2.1.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8400F0">
            <w:pPr>
              <w:jc w:val="left"/>
            </w:pPr>
            <w:r>
              <w:t xml:space="preserve">Sąvartyno kainų padidėjimas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256,5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9,8</w:t>
            </w:r>
          </w:p>
        </w:tc>
      </w:tr>
      <w:tr w:rsidR="009F1276" w:rsidTr="00626CE6">
        <w:trPr>
          <w:trHeight w:val="63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F1276" w:rsidRDefault="009F1276" w:rsidP="0071588D">
            <w:r>
              <w:t>2.2.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8400F0">
            <w:pPr>
              <w:jc w:val="left"/>
            </w:pPr>
            <w:r>
              <w:t>AB ,,Panevėžio specialus autotransportas" sąnaudų padidėjimas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49,8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F1276" w:rsidRDefault="009F1276" w:rsidP="0071588D">
            <w:r>
              <w:t>1,9</w:t>
            </w:r>
          </w:p>
        </w:tc>
      </w:tr>
    </w:tbl>
    <w:p w:rsidR="009F1276" w:rsidRDefault="009F1276" w:rsidP="009F1276">
      <w:pPr>
        <w:pStyle w:val="Pagrindiniotekstotrauka2"/>
        <w:jc w:val="left"/>
      </w:pPr>
    </w:p>
    <w:p w:rsidR="009F1276" w:rsidRDefault="009F1276" w:rsidP="009F1276">
      <w:pPr>
        <w:pStyle w:val="Pagrindiniotekstotrauka2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sąvartyno sąnaudų padidėjimas (2 lentelė 2.1. punktas) – 256,5 tūkst. </w:t>
      </w:r>
      <w:proofErr w:type="spellStart"/>
      <w:r>
        <w:rPr>
          <w:b w:val="0"/>
          <w:bCs w:val="0"/>
        </w:rPr>
        <w:t>Eur</w:t>
      </w:r>
      <w:proofErr w:type="spellEnd"/>
      <w:r>
        <w:rPr>
          <w:b w:val="0"/>
          <w:bCs w:val="0"/>
        </w:rPr>
        <w:t>.:</w:t>
      </w:r>
    </w:p>
    <w:p w:rsidR="009F1276" w:rsidRDefault="009F1276" w:rsidP="009F1276">
      <w:pPr>
        <w:pStyle w:val="Pagrindiniotekstotrauka2"/>
        <w:ind w:left="360" w:firstLine="0"/>
        <w:jc w:val="both"/>
        <w:rPr>
          <w:b w:val="0"/>
          <w:bCs w:val="0"/>
        </w:rPr>
      </w:pPr>
      <w:r>
        <w:t xml:space="preserve">     – </w:t>
      </w:r>
      <w:r>
        <w:rPr>
          <w:b w:val="0"/>
          <w:bCs w:val="0"/>
        </w:rPr>
        <w:t xml:space="preserve">Šiuo metu mišrių komunalinių atliekų šalinimo sąvartyne kaina yra 40,48 </w:t>
      </w:r>
      <w:proofErr w:type="spellStart"/>
      <w:r>
        <w:rPr>
          <w:b w:val="0"/>
          <w:bCs w:val="0"/>
        </w:rPr>
        <w:t>Eur</w:t>
      </w:r>
      <w:proofErr w:type="spellEnd"/>
      <w:r w:rsidR="00DB6186">
        <w:rPr>
          <w:b w:val="0"/>
          <w:bCs w:val="0"/>
        </w:rPr>
        <w:t xml:space="preserve"> už </w:t>
      </w:r>
      <w:r>
        <w:rPr>
          <w:b w:val="0"/>
          <w:bCs w:val="0"/>
        </w:rPr>
        <w:t>t. Nuo 2018 m. vasario 1 d. Panevėžio regiono atliekų tvarkymo centras (toliau – PRATC) mišrių komunalinių atliekų šalinim</w:t>
      </w:r>
      <w:r w:rsidR="00DB6186">
        <w:rPr>
          <w:b w:val="0"/>
          <w:bCs w:val="0"/>
        </w:rPr>
        <w:t>o</w:t>
      </w:r>
      <w:r>
        <w:rPr>
          <w:b w:val="0"/>
          <w:bCs w:val="0"/>
        </w:rPr>
        <w:t xml:space="preserve"> sąvartyne mokestį skaido į dvinarį, t.y. PRATC nustato pastoviąją mokesčio dalį, kuri bus 37739 </w:t>
      </w:r>
      <w:proofErr w:type="spellStart"/>
      <w:r>
        <w:rPr>
          <w:b w:val="0"/>
          <w:bCs w:val="0"/>
        </w:rPr>
        <w:t>Eur</w:t>
      </w:r>
      <w:proofErr w:type="spellEnd"/>
      <w:r w:rsidR="00DB6186">
        <w:rPr>
          <w:b w:val="0"/>
          <w:bCs w:val="0"/>
        </w:rPr>
        <w:t xml:space="preserve"> per </w:t>
      </w:r>
      <w:r>
        <w:rPr>
          <w:b w:val="0"/>
          <w:bCs w:val="0"/>
        </w:rPr>
        <w:t xml:space="preserve">mėn. ir kintamąją dalį, kuri bus 29,68 </w:t>
      </w:r>
      <w:proofErr w:type="spellStart"/>
      <w:r>
        <w:rPr>
          <w:b w:val="0"/>
          <w:bCs w:val="0"/>
        </w:rPr>
        <w:t>Eur</w:t>
      </w:r>
      <w:proofErr w:type="spellEnd"/>
      <w:r w:rsidR="00DB6186">
        <w:rPr>
          <w:b w:val="0"/>
          <w:bCs w:val="0"/>
        </w:rPr>
        <w:t xml:space="preserve"> už </w:t>
      </w:r>
      <w:r>
        <w:rPr>
          <w:b w:val="0"/>
          <w:bCs w:val="0"/>
        </w:rPr>
        <w:t>t.</w:t>
      </w:r>
      <w:r w:rsidR="001642C0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Iš garažų bendrijų vežamos mišrios komunalinės atliekos kainuos 51,12 </w:t>
      </w:r>
      <w:proofErr w:type="spellStart"/>
      <w:r>
        <w:rPr>
          <w:b w:val="0"/>
          <w:bCs w:val="0"/>
        </w:rPr>
        <w:t>Eur</w:t>
      </w:r>
      <w:proofErr w:type="spellEnd"/>
      <w:r w:rsidR="00DB6186">
        <w:rPr>
          <w:b w:val="0"/>
          <w:bCs w:val="0"/>
        </w:rPr>
        <w:t xml:space="preserve"> už </w:t>
      </w:r>
      <w:r>
        <w:rPr>
          <w:b w:val="0"/>
          <w:bCs w:val="0"/>
        </w:rPr>
        <w:t xml:space="preserve">t. Vidutinė planinė mišrių komunalinių atliekų tonos kaina bus 48,94 </w:t>
      </w:r>
      <w:proofErr w:type="spellStart"/>
      <w:r>
        <w:rPr>
          <w:b w:val="0"/>
          <w:bCs w:val="0"/>
        </w:rPr>
        <w:t>Eur</w:t>
      </w:r>
      <w:proofErr w:type="spellEnd"/>
      <w:r>
        <w:rPr>
          <w:b w:val="0"/>
          <w:bCs w:val="0"/>
        </w:rPr>
        <w:t>, kuri lyginant su dabar galiojančia didėja 20,9 proc.</w:t>
      </w:r>
    </w:p>
    <w:p w:rsidR="009F1276" w:rsidRDefault="009F1276" w:rsidP="009F1276">
      <w:pPr>
        <w:pStyle w:val="Pagrindiniotekstotrauka2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– Šiuo metu galiojanti kitų komunalinių atliekų (didžiųjų, statybos</w:t>
      </w:r>
      <w:r w:rsidR="00DB6186"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-</w:t>
      </w:r>
      <w:proofErr w:type="gramEnd"/>
      <w:r w:rsidR="00DB618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griovimo, atliekų paliktų prie konteinerių aikštelių ir kt.) priėmimo sąvartyne kaina 39,95 </w:t>
      </w:r>
      <w:proofErr w:type="spellStart"/>
      <w:r>
        <w:rPr>
          <w:b w:val="0"/>
          <w:bCs w:val="0"/>
        </w:rPr>
        <w:t>Eur</w:t>
      </w:r>
      <w:proofErr w:type="spellEnd"/>
      <w:r w:rsidR="00DB6186">
        <w:rPr>
          <w:b w:val="0"/>
          <w:bCs w:val="0"/>
        </w:rPr>
        <w:t xml:space="preserve"> už </w:t>
      </w:r>
      <w:r>
        <w:rPr>
          <w:b w:val="0"/>
          <w:bCs w:val="0"/>
        </w:rPr>
        <w:t xml:space="preserve">t. Nuo 2018 m. vasario 1 d. už šias atliekas sąvartyne bus mokama 51,12 </w:t>
      </w:r>
      <w:proofErr w:type="spellStart"/>
      <w:r>
        <w:rPr>
          <w:b w:val="0"/>
          <w:bCs w:val="0"/>
        </w:rPr>
        <w:t>Eur</w:t>
      </w:r>
      <w:proofErr w:type="spellEnd"/>
      <w:r w:rsidR="00DB6186">
        <w:rPr>
          <w:b w:val="0"/>
          <w:bCs w:val="0"/>
        </w:rPr>
        <w:t xml:space="preserve"> už </w:t>
      </w:r>
      <w:r>
        <w:rPr>
          <w:b w:val="0"/>
          <w:bCs w:val="0"/>
        </w:rPr>
        <w:t>t (kaina didėja 28 proc.).</w:t>
      </w:r>
    </w:p>
    <w:p w:rsidR="009F1276" w:rsidRDefault="001642C0" w:rsidP="009F1276">
      <w:pPr>
        <w:pStyle w:val="Pagrindiniotekstotrauka2"/>
        <w:ind w:left="360" w:firstLine="633"/>
        <w:jc w:val="both"/>
        <w:rPr>
          <w:b w:val="0"/>
          <w:bCs w:val="0"/>
        </w:rPr>
      </w:pPr>
      <w:r>
        <w:rPr>
          <w:b w:val="0"/>
          <w:bCs w:val="0"/>
        </w:rPr>
        <w:t>Šios</w:t>
      </w:r>
      <w:r w:rsidR="009F1276">
        <w:rPr>
          <w:b w:val="0"/>
          <w:bCs w:val="0"/>
        </w:rPr>
        <w:t xml:space="preserve"> nurodytos kainų pokyčių aplinkybės </w:t>
      </w:r>
      <w:proofErr w:type="gramStart"/>
      <w:r w:rsidR="009F1276">
        <w:rPr>
          <w:b w:val="0"/>
          <w:bCs w:val="0"/>
        </w:rPr>
        <w:t>įtakoja</w:t>
      </w:r>
      <w:proofErr w:type="gramEnd"/>
      <w:r w:rsidR="009F1276">
        <w:rPr>
          <w:b w:val="0"/>
          <w:bCs w:val="0"/>
        </w:rPr>
        <w:t xml:space="preserve"> būtinųjų sąnaudų padidėjimą 9,8 proc.</w:t>
      </w:r>
    </w:p>
    <w:p w:rsidR="00626CE6" w:rsidRDefault="009F1276" w:rsidP="003317ED">
      <w:pPr>
        <w:pStyle w:val="Pagrindiniotekstotrauka2"/>
        <w:numPr>
          <w:ilvl w:val="0"/>
          <w:numId w:val="2"/>
        </w:numPr>
        <w:tabs>
          <w:tab w:val="clear" w:pos="1080"/>
          <w:tab w:val="num" w:pos="360"/>
        </w:tabs>
        <w:ind w:left="360" w:firstLine="360"/>
        <w:jc w:val="both"/>
        <w:rPr>
          <w:b w:val="0"/>
          <w:bCs w:val="0"/>
        </w:rPr>
      </w:pPr>
      <w:r w:rsidRPr="00626CE6">
        <w:rPr>
          <w:b w:val="0"/>
          <w:bCs w:val="0"/>
        </w:rPr>
        <w:t xml:space="preserve">AB ,,Panevėžio specialus autotransportas" sąnaudų padidėjimas (2 lentelė 2.2. punktas) – 49,8 tūkst. </w:t>
      </w:r>
      <w:proofErr w:type="spellStart"/>
      <w:r w:rsidRPr="00626CE6">
        <w:rPr>
          <w:b w:val="0"/>
          <w:bCs w:val="0"/>
        </w:rPr>
        <w:t>Eur</w:t>
      </w:r>
      <w:proofErr w:type="spellEnd"/>
      <w:r w:rsidRPr="00626CE6">
        <w:rPr>
          <w:b w:val="0"/>
          <w:bCs w:val="0"/>
        </w:rPr>
        <w:t xml:space="preserve"> planuojamas dėl minimalios algos kilimo, kuris numatomas 2018 m. Planuojama, kad minimali alga nuo 2018 m. sausio 1 d. didėja iki 400 </w:t>
      </w:r>
      <w:proofErr w:type="spellStart"/>
      <w:r w:rsidRPr="00626CE6">
        <w:rPr>
          <w:b w:val="0"/>
          <w:bCs w:val="0"/>
        </w:rPr>
        <w:t>Eur</w:t>
      </w:r>
      <w:proofErr w:type="spellEnd"/>
      <w:r w:rsidRPr="00626CE6">
        <w:rPr>
          <w:b w:val="0"/>
          <w:bCs w:val="0"/>
        </w:rPr>
        <w:t xml:space="preserve"> (5,3 proc.). Padidinus minimalų darbo užmokestį susidaro darbo užmokesčio dydžio disproporcija tarp aukštesnės kvalifikacijos darbininkų ir darbininkų gaunančių minimalią algą, todėl darbo užmokestis vairuotojams ir aukštesnės kvalifikacijos darbininkams planuojamas didinti iki 7 proc.</w:t>
      </w:r>
    </w:p>
    <w:p w:rsidR="009F1276" w:rsidRPr="00626CE6" w:rsidRDefault="009F1276" w:rsidP="0003268D">
      <w:pPr>
        <w:pStyle w:val="Pagrindiniotekstotrauka2"/>
        <w:ind w:firstLine="1002"/>
        <w:jc w:val="both"/>
        <w:rPr>
          <w:b w:val="0"/>
          <w:bCs w:val="0"/>
        </w:rPr>
      </w:pPr>
      <w:r w:rsidRPr="00626CE6">
        <w:rPr>
          <w:b w:val="0"/>
          <w:bCs w:val="0"/>
        </w:rPr>
        <w:lastRenderedPageBreak/>
        <w:t>Skaičiuoj</w:t>
      </w:r>
      <w:r w:rsidR="00DB6186" w:rsidRPr="00626CE6">
        <w:rPr>
          <w:b w:val="0"/>
          <w:bCs w:val="0"/>
        </w:rPr>
        <w:t>ant DVĮ 2017-s</w:t>
      </w:r>
      <w:r w:rsidRPr="00626CE6">
        <w:rPr>
          <w:b w:val="0"/>
          <w:bCs w:val="0"/>
        </w:rPr>
        <w:t>iems metams, būtinosios sąnaudos buvo skirstomos į pastoviąsias ir kintamąsias, kur pastovioji dalis sudarė 30 proc. o kintamoji – 70 proc. Nuo 2018 m. vasario 1 d. PRATC įvedus dvinarį mokestį, šio mokesčio pastovioji dalis įtraukta į atliekų turėtojams tenkančią pastoviąją dalį, todėl procentinis pasiskirstymas tarp pastovios ir kintamos dalių atliekų turėtojams 2018 metais persiskirsto į 44 proc. ir 56 proc., kur 44 – pastovioji ir 56 –kintamoji.</w:t>
      </w:r>
    </w:p>
    <w:p w:rsidR="009F1276" w:rsidRPr="00AE5278" w:rsidRDefault="009F1276" w:rsidP="009F1276">
      <w:pPr>
        <w:pStyle w:val="Pagrindiniotekstotrauka2"/>
        <w:jc w:val="both"/>
        <w:rPr>
          <w:b w:val="0"/>
          <w:bCs w:val="0"/>
        </w:rPr>
      </w:pPr>
      <w:r w:rsidRPr="00AE5278">
        <w:rPr>
          <w:b w:val="0"/>
          <w:bCs w:val="0"/>
        </w:rPr>
        <w:t xml:space="preserve">Įvertinus visus veiksnius, nuo 2018 m. </w:t>
      </w:r>
      <w:r w:rsidR="00DB6186">
        <w:rPr>
          <w:b w:val="0"/>
          <w:bCs w:val="0"/>
        </w:rPr>
        <w:t>saus</w:t>
      </w:r>
      <w:r w:rsidRPr="00AE5278">
        <w:rPr>
          <w:b w:val="0"/>
          <w:bCs w:val="0"/>
        </w:rPr>
        <w:t>io 1 d. daugiabučių namų gyventojams DVĮ vidutiniškai didėja 4,4 proc., privačių valdų gyventojams– 5,8 proc.</w:t>
      </w:r>
    </w:p>
    <w:p w:rsidR="009F1276" w:rsidRDefault="009F1276" w:rsidP="009F1276">
      <w:pPr>
        <w:pStyle w:val="Pagrindiniotekstotrauka2"/>
        <w:jc w:val="both"/>
        <w:rPr>
          <w:b w:val="0"/>
          <w:bCs w:val="0"/>
        </w:rPr>
      </w:pPr>
    </w:p>
    <w:p w:rsidR="006074EE" w:rsidRDefault="00B96E54" w:rsidP="00B404F6">
      <w:pPr>
        <w:jc w:val="both"/>
        <w:rPr>
          <w:b/>
        </w:rPr>
      </w:pPr>
      <w:r>
        <w:rPr>
          <w:b/>
        </w:rPr>
        <w:t>5. G</w:t>
      </w:r>
      <w:r w:rsidR="006074EE">
        <w:rPr>
          <w:b/>
        </w:rPr>
        <w:t>alimos neigiamos pasekmės priėmus sprendimą, kokių priemonių reikėtų imtis, kad tokių pasekmių būtų išvengta:</w:t>
      </w:r>
    </w:p>
    <w:p w:rsidR="006074EE" w:rsidRPr="00B96E54" w:rsidRDefault="00B96E54" w:rsidP="00DB0A13">
      <w:pPr>
        <w:ind w:firstLine="709"/>
        <w:jc w:val="both"/>
      </w:pPr>
      <w:r w:rsidRPr="00B96E54">
        <w:t xml:space="preserve">Neigiamų pasekmių </w:t>
      </w:r>
      <w:r>
        <w:t xml:space="preserve">priėmus sprendimą </w:t>
      </w:r>
      <w:r w:rsidRPr="00B96E54">
        <w:t>nenumatoma.</w:t>
      </w:r>
      <w:r w:rsidR="00655BE2">
        <w:t xml:space="preserve"> Nepriėmus sprendimo, nebus įgyvendintos atliekų tvarkymą reglamentuojančios teisės aktų nuostatos ir Vyriausybės atstovo Panevėžio apskrityje tarnybos 201</w:t>
      </w:r>
      <w:r w:rsidR="00612E08">
        <w:t>7</w:t>
      </w:r>
      <w:r w:rsidR="00655BE2">
        <w:t xml:space="preserve"> m. </w:t>
      </w:r>
      <w:r w:rsidR="00612E08">
        <w:t>liepos</w:t>
      </w:r>
      <w:r w:rsidR="00655BE2">
        <w:t xml:space="preserve"> 1</w:t>
      </w:r>
      <w:r w:rsidR="00612E08">
        <w:t>1</w:t>
      </w:r>
      <w:r w:rsidR="00655BE2">
        <w:t xml:space="preserve"> d. </w:t>
      </w:r>
      <w:r w:rsidR="00612E08">
        <w:t>t</w:t>
      </w:r>
      <w:r w:rsidR="00655BE2">
        <w:t xml:space="preserve">eikimas Nr. </w:t>
      </w:r>
      <w:r w:rsidR="00612E08">
        <w:t>T-9 „D</w:t>
      </w:r>
      <w:r w:rsidR="00D70F4A">
        <w:t>ėl</w:t>
      </w:r>
      <w:r w:rsidR="00612E08">
        <w:t xml:space="preserve"> 2016 m. gruodžio 29 d. sprendimo Nr. 1</w:t>
      </w:r>
      <w:proofErr w:type="gramStart"/>
      <w:r w:rsidR="00612E08">
        <w:t>-</w:t>
      </w:r>
      <w:proofErr w:type="gramEnd"/>
      <w:r w:rsidR="00612E08">
        <w:t>426 pakeitimo“.</w:t>
      </w:r>
      <w:r w:rsidR="00655BE2">
        <w:t xml:space="preserve"> </w:t>
      </w:r>
    </w:p>
    <w:p w:rsidR="00404790" w:rsidRDefault="00404790" w:rsidP="00DB0A13">
      <w:pPr>
        <w:jc w:val="both"/>
        <w:rPr>
          <w:b/>
        </w:rPr>
      </w:pPr>
    </w:p>
    <w:p w:rsidR="00612E08" w:rsidRDefault="006074EE" w:rsidP="00DB0A13">
      <w:pPr>
        <w:jc w:val="both"/>
        <w:rPr>
          <w:b/>
        </w:rPr>
      </w:pPr>
      <w:r>
        <w:rPr>
          <w:b/>
        </w:rPr>
        <w:t>6. Kieno iniciatyva parengtas sprendimo projektas:</w:t>
      </w:r>
      <w:r w:rsidR="00DB0A13">
        <w:rPr>
          <w:b/>
        </w:rPr>
        <w:t xml:space="preserve"> </w:t>
      </w:r>
    </w:p>
    <w:p w:rsidR="006074EE" w:rsidRDefault="00E351C3" w:rsidP="00612E08">
      <w:pPr>
        <w:ind w:firstLine="709"/>
        <w:jc w:val="both"/>
      </w:pPr>
      <w:r>
        <w:t>S</w:t>
      </w:r>
      <w:r w:rsidR="00612E08">
        <w:t>prendimo projektas parengtas S</w:t>
      </w:r>
      <w:r w:rsidR="005B4C35" w:rsidRPr="005B4C35">
        <w:t xml:space="preserve">avivaldybės administracijos </w:t>
      </w:r>
      <w:r w:rsidR="00612E08">
        <w:t xml:space="preserve">Miesto plėtros skyriaus </w:t>
      </w:r>
      <w:r w:rsidR="005B4C35" w:rsidRPr="005B4C35">
        <w:t>iniciatyva</w:t>
      </w:r>
      <w:r w:rsidR="00AF0497">
        <w:t xml:space="preserve">, gavus iš </w:t>
      </w:r>
      <w:r w:rsidR="00AF0497" w:rsidRPr="00626CE6">
        <w:t>AB ,,Panevėžio specialus autotransportas</w:t>
      </w:r>
      <w:r w:rsidR="00AF0497">
        <w:t>“ duomenis</w:t>
      </w:r>
      <w:bookmarkStart w:id="1" w:name="_GoBack"/>
      <w:bookmarkEnd w:id="1"/>
      <w:r w:rsidR="007403C5">
        <w:t>.</w:t>
      </w:r>
    </w:p>
    <w:p w:rsidR="00612E08" w:rsidRDefault="00612E08" w:rsidP="00612E08">
      <w:pPr>
        <w:ind w:firstLine="709"/>
        <w:jc w:val="both"/>
      </w:pPr>
    </w:p>
    <w:p w:rsidR="00404790" w:rsidRDefault="00404790" w:rsidP="00404790">
      <w:pPr>
        <w:jc w:val="both"/>
      </w:pPr>
      <w:r>
        <w:t>PRIDEDAMA:</w:t>
      </w:r>
    </w:p>
    <w:p w:rsidR="00AF2C1B" w:rsidRDefault="00AF2C1B" w:rsidP="00AF2C1B">
      <w:pPr>
        <w:jc w:val="both"/>
      </w:pPr>
      <w:r>
        <w:t>1. Panevėžio miesto savivaldybės tarybos 2016 m. gruodžio 29 d. sprendimo Nr. 1</w:t>
      </w:r>
      <w:proofErr w:type="gramStart"/>
      <w:r>
        <w:t>-</w:t>
      </w:r>
      <w:proofErr w:type="gramEnd"/>
      <w:r>
        <w:t>42</w:t>
      </w:r>
      <w:r>
        <w:t>6</w:t>
      </w:r>
      <w:r>
        <w:t xml:space="preserve"> </w:t>
      </w:r>
      <w:r>
        <w:t>kopija</w:t>
      </w:r>
      <w:r>
        <w:t>, 3 lap</w:t>
      </w:r>
      <w:r>
        <w:t>ai</w:t>
      </w:r>
      <w:r>
        <w:t>;</w:t>
      </w:r>
    </w:p>
    <w:p w:rsidR="00AF2C1B" w:rsidRDefault="00AF2C1B" w:rsidP="00AF2C1B">
      <w:pPr>
        <w:jc w:val="both"/>
      </w:pPr>
      <w:r>
        <w:t>2. Vyriausybės atstovo Panevėžio apskrityje tarnybos 2017 m. liepos 11 d. teikimas Nr. T-</w:t>
      </w:r>
      <w:r>
        <w:t>9</w:t>
      </w:r>
      <w:r>
        <w:t xml:space="preserve"> „Dėl 2016 m. gruodžio 29 d. sprendimo Nr. 1</w:t>
      </w:r>
      <w:proofErr w:type="gramStart"/>
      <w:r>
        <w:t>-</w:t>
      </w:r>
      <w:proofErr w:type="gramEnd"/>
      <w:r>
        <w:t>42</w:t>
      </w:r>
      <w:r>
        <w:t>6</w:t>
      </w:r>
      <w:r>
        <w:t xml:space="preserve"> pakeitimo“, </w:t>
      </w:r>
      <w:r>
        <w:t>4</w:t>
      </w:r>
      <w:r>
        <w:t xml:space="preserve"> lapai;</w:t>
      </w:r>
    </w:p>
    <w:p w:rsidR="00AF2C1B" w:rsidRDefault="00AF2C1B" w:rsidP="00AF2C1B">
      <w:pPr>
        <w:jc w:val="both"/>
      </w:pPr>
      <w:r>
        <w:t>3. Vyriausybės atstovo Panevėžio apskrityje tarnybos 2017 m. rugsėjo 27 d. potvarkis Nr. V-2</w:t>
      </w:r>
      <w:r>
        <w:t>1</w:t>
      </w:r>
      <w:r>
        <w:t xml:space="preserve"> „Dėl 2017 m. liepos 11 d. </w:t>
      </w:r>
      <w:r>
        <w:t>V</w:t>
      </w:r>
      <w:r>
        <w:t>yriausybės atstovo teikimo Nr. T-</w:t>
      </w:r>
      <w:r>
        <w:t>9</w:t>
      </w:r>
      <w:r>
        <w:t xml:space="preserve"> įvykdymo termino pratęsimo“, 1 lapas</w:t>
      </w:r>
      <w:r>
        <w:t>;</w:t>
      </w:r>
    </w:p>
    <w:p w:rsidR="00AF2C1B" w:rsidRDefault="00AF2C1B" w:rsidP="00AF2C1B">
      <w:pPr>
        <w:jc w:val="both"/>
      </w:pPr>
      <w:r>
        <w:t xml:space="preserve">4. </w:t>
      </w:r>
      <w:r w:rsidR="00AF0497" w:rsidRPr="00626CE6">
        <w:t>AB ,,Panevėžio specialus autotransportas"</w:t>
      </w:r>
      <w:r w:rsidR="00AF0497">
        <w:t xml:space="preserve"> </w:t>
      </w:r>
      <w:r>
        <w:t>2017 m. lapkričio 6 d. raštas Nr. 3</w:t>
      </w:r>
      <w:proofErr w:type="gramStart"/>
      <w:r>
        <w:t>-</w:t>
      </w:r>
      <w:proofErr w:type="gramEnd"/>
      <w:r>
        <w:t>513 „Dėl dvinarės įmokos už komunalinių atliekų surinkimą iš atliekų turėtojų ir atliekų tvarkymą Panevėžio mieste“ kopija, 2 lapai.</w:t>
      </w:r>
    </w:p>
    <w:p w:rsidR="00404790" w:rsidRDefault="00404790" w:rsidP="00612E08">
      <w:pPr>
        <w:ind w:firstLine="709"/>
        <w:jc w:val="both"/>
      </w:pPr>
    </w:p>
    <w:p w:rsidR="00404790" w:rsidRDefault="00404790" w:rsidP="00612E08">
      <w:pPr>
        <w:ind w:firstLine="709"/>
        <w:jc w:val="both"/>
      </w:pPr>
    </w:p>
    <w:p w:rsidR="00404790" w:rsidRDefault="00404790" w:rsidP="00612E08">
      <w:pPr>
        <w:ind w:firstLine="709"/>
        <w:jc w:val="both"/>
      </w:pPr>
    </w:p>
    <w:p w:rsidR="00404790" w:rsidRDefault="00404790" w:rsidP="00612E08">
      <w:pPr>
        <w:ind w:firstLine="709"/>
        <w:jc w:val="both"/>
      </w:pPr>
    </w:p>
    <w:p w:rsidR="00612E08" w:rsidRPr="005B4C35" w:rsidRDefault="00612E08" w:rsidP="00612E08">
      <w:pPr>
        <w:ind w:firstLine="709"/>
        <w:jc w:val="both"/>
      </w:pPr>
    </w:p>
    <w:p w:rsidR="006074EE" w:rsidRPr="006074EE" w:rsidRDefault="006074EE" w:rsidP="00B404F6">
      <w:pPr>
        <w:jc w:val="both"/>
      </w:pPr>
      <w:r>
        <w:t>Miesto plėtros skyriaus vyr. specialistė</w:t>
      </w:r>
      <w:r>
        <w:tab/>
      </w:r>
      <w:r>
        <w:tab/>
      </w:r>
      <w:r>
        <w:tab/>
      </w:r>
      <w:r w:rsidR="00DB0A13">
        <w:tab/>
      </w:r>
      <w:r>
        <w:t>Rita Servienė</w:t>
      </w:r>
    </w:p>
    <w:sectPr w:rsidR="006074EE" w:rsidRPr="006074EE" w:rsidSect="008A1269">
      <w:pgSz w:w="11907" w:h="16840" w:code="9"/>
      <w:pgMar w:top="1134" w:right="851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8771D"/>
    <w:multiLevelType w:val="hybridMultilevel"/>
    <w:tmpl w:val="C1EE7EA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E255121"/>
    <w:multiLevelType w:val="hybridMultilevel"/>
    <w:tmpl w:val="C1EE7EA4"/>
    <w:lvl w:ilvl="0" w:tplc="98FA43D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F6"/>
    <w:rsid w:val="0003268D"/>
    <w:rsid w:val="00036E5B"/>
    <w:rsid w:val="000574C5"/>
    <w:rsid w:val="0008588E"/>
    <w:rsid w:val="000D1DCC"/>
    <w:rsid w:val="000F0524"/>
    <w:rsid w:val="001642C0"/>
    <w:rsid w:val="001B3C37"/>
    <w:rsid w:val="001C654D"/>
    <w:rsid w:val="00203071"/>
    <w:rsid w:val="0020356B"/>
    <w:rsid w:val="002B7356"/>
    <w:rsid w:val="00362021"/>
    <w:rsid w:val="003C6584"/>
    <w:rsid w:val="00404790"/>
    <w:rsid w:val="00443ACB"/>
    <w:rsid w:val="004516F7"/>
    <w:rsid w:val="005B4C35"/>
    <w:rsid w:val="005B7161"/>
    <w:rsid w:val="006074EE"/>
    <w:rsid w:val="00612E08"/>
    <w:rsid w:val="00626CE6"/>
    <w:rsid w:val="00630180"/>
    <w:rsid w:val="00650910"/>
    <w:rsid w:val="00655BE2"/>
    <w:rsid w:val="00677AED"/>
    <w:rsid w:val="006E5039"/>
    <w:rsid w:val="00737F0A"/>
    <w:rsid w:val="007403C5"/>
    <w:rsid w:val="007B19C6"/>
    <w:rsid w:val="00825295"/>
    <w:rsid w:val="008400F0"/>
    <w:rsid w:val="00856683"/>
    <w:rsid w:val="008819CC"/>
    <w:rsid w:val="008821E0"/>
    <w:rsid w:val="008912E2"/>
    <w:rsid w:val="008A1269"/>
    <w:rsid w:val="009169BE"/>
    <w:rsid w:val="00916E97"/>
    <w:rsid w:val="009752B2"/>
    <w:rsid w:val="009A2E83"/>
    <w:rsid w:val="009A5D40"/>
    <w:rsid w:val="009C482A"/>
    <w:rsid w:val="009F1276"/>
    <w:rsid w:val="009F63EF"/>
    <w:rsid w:val="00A52CA7"/>
    <w:rsid w:val="00A57A0F"/>
    <w:rsid w:val="00A614DA"/>
    <w:rsid w:val="00A7794F"/>
    <w:rsid w:val="00AF0497"/>
    <w:rsid w:val="00AF2C1B"/>
    <w:rsid w:val="00B16F32"/>
    <w:rsid w:val="00B404F6"/>
    <w:rsid w:val="00B96E54"/>
    <w:rsid w:val="00BE61F1"/>
    <w:rsid w:val="00C41372"/>
    <w:rsid w:val="00C42D34"/>
    <w:rsid w:val="00D5658F"/>
    <w:rsid w:val="00D70F4A"/>
    <w:rsid w:val="00D92C4E"/>
    <w:rsid w:val="00D947DA"/>
    <w:rsid w:val="00DA2ACF"/>
    <w:rsid w:val="00DB0A13"/>
    <w:rsid w:val="00DB1EB9"/>
    <w:rsid w:val="00DB6186"/>
    <w:rsid w:val="00DD0E2D"/>
    <w:rsid w:val="00DD2AA6"/>
    <w:rsid w:val="00DF4992"/>
    <w:rsid w:val="00E351C3"/>
    <w:rsid w:val="00E65C32"/>
    <w:rsid w:val="00E72028"/>
    <w:rsid w:val="00EA7D34"/>
    <w:rsid w:val="00ED4EAE"/>
    <w:rsid w:val="00EF0CAA"/>
    <w:rsid w:val="00EF2AD4"/>
    <w:rsid w:val="00EF3A61"/>
    <w:rsid w:val="00F4376C"/>
    <w:rsid w:val="00F5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300DD-96C1-431D-8506-AE546C0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rsid w:val="00F52566"/>
    <w:pPr>
      <w:ind w:firstLine="720"/>
      <w:jc w:val="both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52566"/>
    <w:rPr>
      <w:rFonts w:eastAsia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F52566"/>
    <w:pPr>
      <w:ind w:firstLine="720"/>
    </w:pPr>
    <w:rPr>
      <w:rFonts w:eastAsia="Times New Roman"/>
      <w:b/>
      <w:bCs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52566"/>
    <w:rPr>
      <w:rFonts w:eastAsia="Times New Roman"/>
      <w:b/>
      <w:bCs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13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1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712E-28D1-4F2B-8064-4614248C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5000</Words>
  <Characters>2851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Rita Servienė</cp:lastModifiedBy>
  <cp:revision>32</cp:revision>
  <cp:lastPrinted>2017-11-09T13:01:00Z</cp:lastPrinted>
  <dcterms:created xsi:type="dcterms:W3CDTF">2017-11-06T14:53:00Z</dcterms:created>
  <dcterms:modified xsi:type="dcterms:W3CDTF">2017-11-09T13:09:00Z</dcterms:modified>
</cp:coreProperties>
</file>