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9C" w:rsidRPr="00F85D0F" w:rsidRDefault="006E14D9">
      <w:pPr>
        <w:rPr>
          <w:b/>
        </w:rPr>
      </w:pPr>
      <w:r w:rsidRPr="00F85D0F">
        <w:rPr>
          <w:b/>
        </w:rPr>
        <w:t>PRIEDAS PRIE AIŠKINAMOJO RAŠTO</w:t>
      </w:r>
    </w:p>
    <w:p w:rsidR="00616E08" w:rsidRPr="00F85D0F" w:rsidRDefault="00845C55" w:rsidP="00AA5C8D">
      <w:pPr>
        <w:spacing w:before="360" w:after="240"/>
        <w:ind w:firstLine="748"/>
        <w:jc w:val="both"/>
      </w:pPr>
      <w:r w:rsidRPr="00F85D0F">
        <w:t xml:space="preserve">Sprendimo projektą sudaro </w:t>
      </w:r>
      <w:r w:rsidR="00253A3F" w:rsidRPr="00F85D0F">
        <w:t xml:space="preserve">3 </w:t>
      </w:r>
      <w:r w:rsidRPr="00F85D0F">
        <w:t>priedai</w:t>
      </w:r>
      <w:r w:rsidR="00616E08" w:rsidRPr="00F85D0F">
        <w:t>: 1 priedas. Panevėžio miesto plėtros strateginio plano įgyvendinimo vizijos rodikliai; 2 priedas.</w:t>
      </w:r>
      <w:r w:rsidR="00B77DE8" w:rsidRPr="00F85D0F">
        <w:t xml:space="preserve"> Panevėžio miesto plėtros strateginio plano įgyvendinimo prioritetų rodikliai;</w:t>
      </w:r>
      <w:r w:rsidR="00616E08" w:rsidRPr="00F85D0F">
        <w:t xml:space="preserve"> 3 priedas. </w:t>
      </w:r>
      <w:r w:rsidR="00AA5C8D" w:rsidRPr="00F85D0F">
        <w:t>Priemonių įgyvendinimo lygio rodikliai už 201</w:t>
      </w:r>
      <w:r w:rsidR="00F85D0F" w:rsidRPr="00F85D0F">
        <w:t>6</w:t>
      </w:r>
      <w:r w:rsidR="00AA5C8D" w:rsidRPr="00F85D0F">
        <w:t xml:space="preserve"> m. </w:t>
      </w:r>
      <w:r w:rsidR="003A2581" w:rsidRPr="00F85D0F">
        <w:t>(V</w:t>
      </w:r>
      <w:r w:rsidR="00AA5C8D" w:rsidRPr="00F85D0F">
        <w:t>isi prioritetai).</w:t>
      </w:r>
    </w:p>
    <w:p w:rsidR="00F85D0F" w:rsidRPr="00F85D0F" w:rsidRDefault="00845C55" w:rsidP="005D6099">
      <w:pPr>
        <w:ind w:firstLine="748"/>
        <w:jc w:val="both"/>
        <w:rPr>
          <w:i/>
        </w:rPr>
      </w:pPr>
      <w:r w:rsidRPr="00F85D0F">
        <w:t>20</w:t>
      </w:r>
      <w:r w:rsidR="00DA50A8" w:rsidRPr="00F85D0F">
        <w:t>1</w:t>
      </w:r>
      <w:r w:rsidR="00F85D0F" w:rsidRPr="00F85D0F">
        <w:t>6</w:t>
      </w:r>
      <w:r w:rsidRPr="00F85D0F">
        <w:t xml:space="preserve"> m. numatyta įgyvendinti </w:t>
      </w:r>
      <w:r w:rsidR="00800C4F" w:rsidRPr="00F85D0F">
        <w:t>1</w:t>
      </w:r>
      <w:r w:rsidR="00F85D0F" w:rsidRPr="00F85D0F">
        <w:t>19</w:t>
      </w:r>
      <w:r w:rsidR="00AA5C8D" w:rsidRPr="00F85D0F">
        <w:t xml:space="preserve"> </w:t>
      </w:r>
      <w:r w:rsidR="00FD4BC4" w:rsidRPr="00F85D0F">
        <w:t>priemon</w:t>
      </w:r>
      <w:r w:rsidR="00800C4F" w:rsidRPr="00F85D0F">
        <w:t>ių</w:t>
      </w:r>
      <w:r w:rsidRPr="00F85D0F">
        <w:t>. Strateginio plano įgyvendinimas už 20</w:t>
      </w:r>
      <w:r w:rsidR="00FD4BC4" w:rsidRPr="00F85D0F">
        <w:t>1</w:t>
      </w:r>
      <w:r w:rsidR="00F85D0F" w:rsidRPr="00F85D0F">
        <w:t>6</w:t>
      </w:r>
      <w:r w:rsidR="00800C4F" w:rsidRPr="00F85D0F">
        <w:t xml:space="preserve"> </w:t>
      </w:r>
      <w:r w:rsidRPr="00F85D0F">
        <w:t xml:space="preserve">m. siekia </w:t>
      </w:r>
      <w:r w:rsidR="00F85D0F" w:rsidRPr="00F85D0F">
        <w:t>89,9</w:t>
      </w:r>
      <w:r w:rsidRPr="00F85D0F">
        <w:t xml:space="preserve"> proc., t.y. buvo vykdom</w:t>
      </w:r>
      <w:r w:rsidR="00710EBA" w:rsidRPr="00F85D0F">
        <w:t>a</w:t>
      </w:r>
      <w:r w:rsidR="00AA5C8D" w:rsidRPr="00F85D0F">
        <w:t xml:space="preserve"> </w:t>
      </w:r>
      <w:r w:rsidR="006870CF" w:rsidRPr="00F85D0F">
        <w:t>arba iš dalies</w:t>
      </w:r>
      <w:r w:rsidR="00AA5C8D" w:rsidRPr="00F85D0F">
        <w:t xml:space="preserve"> vykdoma</w:t>
      </w:r>
      <w:r w:rsidRPr="00F85D0F">
        <w:t xml:space="preserve"> </w:t>
      </w:r>
      <w:r w:rsidR="009D143B" w:rsidRPr="00F85D0F">
        <w:t>10</w:t>
      </w:r>
      <w:r w:rsidR="00080DEA" w:rsidRPr="00F85D0F">
        <w:t>7</w:t>
      </w:r>
      <w:r w:rsidR="00CA780F">
        <w:t xml:space="preserve"> priemonės</w:t>
      </w:r>
      <w:r w:rsidRPr="00F85D0F">
        <w:t>, nevykdoma</w:t>
      </w:r>
      <w:r w:rsidR="00CB2843" w:rsidRPr="00F85D0F">
        <w:t xml:space="preserve"> </w:t>
      </w:r>
      <w:r w:rsidRPr="00F85D0F">
        <w:t xml:space="preserve"> </w:t>
      </w:r>
      <w:r w:rsidR="00F85D0F" w:rsidRPr="00F85D0F">
        <w:t>12</w:t>
      </w:r>
      <w:r w:rsidRPr="00F85D0F">
        <w:t xml:space="preserve"> </w:t>
      </w:r>
      <w:r w:rsidR="00CA780F">
        <w:t xml:space="preserve">priemonių </w:t>
      </w:r>
      <w:r w:rsidRPr="00F85D0F">
        <w:t>(</w:t>
      </w:r>
      <w:r w:rsidR="00F85D0F" w:rsidRPr="00F85D0F">
        <w:t>10,1</w:t>
      </w:r>
      <w:r w:rsidRPr="00F85D0F">
        <w:t xml:space="preserve"> proc.) (žr.1 diagramą). </w:t>
      </w:r>
    </w:p>
    <w:p w:rsidR="00F85D0F" w:rsidRPr="00F85D0F" w:rsidRDefault="00F85D0F" w:rsidP="005D6099">
      <w:pPr>
        <w:ind w:firstLine="748"/>
        <w:jc w:val="both"/>
        <w:rPr>
          <w:i/>
          <w:color w:val="FF0000"/>
        </w:rPr>
      </w:pPr>
    </w:p>
    <w:p w:rsidR="00CB2843" w:rsidRPr="00F85D0F" w:rsidRDefault="00F85D0F" w:rsidP="00845C55">
      <w:pPr>
        <w:ind w:firstLine="748"/>
        <w:jc w:val="both"/>
        <w:rPr>
          <w:color w:val="FF0000"/>
        </w:rPr>
      </w:pPr>
      <w:r>
        <w:rPr>
          <w:i/>
          <w:noProof/>
          <w:color w:val="FF0000"/>
        </w:rPr>
        <w:drawing>
          <wp:inline distT="0" distB="0" distL="0" distR="0" wp14:anchorId="1B1407F4" wp14:editId="6A81D5A2">
            <wp:extent cx="5554980" cy="2423160"/>
            <wp:effectExtent l="0" t="0" r="7620" b="1524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5D0F" w:rsidRDefault="00845C55" w:rsidP="005251A3">
      <w:pPr>
        <w:tabs>
          <w:tab w:val="left" w:pos="748"/>
        </w:tabs>
        <w:jc w:val="both"/>
        <w:rPr>
          <w:b/>
          <w:noProof/>
          <w:color w:val="FF0000"/>
        </w:rPr>
      </w:pPr>
      <w:r w:rsidRPr="00F85D0F">
        <w:rPr>
          <w:b/>
          <w:noProof/>
          <w:color w:val="FF0000"/>
        </w:rPr>
        <w:tab/>
      </w:r>
    </w:p>
    <w:p w:rsidR="00845C55" w:rsidRPr="00CA780F" w:rsidRDefault="00F85D0F" w:rsidP="005251A3">
      <w:pPr>
        <w:tabs>
          <w:tab w:val="left" w:pos="748"/>
        </w:tabs>
        <w:jc w:val="both"/>
        <w:rPr>
          <w:noProof/>
        </w:rPr>
      </w:pPr>
      <w:r>
        <w:rPr>
          <w:noProof/>
          <w:color w:val="FF0000"/>
        </w:rPr>
        <w:tab/>
      </w:r>
      <w:r w:rsidR="00845C55" w:rsidRPr="00CA780F">
        <w:rPr>
          <w:noProof/>
        </w:rPr>
        <w:t>20</w:t>
      </w:r>
      <w:r w:rsidR="00FD4BC4" w:rsidRPr="00CA780F">
        <w:rPr>
          <w:noProof/>
        </w:rPr>
        <w:t>1</w:t>
      </w:r>
      <w:r w:rsidRPr="00CA780F">
        <w:rPr>
          <w:noProof/>
        </w:rPr>
        <w:t>6</w:t>
      </w:r>
      <w:r w:rsidR="00845C55" w:rsidRPr="00CA780F">
        <w:rPr>
          <w:noProof/>
        </w:rPr>
        <w:t xml:space="preserve"> m.</w:t>
      </w:r>
      <w:r w:rsidR="00936D8B" w:rsidRPr="00CA780F">
        <w:rPr>
          <w:noProof/>
        </w:rPr>
        <w:t xml:space="preserve"> </w:t>
      </w:r>
      <w:r w:rsidR="00845C55" w:rsidRPr="00CA780F">
        <w:rPr>
          <w:noProof/>
        </w:rPr>
        <w:t xml:space="preserve">Panevėžio miesto plėtros strateginiam planui įgyvendinti </w:t>
      </w:r>
      <w:r w:rsidR="00EE29EC" w:rsidRPr="00CA780F">
        <w:rPr>
          <w:noProof/>
        </w:rPr>
        <w:t xml:space="preserve">buvo panaudota </w:t>
      </w:r>
      <w:r w:rsidR="00A637E4" w:rsidRPr="00CA780F">
        <w:rPr>
          <w:noProof/>
        </w:rPr>
        <w:t>14</w:t>
      </w:r>
      <w:r w:rsidR="00CA780F" w:rsidRPr="00CA780F">
        <w:rPr>
          <w:noProof/>
        </w:rPr>
        <w:t>165,5</w:t>
      </w:r>
      <w:r w:rsidR="00EE29EC" w:rsidRPr="00CA780F">
        <w:rPr>
          <w:noProof/>
        </w:rPr>
        <w:t xml:space="preserve"> tūkst.</w:t>
      </w:r>
      <w:r w:rsidR="00EE4F7E" w:rsidRPr="00CA780F">
        <w:rPr>
          <w:noProof/>
        </w:rPr>
        <w:t xml:space="preserve"> </w:t>
      </w:r>
      <w:r w:rsidR="007D5F06" w:rsidRPr="00CA780F">
        <w:rPr>
          <w:noProof/>
        </w:rPr>
        <w:t>EUR</w:t>
      </w:r>
      <w:r w:rsidR="00850707" w:rsidRPr="00CA780F">
        <w:rPr>
          <w:noProof/>
        </w:rPr>
        <w:t>.</w:t>
      </w:r>
      <w:r w:rsidR="00EE29EC" w:rsidRPr="00CA780F">
        <w:rPr>
          <w:noProof/>
        </w:rPr>
        <w:t xml:space="preserve"> Detalesnis </w:t>
      </w:r>
      <w:r w:rsidR="00845C55" w:rsidRPr="00CA780F">
        <w:rPr>
          <w:noProof/>
        </w:rPr>
        <w:t>lėšų pasiskirstymas parodytas 2 diagramoje.</w:t>
      </w:r>
    </w:p>
    <w:p w:rsidR="00A637E4" w:rsidRPr="00F85D0F" w:rsidRDefault="00A637E4" w:rsidP="005251A3">
      <w:pPr>
        <w:tabs>
          <w:tab w:val="left" w:pos="748"/>
        </w:tabs>
        <w:jc w:val="both"/>
        <w:rPr>
          <w:noProof/>
          <w:color w:val="FF0000"/>
        </w:rPr>
      </w:pPr>
    </w:p>
    <w:p w:rsidR="00845C55" w:rsidRPr="00F85D0F" w:rsidRDefault="00A637E4" w:rsidP="00845C55">
      <w:pPr>
        <w:ind w:firstLine="748"/>
        <w:jc w:val="both"/>
        <w:rPr>
          <w:color w:val="FF0000"/>
        </w:rPr>
      </w:pPr>
      <w:r w:rsidRPr="00F85D0F">
        <w:rPr>
          <w:noProof/>
          <w:color w:val="FF0000"/>
        </w:rPr>
        <w:drawing>
          <wp:inline distT="0" distB="0" distL="0" distR="0">
            <wp:extent cx="5486400" cy="2461260"/>
            <wp:effectExtent l="0" t="0" r="0" b="1524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7777" w:rsidRPr="00F85D0F" w:rsidRDefault="00B27777" w:rsidP="00845C55">
      <w:pPr>
        <w:ind w:firstLine="748"/>
        <w:jc w:val="both"/>
        <w:rPr>
          <w:noProof/>
          <w:color w:val="FF0000"/>
        </w:rPr>
      </w:pPr>
    </w:p>
    <w:p w:rsidR="009A0F96" w:rsidRPr="00F85D0F" w:rsidRDefault="009A0F96" w:rsidP="00845C55">
      <w:pPr>
        <w:ind w:firstLine="748"/>
        <w:jc w:val="both"/>
        <w:rPr>
          <w:noProof/>
          <w:color w:val="FF0000"/>
        </w:rPr>
      </w:pPr>
    </w:p>
    <w:p w:rsidR="00845C55" w:rsidRPr="0091627E" w:rsidRDefault="00700F2A" w:rsidP="00845C55">
      <w:pPr>
        <w:tabs>
          <w:tab w:val="left" w:pos="748"/>
        </w:tabs>
        <w:jc w:val="both"/>
      </w:pPr>
      <w:r w:rsidRPr="00F85D0F">
        <w:rPr>
          <w:color w:val="FF0000"/>
        </w:rPr>
        <w:tab/>
      </w:r>
      <w:r w:rsidRPr="0091627E">
        <w:t xml:space="preserve">Strateginiam planui įgyvendinti </w:t>
      </w:r>
      <w:r w:rsidR="00845C55" w:rsidRPr="0091627E">
        <w:t xml:space="preserve"> </w:t>
      </w:r>
      <w:r w:rsidRPr="0091627E">
        <w:t>lėšų pasiskirstymas pagal prioritetus pavaizduotas 3 diagramoje. I prioritetas „</w:t>
      </w:r>
      <w:r w:rsidR="006870CF" w:rsidRPr="0091627E">
        <w:rPr>
          <w:i/>
        </w:rPr>
        <w:t>Panevėžio konkurencinio (</w:t>
      </w:r>
      <w:proofErr w:type="spellStart"/>
      <w:r w:rsidR="006870CF" w:rsidRPr="0091627E">
        <w:rPr>
          <w:i/>
        </w:rPr>
        <w:t>metropolinio</w:t>
      </w:r>
      <w:proofErr w:type="spellEnd"/>
      <w:r w:rsidR="006870CF" w:rsidRPr="0091627E">
        <w:rPr>
          <w:i/>
        </w:rPr>
        <w:t>) potencialo stiprinimas</w:t>
      </w:r>
      <w:r w:rsidRPr="0091627E">
        <w:t xml:space="preserve">“ panaudota </w:t>
      </w:r>
      <w:r w:rsidR="009A0F96" w:rsidRPr="0091627E">
        <w:t>20</w:t>
      </w:r>
      <w:r w:rsidR="002462BA" w:rsidRPr="0091627E">
        <w:t>12</w:t>
      </w:r>
      <w:r w:rsidR="009A0F96" w:rsidRPr="0091627E">
        <w:t>,</w:t>
      </w:r>
      <w:r w:rsidR="002462BA" w:rsidRPr="0091627E">
        <w:t>2</w:t>
      </w:r>
      <w:r w:rsidR="00C412C9" w:rsidRPr="0091627E">
        <w:t xml:space="preserve"> tūkst. EUR)</w:t>
      </w:r>
      <w:r w:rsidRPr="0091627E">
        <w:t>. II prioritetas</w:t>
      </w:r>
      <w:r w:rsidRPr="0091627E">
        <w:rPr>
          <w:i/>
        </w:rPr>
        <w:t xml:space="preserve"> „</w:t>
      </w:r>
      <w:r w:rsidR="006870CF" w:rsidRPr="0091627E">
        <w:rPr>
          <w:i/>
        </w:rPr>
        <w:t>Kokybiškų gyvenimo sąlygų ir aukštos socialinės gerovės kūrimas</w:t>
      </w:r>
      <w:r w:rsidRPr="0091627E">
        <w:t xml:space="preserve">“ panaudota </w:t>
      </w:r>
      <w:r w:rsidR="009A0F96" w:rsidRPr="0091627E">
        <w:t>7</w:t>
      </w:r>
      <w:r w:rsidR="002462BA" w:rsidRPr="0091627E">
        <w:t>274,0</w:t>
      </w:r>
      <w:r w:rsidR="00C412C9" w:rsidRPr="0091627E">
        <w:t xml:space="preserve"> tūkst. EUR</w:t>
      </w:r>
      <w:r w:rsidRPr="0091627E">
        <w:t xml:space="preserve">. </w:t>
      </w:r>
      <w:smartTag w:uri="urn:schemas-microsoft-com:office:smarttags" w:element="stockticker">
        <w:r w:rsidRPr="0091627E">
          <w:t>III</w:t>
        </w:r>
      </w:smartTag>
      <w:r w:rsidRPr="0091627E">
        <w:t xml:space="preserve"> prioritetas</w:t>
      </w:r>
      <w:r w:rsidRPr="0091627E">
        <w:rPr>
          <w:i/>
        </w:rPr>
        <w:t xml:space="preserve"> „</w:t>
      </w:r>
      <w:r w:rsidR="0076564F" w:rsidRPr="0091627E">
        <w:rPr>
          <w:i/>
        </w:rPr>
        <w:t>Darni miesto teritorijų ir infrastruktūros plėtra</w:t>
      </w:r>
      <w:r w:rsidRPr="0091627E">
        <w:rPr>
          <w:i/>
        </w:rPr>
        <w:t>“</w:t>
      </w:r>
      <w:r w:rsidRPr="0091627E">
        <w:t xml:space="preserve"> panaudota </w:t>
      </w:r>
      <w:r w:rsidR="0091627E" w:rsidRPr="0091627E">
        <w:t>4879,3</w:t>
      </w:r>
      <w:r w:rsidR="00EE4F7E" w:rsidRPr="0091627E">
        <w:t xml:space="preserve"> </w:t>
      </w:r>
      <w:r w:rsidR="00C412C9" w:rsidRPr="0091627E">
        <w:t>tūkst. EUR.</w:t>
      </w:r>
    </w:p>
    <w:p w:rsidR="009A0F96" w:rsidRPr="00F85D0F" w:rsidRDefault="00845C55" w:rsidP="00180A40">
      <w:pPr>
        <w:tabs>
          <w:tab w:val="left" w:pos="748"/>
        </w:tabs>
        <w:jc w:val="both"/>
        <w:rPr>
          <w:color w:val="FF0000"/>
        </w:rPr>
      </w:pPr>
      <w:r w:rsidRPr="00F85D0F">
        <w:rPr>
          <w:color w:val="FF0000"/>
        </w:rPr>
        <w:tab/>
      </w:r>
      <w:r w:rsidR="00180A40" w:rsidRPr="00F85D0F">
        <w:rPr>
          <w:color w:val="FF0000"/>
        </w:rPr>
        <w:tab/>
      </w:r>
    </w:p>
    <w:p w:rsidR="009A0F96" w:rsidRPr="00F85D0F" w:rsidRDefault="009A0F96" w:rsidP="00180A40">
      <w:pPr>
        <w:tabs>
          <w:tab w:val="left" w:pos="748"/>
        </w:tabs>
        <w:jc w:val="both"/>
        <w:rPr>
          <w:color w:val="FF0000"/>
        </w:rPr>
      </w:pPr>
      <w:r w:rsidRPr="00F85D0F">
        <w:rPr>
          <w:noProof/>
          <w:color w:val="FF0000"/>
        </w:rPr>
        <w:lastRenderedPageBreak/>
        <w:drawing>
          <wp:inline distT="0" distB="0" distL="0" distR="0">
            <wp:extent cx="5676900" cy="2202180"/>
            <wp:effectExtent l="0" t="0" r="0" b="762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0C44" w:rsidRPr="00F85D0F" w:rsidRDefault="00C00C44" w:rsidP="00180A40">
      <w:pPr>
        <w:tabs>
          <w:tab w:val="left" w:pos="748"/>
        </w:tabs>
        <w:jc w:val="both"/>
        <w:rPr>
          <w:b/>
          <w:noProof/>
          <w:color w:val="FF0000"/>
        </w:rPr>
      </w:pPr>
      <w:r w:rsidRPr="00F85D0F">
        <w:rPr>
          <w:b/>
          <w:noProof/>
          <w:color w:val="FF0000"/>
        </w:rPr>
        <w:tab/>
      </w:r>
    </w:p>
    <w:p w:rsidR="00845C55" w:rsidRPr="00A44C6E" w:rsidRDefault="00C00C44" w:rsidP="00180A40">
      <w:pPr>
        <w:tabs>
          <w:tab w:val="left" w:pos="748"/>
        </w:tabs>
        <w:jc w:val="both"/>
        <w:rPr>
          <w:noProof/>
        </w:rPr>
      </w:pPr>
      <w:r w:rsidRPr="00F85D0F">
        <w:rPr>
          <w:b/>
          <w:noProof/>
          <w:color w:val="FF0000"/>
        </w:rPr>
        <w:tab/>
      </w:r>
      <w:r w:rsidR="00845C55" w:rsidRPr="00A44C6E">
        <w:rPr>
          <w:b/>
          <w:noProof/>
        </w:rPr>
        <w:t>I prioritetas.</w:t>
      </w:r>
      <w:r w:rsidR="00F344BA" w:rsidRPr="00A44C6E">
        <w:rPr>
          <w:i/>
        </w:rPr>
        <w:t xml:space="preserve"> Panevėžio konkurencinio (</w:t>
      </w:r>
      <w:proofErr w:type="spellStart"/>
      <w:r w:rsidR="00F344BA" w:rsidRPr="00A44C6E">
        <w:rPr>
          <w:i/>
        </w:rPr>
        <w:t>metropolinio</w:t>
      </w:r>
      <w:proofErr w:type="spellEnd"/>
      <w:r w:rsidR="00F344BA" w:rsidRPr="00A44C6E">
        <w:rPr>
          <w:i/>
        </w:rPr>
        <w:t>) potencialo stiprinimas</w:t>
      </w:r>
      <w:r w:rsidR="00180A40" w:rsidRPr="00A44C6E">
        <w:t xml:space="preserve">. </w:t>
      </w:r>
      <w:r w:rsidR="00845C55" w:rsidRPr="00A44C6E">
        <w:rPr>
          <w:noProof/>
        </w:rPr>
        <w:t>Strateginio plano I-o prioriteto priemonių vykdymas pavaizduotas 4 diagramoje.</w:t>
      </w:r>
    </w:p>
    <w:p w:rsidR="00A44C6E" w:rsidRDefault="00A44C6E" w:rsidP="00180A40">
      <w:pPr>
        <w:tabs>
          <w:tab w:val="left" w:pos="748"/>
        </w:tabs>
        <w:jc w:val="both"/>
        <w:rPr>
          <w:noProof/>
          <w:color w:val="FF0000"/>
        </w:rPr>
      </w:pPr>
      <w:r>
        <w:rPr>
          <w:i/>
          <w:noProof/>
          <w:color w:val="FF0000"/>
        </w:rPr>
        <w:drawing>
          <wp:inline distT="0" distB="0" distL="0" distR="0" wp14:anchorId="0B5135D4" wp14:editId="458AAB2E">
            <wp:extent cx="5554980" cy="2423160"/>
            <wp:effectExtent l="0" t="0" r="7620" b="1524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5C55" w:rsidRPr="00F85D0F" w:rsidRDefault="00845C55" w:rsidP="00845C55">
      <w:pPr>
        <w:ind w:firstLine="748"/>
        <w:jc w:val="both"/>
        <w:rPr>
          <w:noProof/>
          <w:color w:val="FF0000"/>
        </w:rPr>
      </w:pPr>
    </w:p>
    <w:p w:rsidR="00845C55" w:rsidRPr="002A5368" w:rsidRDefault="00845C55" w:rsidP="00845C55">
      <w:pPr>
        <w:ind w:firstLine="748"/>
        <w:jc w:val="both"/>
        <w:rPr>
          <w:noProof/>
        </w:rPr>
      </w:pPr>
      <w:r w:rsidRPr="002A5368">
        <w:rPr>
          <w:noProof/>
        </w:rPr>
        <w:t xml:space="preserve"> I prioriteto neįgyvendintos priemonės per 20</w:t>
      </w:r>
      <w:r w:rsidR="00180A40" w:rsidRPr="002A5368">
        <w:rPr>
          <w:noProof/>
        </w:rPr>
        <w:t>1</w:t>
      </w:r>
      <w:r w:rsidR="00A44C6E" w:rsidRPr="002A5368">
        <w:rPr>
          <w:noProof/>
        </w:rPr>
        <w:t>6</w:t>
      </w:r>
      <w:r w:rsidRPr="002A5368">
        <w:rPr>
          <w:noProof/>
        </w:rPr>
        <w:t xml:space="preserve"> m.:</w:t>
      </w:r>
    </w:p>
    <w:p w:rsidR="00026912" w:rsidRPr="002A5368" w:rsidRDefault="00026912" w:rsidP="00FD1BB2">
      <w:pPr>
        <w:ind w:firstLine="720"/>
        <w:jc w:val="both"/>
      </w:pPr>
      <w:r w:rsidRPr="002A5368">
        <w:t>1.1.</w:t>
      </w:r>
      <w:r w:rsidR="00E93971" w:rsidRPr="002A5368">
        <w:t>1</w:t>
      </w:r>
      <w:r w:rsidRPr="002A5368">
        <w:t>.</w:t>
      </w:r>
      <w:r w:rsidR="00E93971" w:rsidRPr="002A5368">
        <w:t>4</w:t>
      </w:r>
      <w:r w:rsidRPr="002A5368">
        <w:t xml:space="preserve">. </w:t>
      </w:r>
      <w:r w:rsidR="00E93971" w:rsidRPr="002A5368">
        <w:t>„</w:t>
      </w:r>
      <w:r w:rsidR="0084631F" w:rsidRPr="002A5368">
        <w:t>Plėsti Panevėžio mokslo ir technologijų parko infrastruktūrą</w:t>
      </w:r>
      <w:r w:rsidR="00E93971" w:rsidRPr="002A5368">
        <w:t>“</w:t>
      </w:r>
    </w:p>
    <w:p w:rsidR="00E93971" w:rsidRPr="002A5368" w:rsidRDefault="00E93971" w:rsidP="00FD1BB2">
      <w:pPr>
        <w:ind w:firstLine="720"/>
        <w:jc w:val="both"/>
      </w:pPr>
      <w:r w:rsidRPr="002A5368">
        <w:t>Ieškoma galimybių 2018-2020 metais dalyvauti ES paramos investicijų priemonėse. Bendraujama su LVPA, siekiant pagrįsti PMTP infrastruktūros plėtros poreikį.</w:t>
      </w:r>
    </w:p>
    <w:p w:rsidR="00FD1BB2" w:rsidRPr="002A5368" w:rsidRDefault="00026912" w:rsidP="00A44C6E">
      <w:pPr>
        <w:ind w:firstLine="720"/>
        <w:jc w:val="both"/>
      </w:pPr>
      <w:r w:rsidRPr="002A5368">
        <w:t>1.1.</w:t>
      </w:r>
      <w:r w:rsidR="00E93971" w:rsidRPr="002A5368">
        <w:t>1</w:t>
      </w:r>
      <w:r w:rsidRPr="002A5368">
        <w:t>.</w:t>
      </w:r>
      <w:r w:rsidR="00E93971" w:rsidRPr="002A5368">
        <w:t>5</w:t>
      </w:r>
      <w:r w:rsidRPr="002A5368">
        <w:t xml:space="preserve">. </w:t>
      </w:r>
      <w:r w:rsidR="00E93971" w:rsidRPr="002A5368">
        <w:t>„Įrengti ir pritaikyti gyventojų ir verslo reikmėms atsinaujinančių energijos šaltinių demonstracinę laboratoriją“</w:t>
      </w:r>
    </w:p>
    <w:p w:rsidR="00E93971" w:rsidRPr="002A5368" w:rsidRDefault="00E93971" w:rsidP="00E93971">
      <w:pPr>
        <w:ind w:firstLine="748"/>
        <w:jc w:val="both"/>
        <w:rPr>
          <w:noProof/>
        </w:rPr>
      </w:pPr>
      <w:r w:rsidRPr="002A5368">
        <w:rPr>
          <w:noProof/>
        </w:rPr>
        <w:t>Neįvykdyta, nors 2016 m. teiktos dvi paraiškos projektams:</w:t>
      </w:r>
    </w:p>
    <w:p w:rsidR="00E93971" w:rsidRPr="002A5368" w:rsidRDefault="00E93971" w:rsidP="00E93971">
      <w:pPr>
        <w:ind w:firstLine="748"/>
        <w:jc w:val="both"/>
        <w:rPr>
          <w:noProof/>
        </w:rPr>
      </w:pPr>
      <w:r w:rsidRPr="002A5368">
        <w:rPr>
          <w:noProof/>
        </w:rPr>
        <w:t>1. Panevėžio m. savivaldybei dėl tyrimų atlikimo. Finansavimas negautas.</w:t>
      </w:r>
    </w:p>
    <w:p w:rsidR="003B3532" w:rsidRPr="002A5368" w:rsidRDefault="00E93971" w:rsidP="00E93971">
      <w:pPr>
        <w:ind w:firstLine="748"/>
        <w:jc w:val="both"/>
        <w:rPr>
          <w:noProof/>
        </w:rPr>
      </w:pPr>
      <w:r w:rsidRPr="002A5368">
        <w:rPr>
          <w:noProof/>
        </w:rPr>
        <w:t>2. KTU PTVF bendradarbiauja su Singapūro nacionalinio universiteto (NUS) mokslininkais,  teikta paraiška  JAV Brown universitetui dėl elektros energijos taupymo projekto BIARI finansavimo. Finansavimas negautas.</w:t>
      </w:r>
    </w:p>
    <w:p w:rsidR="00E93971" w:rsidRPr="00E93971" w:rsidRDefault="00E93971" w:rsidP="00E93971">
      <w:pPr>
        <w:ind w:firstLine="748"/>
        <w:jc w:val="both"/>
        <w:rPr>
          <w:noProof/>
        </w:rPr>
      </w:pPr>
    </w:p>
    <w:p w:rsidR="00E31BA3" w:rsidRPr="00BC31C5" w:rsidRDefault="008F6506" w:rsidP="00845C55">
      <w:pPr>
        <w:ind w:firstLine="748"/>
        <w:jc w:val="both"/>
      </w:pPr>
      <w:r w:rsidRPr="00BC31C5">
        <w:rPr>
          <w:noProof/>
        </w:rPr>
        <w:t>I Prioritet</w:t>
      </w:r>
      <w:r w:rsidR="00BD0A9A" w:rsidRPr="00BC31C5">
        <w:rPr>
          <w:noProof/>
        </w:rPr>
        <w:t>e nurodytos priemonės</w:t>
      </w:r>
      <w:r w:rsidRPr="00BC31C5">
        <w:rPr>
          <w:noProof/>
        </w:rPr>
        <w:t xml:space="preserve"> apima </w:t>
      </w:r>
      <w:r w:rsidR="00E31BA3" w:rsidRPr="00BC31C5">
        <w:t>palanki</w:t>
      </w:r>
      <w:r w:rsidR="00544F6A" w:rsidRPr="00BC31C5">
        <w:t>os</w:t>
      </w:r>
      <w:r w:rsidR="00E31BA3" w:rsidRPr="00BC31C5">
        <w:t xml:space="preserve"> investicijoms ir bendradarbiavimui aplinkos sudarymą, darbo vietų kūrimą ir užimtumo didinimą</w:t>
      </w:r>
      <w:r w:rsidR="00831E03" w:rsidRPr="00BC31C5">
        <w:t>.</w:t>
      </w:r>
    </w:p>
    <w:p w:rsidR="00E31BA3" w:rsidRPr="00F85D0F" w:rsidRDefault="00E31BA3" w:rsidP="00845C55">
      <w:pPr>
        <w:ind w:firstLine="748"/>
        <w:jc w:val="both"/>
        <w:rPr>
          <w:noProof/>
          <w:color w:val="FF0000"/>
        </w:rPr>
      </w:pPr>
    </w:p>
    <w:p w:rsidR="00942ED9" w:rsidRPr="00BC31C5" w:rsidRDefault="00F8757C" w:rsidP="003D57F9">
      <w:pPr>
        <w:ind w:firstLine="748"/>
        <w:jc w:val="both"/>
        <w:rPr>
          <w:noProof/>
        </w:rPr>
      </w:pPr>
      <w:r w:rsidRPr="00BC31C5">
        <w:rPr>
          <w:noProof/>
        </w:rPr>
        <w:t xml:space="preserve">Pagal bendrąjį vidaus produktą, tenkantį vienam gyventojui, Panevėžio apskritis užima </w:t>
      </w:r>
      <w:r w:rsidR="00F0782E" w:rsidRPr="00BC31C5">
        <w:rPr>
          <w:noProof/>
        </w:rPr>
        <w:t>5</w:t>
      </w:r>
      <w:r w:rsidRPr="00BC31C5">
        <w:rPr>
          <w:noProof/>
        </w:rPr>
        <w:t xml:space="preserve">-ąją vietą </w:t>
      </w:r>
      <w:r w:rsidR="00D0777F" w:rsidRPr="00BC31C5">
        <w:rPr>
          <w:noProof/>
        </w:rPr>
        <w:t>(iš penkių didžiųjų Lietuvos  miestų)</w:t>
      </w:r>
      <w:r w:rsidR="003D57F9" w:rsidRPr="00BC31C5">
        <w:rPr>
          <w:noProof/>
        </w:rPr>
        <w:t>, tačiau pagal šį rodiklį</w:t>
      </w:r>
      <w:r w:rsidR="00544F6A" w:rsidRPr="00BC31C5">
        <w:rPr>
          <w:noProof/>
        </w:rPr>
        <w:t>,</w:t>
      </w:r>
      <w:r w:rsidR="00D0777F" w:rsidRPr="00BC31C5">
        <w:rPr>
          <w:noProof/>
        </w:rPr>
        <w:t xml:space="preserve"> </w:t>
      </w:r>
      <w:r w:rsidR="003D57F9" w:rsidRPr="00BC31C5">
        <w:rPr>
          <w:noProof/>
        </w:rPr>
        <w:t xml:space="preserve"> </w:t>
      </w:r>
      <w:r w:rsidR="003D57F9" w:rsidRPr="00BC31C5">
        <w:t>Panevėžio apskritis tesiekia apie 7</w:t>
      </w:r>
      <w:r w:rsidR="00BC31C5" w:rsidRPr="00BC31C5">
        <w:t>5</w:t>
      </w:r>
      <w:r w:rsidR="003D57F9" w:rsidRPr="00BC31C5">
        <w:t xml:space="preserve"> % šalies lygio ir nusileidžia mažesn</w:t>
      </w:r>
      <w:r w:rsidR="00F0782E" w:rsidRPr="00BC31C5">
        <w:t>ei</w:t>
      </w:r>
      <w:r w:rsidR="003D57F9" w:rsidRPr="00BC31C5">
        <w:t xml:space="preserve"> </w:t>
      </w:r>
      <w:r w:rsidR="00544F6A" w:rsidRPr="00BC31C5">
        <w:t xml:space="preserve">- </w:t>
      </w:r>
      <w:r w:rsidR="00A34283" w:rsidRPr="00BC31C5">
        <w:t>Telšių</w:t>
      </w:r>
      <w:r w:rsidR="00F0782E" w:rsidRPr="00BC31C5">
        <w:t xml:space="preserve"> apskričiai</w:t>
      </w:r>
      <w:r w:rsidR="003D57F9" w:rsidRPr="00BC31C5">
        <w:t xml:space="preserve">  </w:t>
      </w:r>
      <w:r w:rsidR="00942ED9" w:rsidRPr="00BC31C5">
        <w:rPr>
          <w:noProof/>
        </w:rPr>
        <w:t>(5 diagrama)</w:t>
      </w:r>
      <w:r w:rsidRPr="00BC31C5">
        <w:rPr>
          <w:noProof/>
        </w:rPr>
        <w:t>.</w:t>
      </w:r>
      <w:r w:rsidR="001232DD" w:rsidRPr="00BC31C5">
        <w:rPr>
          <w:noProof/>
        </w:rPr>
        <w:t xml:space="preserve"> </w:t>
      </w:r>
    </w:p>
    <w:p w:rsidR="003D57F9" w:rsidRPr="00BC31C5" w:rsidRDefault="003D57F9" w:rsidP="00845C55">
      <w:pPr>
        <w:ind w:firstLine="748"/>
        <w:jc w:val="both"/>
        <w:rPr>
          <w:noProof/>
        </w:rPr>
      </w:pPr>
    </w:p>
    <w:p w:rsidR="00500EEB" w:rsidRPr="00F85D0F" w:rsidRDefault="00500EEB" w:rsidP="00845C55">
      <w:pPr>
        <w:ind w:firstLine="748"/>
        <w:jc w:val="both"/>
        <w:rPr>
          <w:noProof/>
          <w:color w:val="FF0000"/>
        </w:rPr>
      </w:pPr>
      <w:r w:rsidRPr="00F85D0F">
        <w:rPr>
          <w:noProof/>
          <w:color w:val="FF0000"/>
        </w:rPr>
        <w:lastRenderedPageBreak/>
        <w:drawing>
          <wp:inline distT="0" distB="0" distL="0" distR="0">
            <wp:extent cx="5486400" cy="2103120"/>
            <wp:effectExtent l="0" t="0" r="0" b="1143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757C" w:rsidRPr="00F85D0F" w:rsidRDefault="00F8757C" w:rsidP="00845C55">
      <w:pPr>
        <w:ind w:firstLine="748"/>
        <w:jc w:val="both"/>
        <w:rPr>
          <w:noProof/>
          <w:color w:val="FF0000"/>
        </w:rPr>
      </w:pPr>
    </w:p>
    <w:p w:rsidR="00845C55" w:rsidRPr="00D8003A" w:rsidRDefault="00E63F59" w:rsidP="00845C55">
      <w:pPr>
        <w:ind w:firstLine="748"/>
        <w:jc w:val="both"/>
        <w:rPr>
          <w:noProof/>
        </w:rPr>
      </w:pPr>
      <w:r w:rsidRPr="00D8003A">
        <w:t xml:space="preserve">Vienas svarbiausių konkurencingumo rodiklių yra pritraukiamos tiesioginės užsienio investicijos (toliau – </w:t>
      </w:r>
      <w:smartTag w:uri="urn:schemas-microsoft-com:office:smarttags" w:element="stockticker">
        <w:r w:rsidRPr="00D8003A">
          <w:t>TUI</w:t>
        </w:r>
      </w:smartTag>
      <w:r w:rsidR="009807B7" w:rsidRPr="00D8003A">
        <w:t xml:space="preserve">) šalyje, nes </w:t>
      </w:r>
      <w:smartTag w:uri="urn:schemas-microsoft-com:office:smarttags" w:element="stockticker">
        <w:r w:rsidR="009807B7" w:rsidRPr="00D8003A">
          <w:t>TUI</w:t>
        </w:r>
      </w:smartTag>
      <w:r w:rsidR="009807B7" w:rsidRPr="00D8003A">
        <w:t xml:space="preserve"> – labai svarbi ekonomikos augimo prielaida. Statistikos departamento duomenimis </w:t>
      </w:r>
      <w:r w:rsidR="0011554D" w:rsidRPr="00D8003A">
        <w:t>Panevėžyje</w:t>
      </w:r>
      <w:r w:rsidR="009807B7" w:rsidRPr="00D8003A">
        <w:t xml:space="preserve"> 20</w:t>
      </w:r>
      <w:r w:rsidR="0011554D" w:rsidRPr="00D8003A">
        <w:t>1</w:t>
      </w:r>
      <w:r w:rsidR="00D8003A" w:rsidRPr="00D8003A">
        <w:t>5</w:t>
      </w:r>
      <w:r w:rsidR="009807B7" w:rsidRPr="00D8003A">
        <w:t xml:space="preserve"> m. buvo sukaupta </w:t>
      </w:r>
      <w:r w:rsidR="00360C47" w:rsidRPr="00D8003A">
        <w:t>2</w:t>
      </w:r>
      <w:r w:rsidR="00D8003A" w:rsidRPr="00D8003A">
        <w:t>44</w:t>
      </w:r>
      <w:r w:rsidR="00360C47" w:rsidRPr="00D8003A">
        <w:t>,6</w:t>
      </w:r>
      <w:r w:rsidR="00C22151" w:rsidRPr="00D8003A">
        <w:t xml:space="preserve"> </w:t>
      </w:r>
      <w:r w:rsidR="0011554D" w:rsidRPr="00D8003A">
        <w:t>mln.</w:t>
      </w:r>
      <w:r w:rsidR="009807B7" w:rsidRPr="00D8003A">
        <w:t xml:space="preserve"> </w:t>
      </w:r>
      <w:r w:rsidR="00A537A9" w:rsidRPr="00D8003A">
        <w:t>EUR</w:t>
      </w:r>
      <w:r w:rsidR="009807B7" w:rsidRPr="00D8003A">
        <w:t xml:space="preserve"> </w:t>
      </w:r>
      <w:smartTag w:uri="urn:schemas-microsoft-com:office:smarttags" w:element="stockticker">
        <w:r w:rsidR="009807B7" w:rsidRPr="00D8003A">
          <w:t>TUI</w:t>
        </w:r>
      </w:smartTag>
      <w:r w:rsidR="009807B7" w:rsidRPr="00D8003A">
        <w:t xml:space="preserve">, tai sudaro </w:t>
      </w:r>
      <w:r w:rsidR="0035744B" w:rsidRPr="00D8003A">
        <w:t>apie 2</w:t>
      </w:r>
      <w:r w:rsidR="009807B7" w:rsidRPr="00D8003A">
        <w:t xml:space="preserve"> % šalies </w:t>
      </w:r>
      <w:smartTag w:uri="urn:schemas-microsoft-com:office:smarttags" w:element="stockticker">
        <w:r w:rsidR="009807B7" w:rsidRPr="00D8003A">
          <w:t>TUI</w:t>
        </w:r>
      </w:smartTag>
      <w:r w:rsidR="009807B7" w:rsidRPr="00D8003A">
        <w:t xml:space="preserve">. </w:t>
      </w:r>
      <w:r w:rsidR="00845C55" w:rsidRPr="00D8003A">
        <w:rPr>
          <w:noProof/>
        </w:rPr>
        <w:t xml:space="preserve"> Pagal </w:t>
      </w:r>
      <w:smartTag w:uri="urn:schemas-microsoft-com:office:smarttags" w:element="stockticker">
        <w:r w:rsidR="00845C55" w:rsidRPr="00D8003A">
          <w:rPr>
            <w:noProof/>
          </w:rPr>
          <w:t>TUI</w:t>
        </w:r>
      </w:smartTag>
      <w:r w:rsidR="00845C55" w:rsidRPr="00D8003A">
        <w:rPr>
          <w:noProof/>
        </w:rPr>
        <w:t xml:space="preserve"> tenkančias vienam gyventojui iš penkių didžiųjų Lietuvos miestų Panevėžys užima 4-ą vietą</w:t>
      </w:r>
      <w:r w:rsidR="00F34BF5" w:rsidRPr="00D8003A">
        <w:rPr>
          <w:noProof/>
        </w:rPr>
        <w:t xml:space="preserve"> – (</w:t>
      </w:r>
      <w:r w:rsidR="00D8003A" w:rsidRPr="00D8003A">
        <w:rPr>
          <w:noProof/>
        </w:rPr>
        <w:t>2614</w:t>
      </w:r>
      <w:r w:rsidR="00F34BF5" w:rsidRPr="00D8003A">
        <w:rPr>
          <w:noProof/>
        </w:rPr>
        <w:t xml:space="preserve"> EUR)</w:t>
      </w:r>
      <w:r w:rsidR="00845C55" w:rsidRPr="00D8003A">
        <w:rPr>
          <w:noProof/>
        </w:rPr>
        <w:t xml:space="preserve">, tačiau jos </w:t>
      </w:r>
      <w:r w:rsidR="00DE5705" w:rsidRPr="00D8003A">
        <w:rPr>
          <w:noProof/>
        </w:rPr>
        <w:t xml:space="preserve">beveik du kartus mažesnės nei </w:t>
      </w:r>
      <w:r w:rsidR="00845C55" w:rsidRPr="00D8003A">
        <w:rPr>
          <w:noProof/>
        </w:rPr>
        <w:t>Lietuvos Respublikos vidurki</w:t>
      </w:r>
      <w:r w:rsidR="00DE5705" w:rsidRPr="00D8003A">
        <w:rPr>
          <w:noProof/>
        </w:rPr>
        <w:t xml:space="preserve">s </w:t>
      </w:r>
      <w:r w:rsidR="00474C90" w:rsidRPr="00D8003A">
        <w:rPr>
          <w:noProof/>
        </w:rPr>
        <w:t xml:space="preserve"> (</w:t>
      </w:r>
      <w:r w:rsidR="00D8003A" w:rsidRPr="00D8003A">
        <w:rPr>
          <w:noProof/>
        </w:rPr>
        <w:t>4673</w:t>
      </w:r>
      <w:r w:rsidR="00A537A9" w:rsidRPr="00D8003A">
        <w:rPr>
          <w:noProof/>
        </w:rPr>
        <w:t xml:space="preserve"> EUR</w:t>
      </w:r>
      <w:r w:rsidR="00474C90" w:rsidRPr="00D8003A">
        <w:rPr>
          <w:noProof/>
        </w:rPr>
        <w:t>)</w:t>
      </w:r>
      <w:r w:rsidR="00F34BF5" w:rsidRPr="00D8003A">
        <w:rPr>
          <w:noProof/>
        </w:rPr>
        <w:t>, (6 diagrama)</w:t>
      </w:r>
      <w:r w:rsidR="00845C55" w:rsidRPr="00D8003A">
        <w:rPr>
          <w:noProof/>
        </w:rPr>
        <w:t>.</w:t>
      </w:r>
      <w:r w:rsidR="00334357" w:rsidRPr="00D8003A">
        <w:rPr>
          <w:noProof/>
        </w:rPr>
        <w:t xml:space="preserve"> </w:t>
      </w:r>
    </w:p>
    <w:p w:rsidR="00334357" w:rsidRPr="00D8003A" w:rsidRDefault="00334357" w:rsidP="00845C55">
      <w:pPr>
        <w:ind w:firstLine="748"/>
        <w:jc w:val="both"/>
        <w:rPr>
          <w:noProof/>
        </w:rPr>
      </w:pPr>
    </w:p>
    <w:p w:rsidR="00845C55" w:rsidRPr="00D8003A" w:rsidRDefault="00942ED9" w:rsidP="00845C55">
      <w:pPr>
        <w:ind w:firstLine="748"/>
        <w:jc w:val="both"/>
        <w:rPr>
          <w:noProof/>
        </w:rPr>
      </w:pPr>
      <w:r w:rsidRPr="00D8003A">
        <w:rPr>
          <w:noProof/>
        </w:rPr>
        <w:t>6</w:t>
      </w:r>
      <w:r w:rsidR="00845C55" w:rsidRPr="00D8003A">
        <w:rPr>
          <w:noProof/>
        </w:rPr>
        <w:t xml:space="preserve"> diagrama. Tiesioginės užsienio investicijos</w:t>
      </w:r>
      <w:r w:rsidR="005B041F" w:rsidRPr="00D8003A">
        <w:rPr>
          <w:noProof/>
        </w:rPr>
        <w:t>,</w:t>
      </w:r>
      <w:r w:rsidR="00845C55" w:rsidRPr="00D8003A">
        <w:rPr>
          <w:noProof/>
        </w:rPr>
        <w:t xml:space="preserve"> tenkančios vienam gyventojui, </w:t>
      </w:r>
      <w:r w:rsidR="00765172" w:rsidRPr="00D8003A">
        <w:rPr>
          <w:noProof/>
        </w:rPr>
        <w:t>EUR</w:t>
      </w:r>
    </w:p>
    <w:p w:rsidR="00F34BF5" w:rsidRPr="00F85D0F" w:rsidRDefault="00F34BF5" w:rsidP="00845C55">
      <w:pPr>
        <w:ind w:firstLine="748"/>
        <w:jc w:val="both"/>
        <w:rPr>
          <w:noProof/>
          <w:color w:val="FF0000"/>
        </w:rPr>
      </w:pPr>
      <w:r w:rsidRPr="00F85D0F">
        <w:rPr>
          <w:noProof/>
          <w:color w:val="FF0000"/>
        </w:rPr>
        <w:drawing>
          <wp:inline distT="0" distB="0" distL="0" distR="0">
            <wp:extent cx="5486400" cy="2301240"/>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34357" w:rsidRPr="00F85D0F" w:rsidRDefault="00334357" w:rsidP="00845C55">
      <w:pPr>
        <w:ind w:firstLine="748"/>
        <w:jc w:val="both"/>
        <w:rPr>
          <w:noProof/>
          <w:color w:val="FF0000"/>
        </w:rPr>
      </w:pPr>
    </w:p>
    <w:p w:rsidR="00F34BF5" w:rsidRPr="00F85D0F" w:rsidRDefault="00F34BF5" w:rsidP="00845C55">
      <w:pPr>
        <w:ind w:firstLine="748"/>
        <w:jc w:val="both"/>
        <w:rPr>
          <w:noProof/>
          <w:color w:val="FF0000"/>
        </w:rPr>
      </w:pPr>
    </w:p>
    <w:p w:rsidR="00845C55" w:rsidRDefault="00845C55" w:rsidP="00845C55">
      <w:pPr>
        <w:ind w:firstLine="748"/>
        <w:jc w:val="both"/>
        <w:rPr>
          <w:noProof/>
        </w:rPr>
      </w:pPr>
      <w:r w:rsidRPr="006F56DD">
        <w:rPr>
          <w:noProof/>
        </w:rPr>
        <w:t>Panevėžio miesto tiesioginės užsienio investicijos per 5 metus (nuo 20</w:t>
      </w:r>
      <w:r w:rsidR="006F56DD" w:rsidRPr="006F56DD">
        <w:rPr>
          <w:noProof/>
        </w:rPr>
        <w:t>11</w:t>
      </w:r>
      <w:r w:rsidR="004C2AB4" w:rsidRPr="006F56DD">
        <w:rPr>
          <w:noProof/>
        </w:rPr>
        <w:t xml:space="preserve"> m. </w:t>
      </w:r>
      <w:r w:rsidRPr="006F56DD">
        <w:rPr>
          <w:noProof/>
        </w:rPr>
        <w:t>iki 20</w:t>
      </w:r>
      <w:r w:rsidR="00A3762B" w:rsidRPr="006F56DD">
        <w:rPr>
          <w:noProof/>
        </w:rPr>
        <w:t>1</w:t>
      </w:r>
      <w:r w:rsidR="006F56DD" w:rsidRPr="006F56DD">
        <w:rPr>
          <w:noProof/>
        </w:rPr>
        <w:t>5</w:t>
      </w:r>
      <w:r w:rsidR="004C2AB4" w:rsidRPr="006F56DD">
        <w:rPr>
          <w:noProof/>
        </w:rPr>
        <w:t xml:space="preserve"> </w:t>
      </w:r>
      <w:r w:rsidRPr="006F56DD">
        <w:rPr>
          <w:noProof/>
        </w:rPr>
        <w:t xml:space="preserve">m.) </w:t>
      </w:r>
      <w:r w:rsidR="00A3762B" w:rsidRPr="006F56DD">
        <w:rPr>
          <w:noProof/>
        </w:rPr>
        <w:t>didėjo</w:t>
      </w:r>
      <w:r w:rsidRPr="006F56DD">
        <w:rPr>
          <w:noProof/>
        </w:rPr>
        <w:t xml:space="preserve"> </w:t>
      </w:r>
      <w:r w:rsidR="00845742" w:rsidRPr="006F56DD">
        <w:rPr>
          <w:noProof/>
        </w:rPr>
        <w:t xml:space="preserve">daugiau kaip </w:t>
      </w:r>
      <w:r w:rsidR="006F56DD" w:rsidRPr="006F56DD">
        <w:rPr>
          <w:noProof/>
        </w:rPr>
        <w:t>23</w:t>
      </w:r>
      <w:r w:rsidR="00A12687" w:rsidRPr="006F56DD">
        <w:rPr>
          <w:noProof/>
        </w:rPr>
        <w:t xml:space="preserve"> </w:t>
      </w:r>
      <w:r w:rsidRPr="006F56DD">
        <w:rPr>
          <w:noProof/>
        </w:rPr>
        <w:t>proc. (</w:t>
      </w:r>
      <w:r w:rsidR="00942ED9" w:rsidRPr="006F56DD">
        <w:rPr>
          <w:noProof/>
        </w:rPr>
        <w:t>7</w:t>
      </w:r>
      <w:r w:rsidRPr="006F56DD">
        <w:rPr>
          <w:noProof/>
        </w:rPr>
        <w:t xml:space="preserve"> diagrama).</w:t>
      </w:r>
      <w:r w:rsidR="00465149" w:rsidRPr="006F56DD">
        <w:rPr>
          <w:noProof/>
        </w:rPr>
        <w:t xml:space="preserve"> </w:t>
      </w:r>
    </w:p>
    <w:p w:rsidR="00E93971" w:rsidRPr="006F56DD" w:rsidRDefault="00E93971" w:rsidP="00845C55">
      <w:pPr>
        <w:ind w:firstLine="748"/>
        <w:jc w:val="both"/>
        <w:rPr>
          <w:noProof/>
        </w:rPr>
      </w:pPr>
    </w:p>
    <w:p w:rsidR="00845C55" w:rsidRPr="006F56DD" w:rsidRDefault="00845C55" w:rsidP="00641CFF">
      <w:pPr>
        <w:tabs>
          <w:tab w:val="left" w:pos="3735"/>
        </w:tabs>
        <w:ind w:firstLine="748"/>
        <w:jc w:val="both"/>
        <w:rPr>
          <w:noProof/>
        </w:rPr>
      </w:pPr>
      <w:r w:rsidRPr="006F56DD">
        <w:rPr>
          <w:noProof/>
        </w:rPr>
        <w:t xml:space="preserve"> </w:t>
      </w:r>
      <w:r w:rsidR="00942ED9" w:rsidRPr="006F56DD">
        <w:rPr>
          <w:noProof/>
        </w:rPr>
        <w:t>7</w:t>
      </w:r>
      <w:r w:rsidRPr="006F56DD">
        <w:rPr>
          <w:noProof/>
        </w:rPr>
        <w:t xml:space="preserve"> diagrama. Tiesioginių užsienio investicijų dinamika Panevėžio mieste</w:t>
      </w:r>
      <w:r w:rsidR="00DB173E" w:rsidRPr="006F56DD">
        <w:rPr>
          <w:noProof/>
        </w:rPr>
        <w:t xml:space="preserve">, </w:t>
      </w:r>
      <w:r w:rsidR="00764FFB" w:rsidRPr="006F56DD">
        <w:rPr>
          <w:noProof/>
        </w:rPr>
        <w:t>mln</w:t>
      </w:r>
      <w:r w:rsidR="00DB173E" w:rsidRPr="006F56DD">
        <w:rPr>
          <w:noProof/>
        </w:rPr>
        <w:t>.</w:t>
      </w:r>
      <w:r w:rsidR="00AD6A01" w:rsidRPr="006F56DD">
        <w:rPr>
          <w:noProof/>
        </w:rPr>
        <w:t xml:space="preserve"> </w:t>
      </w:r>
      <w:r w:rsidR="004C2AB4" w:rsidRPr="006F56DD">
        <w:rPr>
          <w:noProof/>
        </w:rPr>
        <w:t>EUR</w:t>
      </w:r>
    </w:p>
    <w:p w:rsidR="004F564C" w:rsidRPr="00F85D0F" w:rsidRDefault="00AC1A07" w:rsidP="00641CFF">
      <w:pPr>
        <w:tabs>
          <w:tab w:val="left" w:pos="3735"/>
        </w:tabs>
        <w:ind w:firstLine="748"/>
        <w:jc w:val="both"/>
        <w:rPr>
          <w:noProof/>
          <w:color w:val="FF0000"/>
        </w:rPr>
      </w:pPr>
      <w:r w:rsidRPr="00F85D0F">
        <w:rPr>
          <w:noProof/>
          <w:color w:val="FF0000"/>
        </w:rPr>
        <w:drawing>
          <wp:inline distT="0" distB="0" distL="0" distR="0">
            <wp:extent cx="5486400" cy="2148840"/>
            <wp:effectExtent l="0" t="0" r="0" b="381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564C" w:rsidRPr="00F85D0F" w:rsidRDefault="004F564C" w:rsidP="00641CFF">
      <w:pPr>
        <w:tabs>
          <w:tab w:val="left" w:pos="3735"/>
        </w:tabs>
        <w:ind w:firstLine="748"/>
        <w:jc w:val="both"/>
        <w:rPr>
          <w:noProof/>
          <w:color w:val="FF0000"/>
        </w:rPr>
      </w:pPr>
    </w:p>
    <w:p w:rsidR="00845C55" w:rsidRPr="00F85D0F" w:rsidRDefault="00845C55" w:rsidP="00845C55">
      <w:pPr>
        <w:ind w:firstLine="748"/>
        <w:jc w:val="both"/>
        <w:rPr>
          <w:noProof/>
          <w:color w:val="FF0000"/>
        </w:rPr>
      </w:pPr>
    </w:p>
    <w:p w:rsidR="00AF428B" w:rsidRPr="00357B23" w:rsidRDefault="00AF428B" w:rsidP="00AF428B">
      <w:pPr>
        <w:ind w:firstLine="748"/>
        <w:jc w:val="both"/>
      </w:pPr>
      <w:r w:rsidRPr="00357B23">
        <w:lastRenderedPageBreak/>
        <w:t xml:space="preserve">Į Panevėžio įmones investuota per 2 proc. viso Lietuvoje investuoto kapitalo. Savo verslo vystymui Panevėžio apskritį pasirinko tokios šalys, kaip Danija, </w:t>
      </w:r>
      <w:r w:rsidR="00FD5406" w:rsidRPr="00357B23">
        <w:t xml:space="preserve">Prancūzija, Šveicarija, </w:t>
      </w:r>
      <w:r w:rsidR="00357B23" w:rsidRPr="00357B23">
        <w:t xml:space="preserve">Estija, Suomija, Norvegija, </w:t>
      </w:r>
      <w:r w:rsidRPr="00357B23">
        <w:t xml:space="preserve">Vokietija, </w:t>
      </w:r>
      <w:r w:rsidR="00357B23" w:rsidRPr="00357B23">
        <w:t>Švedija</w:t>
      </w:r>
      <w:r w:rsidR="00357B23">
        <w:t xml:space="preserve"> </w:t>
      </w:r>
      <w:r w:rsidRPr="00357B23">
        <w:t>(8 diagrama).</w:t>
      </w:r>
    </w:p>
    <w:p w:rsidR="00E056B7" w:rsidRPr="00357B23" w:rsidRDefault="00E056B7" w:rsidP="00AF428B">
      <w:pPr>
        <w:ind w:firstLine="748"/>
        <w:jc w:val="both"/>
      </w:pPr>
    </w:p>
    <w:p w:rsidR="00496461" w:rsidRPr="00F85D0F" w:rsidRDefault="009B33EA" w:rsidP="00AF428B">
      <w:pPr>
        <w:ind w:firstLine="748"/>
        <w:jc w:val="both"/>
        <w:rPr>
          <w:color w:val="FF0000"/>
        </w:rPr>
      </w:pPr>
      <w:r>
        <w:rPr>
          <w:noProof/>
          <w:color w:val="FF0000"/>
        </w:rPr>
        <w:drawing>
          <wp:inline distT="0" distB="0" distL="0" distR="0">
            <wp:extent cx="5486400" cy="32004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59A6" w:rsidRPr="00F85D0F" w:rsidRDefault="00E056B7" w:rsidP="00E056B7">
      <w:pPr>
        <w:jc w:val="both"/>
        <w:rPr>
          <w:color w:val="FF0000"/>
        </w:rPr>
      </w:pPr>
      <w:r w:rsidRPr="00F85D0F">
        <w:rPr>
          <w:color w:val="FF0000"/>
        </w:rPr>
        <w:t xml:space="preserve">     </w:t>
      </w:r>
    </w:p>
    <w:p w:rsidR="00AF428B" w:rsidRPr="008B3F27" w:rsidRDefault="006A02EF" w:rsidP="008B3F27">
      <w:pPr>
        <w:ind w:firstLine="748"/>
        <w:jc w:val="both"/>
        <w:rPr>
          <w:noProof/>
        </w:rPr>
      </w:pPr>
      <w:r w:rsidRPr="008B3F27">
        <w:t>Naujau</w:t>
      </w:r>
      <w:r w:rsidR="00AF428B" w:rsidRPr="008B3F27">
        <w:t xml:space="preserve">si materialinių investicijų duomenys rodo, kad  verslas </w:t>
      </w:r>
      <w:r w:rsidR="008B3F27">
        <w:t xml:space="preserve">atsargiai </w:t>
      </w:r>
      <w:r w:rsidR="00AF428B" w:rsidRPr="008B3F27">
        <w:t xml:space="preserve">vertina ateities perspektyvas. Materialinių investicijų apimtys per paskutinius 5 metus Panevėžio mieste </w:t>
      </w:r>
      <w:r w:rsidR="00920098" w:rsidRPr="008B3F27">
        <w:t>augo</w:t>
      </w:r>
      <w:r w:rsidR="008B3F27" w:rsidRPr="008B3F27">
        <w:t>, t</w:t>
      </w:r>
      <w:r w:rsidR="00920098" w:rsidRPr="008B3F27">
        <w:t xml:space="preserve">ačiau tai sudaro tik apie 3 % šalies materialinių investicijų. </w:t>
      </w:r>
      <w:r w:rsidR="00AF428B" w:rsidRPr="008B3F27">
        <w:t xml:space="preserve">Šio rodiklio </w:t>
      </w:r>
      <w:r w:rsidR="00920098" w:rsidRPr="008B3F27">
        <w:t>nepakankamas augimas</w:t>
      </w:r>
      <w:r w:rsidR="00AF428B" w:rsidRPr="008B3F27">
        <w:t xml:space="preserve"> stabdo inovacijų ir naujų technologijų diegimą, konkurencingą verslo plėtrą. </w:t>
      </w:r>
    </w:p>
    <w:p w:rsidR="00AF428B" w:rsidRPr="008B3F27" w:rsidRDefault="00AF428B" w:rsidP="00AF428B">
      <w:pPr>
        <w:ind w:firstLine="748"/>
      </w:pPr>
    </w:p>
    <w:p w:rsidR="00C0558F" w:rsidRPr="008B3F27" w:rsidRDefault="00C0558F" w:rsidP="00C0558F">
      <w:pPr>
        <w:ind w:firstLine="748"/>
        <w:rPr>
          <w:noProof/>
        </w:rPr>
      </w:pPr>
      <w:r w:rsidRPr="008B3F27">
        <w:rPr>
          <w:noProof/>
        </w:rPr>
        <w:t xml:space="preserve">Materialinių investicijų dinamika Panevėžio mieste, </w:t>
      </w:r>
      <w:r w:rsidR="00920098" w:rsidRPr="008B3F27">
        <w:rPr>
          <w:noProof/>
        </w:rPr>
        <w:t>mln.</w:t>
      </w:r>
      <w:r w:rsidR="00D1343F" w:rsidRPr="008B3F27">
        <w:rPr>
          <w:noProof/>
        </w:rPr>
        <w:t xml:space="preserve"> </w:t>
      </w:r>
      <w:r w:rsidR="00920098" w:rsidRPr="008B3F27">
        <w:rPr>
          <w:noProof/>
        </w:rPr>
        <w:t>EUR</w:t>
      </w:r>
      <w:r w:rsidRPr="008B3F27">
        <w:rPr>
          <w:noProof/>
        </w:rPr>
        <w:t>.</w:t>
      </w:r>
    </w:p>
    <w:p w:rsidR="00660122" w:rsidRPr="00F85D0F" w:rsidRDefault="00660122" w:rsidP="00C0558F">
      <w:pPr>
        <w:ind w:firstLine="748"/>
        <w:rPr>
          <w:noProof/>
          <w:color w:val="FF0000"/>
        </w:rPr>
      </w:pPr>
      <w:r w:rsidRPr="00F85D0F">
        <w:rPr>
          <w:noProof/>
          <w:color w:val="FF0000"/>
        </w:rPr>
        <w:drawing>
          <wp:inline distT="0" distB="0" distL="0" distR="0">
            <wp:extent cx="5486400" cy="2232660"/>
            <wp:effectExtent l="0" t="0" r="0" b="1524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0122" w:rsidRPr="00F85D0F" w:rsidRDefault="00660122" w:rsidP="00C0558F">
      <w:pPr>
        <w:ind w:firstLine="748"/>
        <w:rPr>
          <w:noProof/>
          <w:color w:val="FF0000"/>
        </w:rPr>
      </w:pPr>
    </w:p>
    <w:p w:rsidR="004E181C" w:rsidRPr="009B07C1" w:rsidRDefault="00125B60" w:rsidP="00125B60">
      <w:pPr>
        <w:ind w:firstLine="748"/>
        <w:jc w:val="both"/>
      </w:pPr>
      <w:r w:rsidRPr="009B07C1">
        <w:t xml:space="preserve">I prioriteto vienas iš tikslų – sukurti palankiausią verslui ir investicijoms aplinką Lietuvos šiaurės regione. </w:t>
      </w:r>
    </w:p>
    <w:p w:rsidR="009B07C1" w:rsidRPr="00F85D0F" w:rsidRDefault="009B07C1" w:rsidP="009B07C1">
      <w:pPr>
        <w:ind w:firstLine="748"/>
        <w:jc w:val="both"/>
        <w:rPr>
          <w:color w:val="FF0000"/>
        </w:rPr>
      </w:pPr>
      <w:r w:rsidRPr="009B07C1">
        <w:rPr>
          <w:rFonts w:eastAsia="Arial Unicode MS"/>
        </w:rPr>
        <w:t>Savivaldybė kartu su partneriais (LIC, PMTP, PPAR, PVKC) teikė nemokamą informaciją, konsultacijas verslo klausimais, buvo organizuoti mokymai ir seminarai norintiems pradėti verslą, įmonėms inovacijų svarbai propaguoti.</w:t>
      </w:r>
      <w:r w:rsidRPr="009B07C1">
        <w:rPr>
          <w:color w:val="FF0000"/>
        </w:rPr>
        <w:t xml:space="preserve"> </w:t>
      </w:r>
    </w:p>
    <w:p w:rsidR="009B07C1" w:rsidRPr="009B07C1" w:rsidRDefault="009B07C1" w:rsidP="009B07C1">
      <w:pPr>
        <w:ind w:firstLine="748"/>
        <w:jc w:val="both"/>
      </w:pPr>
      <w:r w:rsidRPr="009B07C1">
        <w:rPr>
          <w:noProof/>
        </w:rPr>
        <w:t xml:space="preserve">Siekiant plėtoti palankią investicijoms ir bendradarbiavimui aplinką, kartu su  Panevėžio </w:t>
      </w:r>
      <w:r w:rsidRPr="009B07C1">
        <w:t xml:space="preserve"> prekybos, pramonės ir amatų rūmais (PPAR) 2016 m. organizuotos miesto verslininkų misijos tikslinėse užsienio rinkose, organizuotos konferencijos verslo temomis, dalyvauta tarptautinėje parodoje „Expo Aukštaitija 2016“.</w:t>
      </w:r>
    </w:p>
    <w:p w:rsidR="009B07C1" w:rsidRPr="009B07C1" w:rsidRDefault="009B07C1" w:rsidP="009B07C1">
      <w:pPr>
        <w:ind w:firstLine="748"/>
        <w:jc w:val="both"/>
      </w:pPr>
      <w:r w:rsidRPr="009B07C1">
        <w:t>2016 m. baigta rengti galimybių studija „Panevėžio geležinkelio krovinių regioninio terminalo (logistikos centro prie „</w:t>
      </w:r>
      <w:proofErr w:type="spellStart"/>
      <w:r w:rsidRPr="009B07C1">
        <w:t>Rail</w:t>
      </w:r>
      <w:proofErr w:type="spellEnd"/>
      <w:r w:rsidRPr="009B07C1">
        <w:t xml:space="preserve"> </w:t>
      </w:r>
      <w:proofErr w:type="spellStart"/>
      <w:r w:rsidRPr="009B07C1">
        <w:t>Baltica</w:t>
      </w:r>
      <w:proofErr w:type="spellEnd"/>
      <w:r w:rsidRPr="009B07C1">
        <w:t>“) įrengimas.</w:t>
      </w:r>
    </w:p>
    <w:p w:rsidR="00125B60" w:rsidRPr="00F85D0F" w:rsidRDefault="009B07C1" w:rsidP="00B92823">
      <w:pPr>
        <w:ind w:right="89" w:firstLine="748"/>
        <w:jc w:val="both"/>
        <w:rPr>
          <w:color w:val="FF0000"/>
        </w:rPr>
      </w:pPr>
      <w:r w:rsidRPr="009B07C1">
        <w:rPr>
          <w:rFonts w:eastAsia="Arial Unicode MS"/>
        </w:rPr>
        <w:lastRenderedPageBreak/>
        <w:t>2016 m. buvo organizuotas Panevėžio miesto geriausios inova</w:t>
      </w:r>
      <w:r w:rsidR="00244FEE">
        <w:rPr>
          <w:rFonts w:eastAsia="Arial Unicode MS"/>
        </w:rPr>
        <w:t>tyvios</w:t>
      </w:r>
      <w:bookmarkStart w:id="0" w:name="_GoBack"/>
      <w:bookmarkEnd w:id="0"/>
      <w:r w:rsidRPr="009B07C1">
        <w:rPr>
          <w:rFonts w:eastAsia="Arial Unicode MS"/>
        </w:rPr>
        <w:t xml:space="preserve"> įmonės konkursas, toliau tęsiama  </w:t>
      </w:r>
      <w:proofErr w:type="spellStart"/>
      <w:r w:rsidRPr="009B07C1">
        <w:rPr>
          <w:rFonts w:eastAsia="Arial Unicode MS"/>
        </w:rPr>
        <w:t>FIBA</w:t>
      </w:r>
      <w:r w:rsidRPr="009B07C1">
        <w:t>ssociation</w:t>
      </w:r>
      <w:proofErr w:type="spellEnd"/>
      <w:r w:rsidRPr="009B07C1">
        <w:rPr>
          <w:rFonts w:eastAsia="Arial Unicode MS"/>
        </w:rPr>
        <w:t xml:space="preserve"> veikla </w:t>
      </w:r>
      <w:r w:rsidRPr="009B07C1">
        <w:t>(</w:t>
      </w:r>
      <w:proofErr w:type="spellStart"/>
      <w:r w:rsidRPr="009B07C1">
        <w:t>Foreign</w:t>
      </w:r>
      <w:proofErr w:type="spellEnd"/>
      <w:r w:rsidRPr="009B07C1">
        <w:t xml:space="preserve"> </w:t>
      </w:r>
      <w:proofErr w:type="spellStart"/>
      <w:r w:rsidRPr="009B07C1">
        <w:t>Investment</w:t>
      </w:r>
      <w:proofErr w:type="spellEnd"/>
      <w:r w:rsidRPr="009B07C1">
        <w:t xml:space="preserve"> </w:t>
      </w:r>
      <w:proofErr w:type="spellStart"/>
      <w:r w:rsidRPr="009B07C1">
        <w:t>Business</w:t>
      </w:r>
      <w:proofErr w:type="spellEnd"/>
      <w:r w:rsidRPr="009B07C1">
        <w:t xml:space="preserve"> </w:t>
      </w:r>
      <w:proofErr w:type="spellStart"/>
      <w:r w:rsidRPr="009B07C1">
        <w:t>Association</w:t>
      </w:r>
      <w:proofErr w:type="spellEnd"/>
      <w:r w:rsidRPr="009B07C1">
        <w:t>) (Užsienio investuotojų verslo asociacija). Toliau tęsiamas savivaldos bendradarbiavimo su verslu, įtraukimo į miesto reikalus</w:t>
      </w:r>
      <w:r w:rsidR="00B92823">
        <w:t xml:space="preserve"> projektas - "Dovana miestui", </w:t>
      </w:r>
      <w:r w:rsidR="00496461" w:rsidRPr="00B92823">
        <w:t xml:space="preserve">vykdoma </w:t>
      </w:r>
      <w:r w:rsidR="00125B60" w:rsidRPr="00B92823">
        <w:t xml:space="preserve"> </w:t>
      </w:r>
      <w:r w:rsidR="00B92823" w:rsidRPr="00B92823">
        <w:t xml:space="preserve">rinkodarinė </w:t>
      </w:r>
      <w:r w:rsidR="00125B60" w:rsidRPr="00B92823">
        <w:t xml:space="preserve"> (LEZ) </w:t>
      </w:r>
      <w:r w:rsidR="00B92823" w:rsidRPr="00B92823">
        <w:t>veikla.</w:t>
      </w:r>
      <w:r w:rsidR="00125B60" w:rsidRPr="00B92823">
        <w:t xml:space="preserve"> </w:t>
      </w:r>
    </w:p>
    <w:p w:rsidR="00731FE7" w:rsidRPr="009B07C1" w:rsidRDefault="00731FE7" w:rsidP="0091161D">
      <w:pPr>
        <w:ind w:firstLine="748"/>
        <w:jc w:val="both"/>
      </w:pPr>
      <w:r w:rsidRPr="009B07C1">
        <w:t>Stiprinant miesto rinkodarą šalyje ir užsienyje</w:t>
      </w:r>
      <w:r w:rsidR="0020318A" w:rsidRPr="009B07C1">
        <w:t>,</w:t>
      </w:r>
      <w:r w:rsidRPr="009B07C1">
        <w:t xml:space="preserve"> Savivaldybė įgyvendino rinkodaros programą</w:t>
      </w:r>
      <w:r w:rsidR="009B07C1" w:rsidRPr="009B07C1">
        <w:t>.</w:t>
      </w:r>
      <w:r w:rsidRPr="009B07C1">
        <w:t xml:space="preserve"> </w:t>
      </w:r>
    </w:p>
    <w:p w:rsidR="004965AF" w:rsidRPr="00F31CB6" w:rsidRDefault="004965AF" w:rsidP="004965AF">
      <w:pPr>
        <w:ind w:firstLine="748"/>
        <w:jc w:val="both"/>
      </w:pPr>
      <w:r w:rsidRPr="00F31CB6">
        <w:rPr>
          <w:rFonts w:eastAsia="Arial Unicode MS"/>
        </w:rPr>
        <w:t xml:space="preserve">Kitas I prioriteto tikslų – skatinti darbo vietų kūrimą. </w:t>
      </w:r>
      <w:r w:rsidRPr="00F31CB6">
        <w:t>Panevėžio miesto Viešųjų darbų program</w:t>
      </w:r>
      <w:r w:rsidR="00F31CB6" w:rsidRPr="00F31CB6">
        <w:t>oje</w:t>
      </w:r>
      <w:r w:rsidRPr="00F31CB6">
        <w:t xml:space="preserve"> </w:t>
      </w:r>
      <w:r w:rsidR="00F31CB6" w:rsidRPr="00F31CB6">
        <w:t xml:space="preserve">dalyvavo 55 įmonės, įstaigos ir organizacijos, kurios įdarbino 399 teritorinės darbo biržos siųstus asmenis. 2016 m. viešiesiems darbams atlikti iš Savivaldybės biudžeto skirta 154 tūkst. Eurų. </w:t>
      </w:r>
      <w:r w:rsidRPr="00F31CB6">
        <w:t xml:space="preserve"> Į šių priemonių įgyvendinimą įtrauktos ne tik savivaldos bei valstybinės institucijos, bet ir socialiniai partneriai (Darbo birža). </w:t>
      </w:r>
    </w:p>
    <w:p w:rsidR="008F6506" w:rsidRPr="00F85D0F" w:rsidRDefault="008F6506" w:rsidP="00164E07">
      <w:pPr>
        <w:ind w:firstLine="748"/>
        <w:jc w:val="both"/>
        <w:rPr>
          <w:color w:val="FF0000"/>
        </w:rPr>
      </w:pPr>
    </w:p>
    <w:p w:rsidR="008F6506" w:rsidRPr="00F31CB6" w:rsidRDefault="00740910" w:rsidP="008F6506">
      <w:pPr>
        <w:ind w:firstLine="748"/>
        <w:jc w:val="both"/>
        <w:rPr>
          <w:noProof/>
        </w:rPr>
      </w:pPr>
      <w:r w:rsidRPr="00F31CB6">
        <w:rPr>
          <w:noProof/>
        </w:rPr>
        <w:t xml:space="preserve">Panevėžio </w:t>
      </w:r>
      <w:r w:rsidR="001232DD" w:rsidRPr="00F31CB6">
        <w:rPr>
          <w:noProof/>
        </w:rPr>
        <w:t>m</w:t>
      </w:r>
      <w:r w:rsidR="008F6506" w:rsidRPr="00F31CB6">
        <w:rPr>
          <w:noProof/>
        </w:rPr>
        <w:t xml:space="preserve">ieste nedarbo lygis </w:t>
      </w:r>
      <w:r w:rsidR="00E96C0D" w:rsidRPr="00F31CB6">
        <w:rPr>
          <w:noProof/>
        </w:rPr>
        <w:t>penki me</w:t>
      </w:r>
      <w:r w:rsidRPr="00F31CB6">
        <w:rPr>
          <w:noProof/>
        </w:rPr>
        <w:t xml:space="preserve">tai iš eilės mažėja </w:t>
      </w:r>
      <w:r w:rsidR="00202FCE" w:rsidRPr="00F31CB6">
        <w:rPr>
          <w:noProof/>
        </w:rPr>
        <w:t xml:space="preserve"> ir per 201</w:t>
      </w:r>
      <w:r w:rsidR="00F31CB6" w:rsidRPr="00F31CB6">
        <w:rPr>
          <w:noProof/>
        </w:rPr>
        <w:t>6</w:t>
      </w:r>
      <w:r w:rsidR="00202FCE" w:rsidRPr="00F31CB6">
        <w:rPr>
          <w:noProof/>
        </w:rPr>
        <w:t xml:space="preserve"> metus</w:t>
      </w:r>
      <w:r w:rsidR="008F6506" w:rsidRPr="00F31CB6">
        <w:rPr>
          <w:noProof/>
        </w:rPr>
        <w:t xml:space="preserve"> </w:t>
      </w:r>
      <w:r w:rsidR="00202FCE" w:rsidRPr="00F31CB6">
        <w:rPr>
          <w:noProof/>
        </w:rPr>
        <w:t xml:space="preserve">sudarė </w:t>
      </w:r>
      <w:r w:rsidR="00F31CB6" w:rsidRPr="00F31CB6">
        <w:rPr>
          <w:noProof/>
        </w:rPr>
        <w:t>7,4</w:t>
      </w:r>
      <w:r w:rsidR="008F6506" w:rsidRPr="00F31CB6">
        <w:rPr>
          <w:noProof/>
        </w:rPr>
        <w:t xml:space="preserve">  procento. (žr.</w:t>
      </w:r>
      <w:r w:rsidR="00942ED9" w:rsidRPr="00F31CB6">
        <w:rPr>
          <w:noProof/>
        </w:rPr>
        <w:t>9</w:t>
      </w:r>
      <w:r w:rsidR="008F6506" w:rsidRPr="00F31CB6">
        <w:rPr>
          <w:noProof/>
        </w:rPr>
        <w:t xml:space="preserve"> diagramą). </w:t>
      </w:r>
    </w:p>
    <w:p w:rsidR="00473249" w:rsidRPr="00F31CB6" w:rsidRDefault="00473249" w:rsidP="008F6506">
      <w:pPr>
        <w:ind w:firstLine="748"/>
        <w:jc w:val="both"/>
        <w:rPr>
          <w:noProof/>
        </w:rPr>
      </w:pPr>
    </w:p>
    <w:p w:rsidR="008F6506" w:rsidRPr="00F31CB6" w:rsidRDefault="00942ED9" w:rsidP="008F6506">
      <w:pPr>
        <w:ind w:firstLine="748"/>
        <w:jc w:val="both"/>
        <w:rPr>
          <w:noProof/>
        </w:rPr>
      </w:pPr>
      <w:r w:rsidRPr="00F31CB6">
        <w:rPr>
          <w:noProof/>
        </w:rPr>
        <w:t>9</w:t>
      </w:r>
      <w:r w:rsidR="008F6506" w:rsidRPr="00F31CB6">
        <w:rPr>
          <w:noProof/>
        </w:rPr>
        <w:t xml:space="preserve"> diagrama. Nedarbo lygis</w:t>
      </w:r>
      <w:r w:rsidR="00F31CB6" w:rsidRPr="00F31CB6">
        <w:rPr>
          <w:noProof/>
        </w:rPr>
        <w:t xml:space="preserve"> (registruotų bedarbių ir darbingo amžiaus gyventojų santykis)</w:t>
      </w:r>
      <w:r w:rsidR="008F6506" w:rsidRPr="00F31CB6">
        <w:rPr>
          <w:noProof/>
        </w:rPr>
        <w:t xml:space="preserve"> Panevėžio mieste, </w:t>
      </w:r>
      <w:r w:rsidR="00D1343F" w:rsidRPr="00F31CB6">
        <w:rPr>
          <w:noProof/>
        </w:rPr>
        <w:t>procentai</w:t>
      </w:r>
    </w:p>
    <w:p w:rsidR="00C61773" w:rsidRPr="00F85D0F" w:rsidRDefault="00C61773" w:rsidP="008F6506">
      <w:pPr>
        <w:ind w:firstLine="748"/>
        <w:jc w:val="both"/>
        <w:rPr>
          <w:noProof/>
          <w:color w:val="FF0000"/>
        </w:rPr>
      </w:pPr>
      <w:r w:rsidRPr="00F85D0F">
        <w:rPr>
          <w:noProof/>
          <w:color w:val="FF0000"/>
        </w:rPr>
        <w:drawing>
          <wp:inline distT="0" distB="0" distL="0" distR="0">
            <wp:extent cx="5486400" cy="1653540"/>
            <wp:effectExtent l="0" t="0" r="0" b="0"/>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6506" w:rsidRPr="00B178F9" w:rsidRDefault="008F6506" w:rsidP="008F6506">
      <w:pPr>
        <w:ind w:firstLine="748"/>
        <w:jc w:val="both"/>
        <w:rPr>
          <w:noProof/>
        </w:rPr>
      </w:pPr>
    </w:p>
    <w:p w:rsidR="008F6506" w:rsidRPr="00B178F9" w:rsidRDefault="008F6506" w:rsidP="008F6506">
      <w:pPr>
        <w:ind w:firstLine="748"/>
        <w:jc w:val="both"/>
        <w:rPr>
          <w:noProof/>
        </w:rPr>
      </w:pPr>
      <w:r w:rsidRPr="00B178F9">
        <w:t>201</w:t>
      </w:r>
      <w:r w:rsidR="00B178F9" w:rsidRPr="00B178F9">
        <w:t>6</w:t>
      </w:r>
      <w:r w:rsidRPr="00B178F9">
        <w:t xml:space="preserve"> m. Panevėžyje veikė 3</w:t>
      </w:r>
      <w:r w:rsidR="00B178F9" w:rsidRPr="00B178F9">
        <w:t>495</w:t>
      </w:r>
      <w:r w:rsidRPr="00B178F9">
        <w:t xml:space="preserve"> ūkio subjekta</w:t>
      </w:r>
      <w:r w:rsidR="00FD43B1" w:rsidRPr="00B178F9">
        <w:t>i</w:t>
      </w:r>
      <w:r w:rsidRPr="00B178F9">
        <w:t xml:space="preserve"> ir </w:t>
      </w:r>
      <w:r w:rsidR="00F45903" w:rsidRPr="00B178F9">
        <w:t xml:space="preserve">per 5 metus </w:t>
      </w:r>
      <w:r w:rsidR="00B178F9" w:rsidRPr="00B178F9">
        <w:t>išaugo</w:t>
      </w:r>
      <w:r w:rsidR="00F45903" w:rsidRPr="00B178F9">
        <w:t xml:space="preserve"> </w:t>
      </w:r>
      <w:r w:rsidR="00B178F9" w:rsidRPr="00B178F9">
        <w:t>9</w:t>
      </w:r>
      <w:r w:rsidR="00F45903" w:rsidRPr="00B178F9">
        <w:t xml:space="preserve"> p</w:t>
      </w:r>
      <w:r w:rsidRPr="00B178F9">
        <w:t xml:space="preserve">roc. </w:t>
      </w:r>
      <w:r w:rsidRPr="00B178F9">
        <w:rPr>
          <w:noProof/>
        </w:rPr>
        <w:t>(žr.</w:t>
      </w:r>
      <w:r w:rsidR="00031224" w:rsidRPr="00B178F9">
        <w:rPr>
          <w:noProof/>
        </w:rPr>
        <w:t>10</w:t>
      </w:r>
      <w:r w:rsidRPr="00B178F9">
        <w:rPr>
          <w:noProof/>
        </w:rPr>
        <w:t xml:space="preserve"> diagramą). Mieste dominuoja įmonės, kuriose dirba 1-9 dirbantieji.</w:t>
      </w:r>
    </w:p>
    <w:p w:rsidR="00473249" w:rsidRPr="00B178F9" w:rsidRDefault="00473249" w:rsidP="008F6506">
      <w:pPr>
        <w:ind w:firstLine="748"/>
        <w:jc w:val="both"/>
        <w:rPr>
          <w:noProof/>
        </w:rPr>
      </w:pPr>
    </w:p>
    <w:p w:rsidR="008F6506" w:rsidRPr="00B178F9" w:rsidRDefault="00031224" w:rsidP="008F6506">
      <w:pPr>
        <w:ind w:firstLine="748"/>
        <w:jc w:val="both"/>
        <w:rPr>
          <w:noProof/>
        </w:rPr>
      </w:pPr>
      <w:r w:rsidRPr="00B178F9">
        <w:rPr>
          <w:noProof/>
        </w:rPr>
        <w:t>10</w:t>
      </w:r>
      <w:r w:rsidR="008F6506" w:rsidRPr="00B178F9">
        <w:rPr>
          <w:noProof/>
        </w:rPr>
        <w:t xml:space="preserve"> diagrama. Veikiantys ūkio subjektai Panevėžio mieste, vnt.</w:t>
      </w:r>
    </w:p>
    <w:p w:rsidR="00DE3076" w:rsidRPr="00F85D0F" w:rsidRDefault="00DE3076" w:rsidP="008F6506">
      <w:pPr>
        <w:ind w:firstLine="748"/>
        <w:jc w:val="both"/>
        <w:rPr>
          <w:noProof/>
          <w:color w:val="FF0000"/>
        </w:rPr>
      </w:pPr>
    </w:p>
    <w:p w:rsidR="00DD7F0A" w:rsidRPr="00F85D0F" w:rsidRDefault="00DE3076" w:rsidP="008F6506">
      <w:pPr>
        <w:ind w:firstLine="748"/>
        <w:jc w:val="both"/>
        <w:rPr>
          <w:noProof/>
          <w:color w:val="FF0000"/>
        </w:rPr>
      </w:pPr>
      <w:r w:rsidRPr="00F85D0F">
        <w:rPr>
          <w:noProof/>
          <w:color w:val="FF0000"/>
        </w:rPr>
        <w:drawing>
          <wp:inline distT="0" distB="0" distL="0" distR="0">
            <wp:extent cx="5486400" cy="1539240"/>
            <wp:effectExtent l="0" t="0" r="0" b="0"/>
            <wp:docPr id="34" name="Diagra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F6506" w:rsidRPr="00F85D0F" w:rsidRDefault="008F6506" w:rsidP="008F6506">
      <w:pPr>
        <w:ind w:firstLine="748"/>
        <w:jc w:val="both"/>
        <w:rPr>
          <w:color w:val="FF0000"/>
        </w:rPr>
      </w:pPr>
    </w:p>
    <w:p w:rsidR="006B59A5" w:rsidRPr="00F85D0F" w:rsidRDefault="006B59A5" w:rsidP="00845C55">
      <w:pPr>
        <w:tabs>
          <w:tab w:val="left" w:pos="748"/>
        </w:tabs>
        <w:ind w:left="187" w:firstLine="561"/>
        <w:jc w:val="both"/>
        <w:rPr>
          <w:b/>
          <w:noProof/>
          <w:color w:val="FF0000"/>
        </w:rPr>
      </w:pPr>
    </w:p>
    <w:p w:rsidR="00F45903" w:rsidRPr="00B178F9" w:rsidRDefault="00F45903" w:rsidP="00845C55">
      <w:pPr>
        <w:tabs>
          <w:tab w:val="left" w:pos="748"/>
        </w:tabs>
        <w:ind w:left="187" w:firstLine="561"/>
        <w:jc w:val="both"/>
      </w:pPr>
      <w:r w:rsidRPr="00B178F9">
        <w:t xml:space="preserve">Įmonių skaičius, tenkantis tūkstančiui gyventojų, parodo verslumo lygį. Lietuvos verslumo lygis </w:t>
      </w:r>
      <w:r w:rsidR="00D235B9" w:rsidRPr="00B178F9">
        <w:t xml:space="preserve">2 </w:t>
      </w:r>
      <w:r w:rsidRPr="00B178F9">
        <w:t xml:space="preserve"> kartus mažesnis, nei ES</w:t>
      </w:r>
      <w:r w:rsidR="00D235B9" w:rsidRPr="00B178F9">
        <w:t xml:space="preserve"> (tūkstančiui gyventojų tenka maždaug 5</w:t>
      </w:r>
      <w:r w:rsidR="00B178F9" w:rsidRPr="00B178F9">
        <w:t>9</w:t>
      </w:r>
      <w:r w:rsidR="00D235B9" w:rsidRPr="00B178F9">
        <w:t xml:space="preserve"> įmonės)</w:t>
      </w:r>
      <w:r w:rsidRPr="00B178F9">
        <w:t xml:space="preserve">, o Panevėžio mieste verslumo lygis </w:t>
      </w:r>
      <w:r w:rsidR="00CD73FB" w:rsidRPr="00B178F9">
        <w:t xml:space="preserve">yra mažiausias iš 5 didžiųjų miestų ir tūkstančiui gyventojų tenka </w:t>
      </w:r>
      <w:r w:rsidR="00B178F9" w:rsidRPr="00B178F9">
        <w:t>40 įmonių</w:t>
      </w:r>
      <w:r w:rsidR="00CD73FB" w:rsidRPr="00B178F9">
        <w:t>.</w:t>
      </w:r>
    </w:p>
    <w:p w:rsidR="00F45903" w:rsidRPr="00F85D0F" w:rsidRDefault="00F45903" w:rsidP="00845C55">
      <w:pPr>
        <w:tabs>
          <w:tab w:val="left" w:pos="748"/>
        </w:tabs>
        <w:ind w:left="187" w:firstLine="561"/>
        <w:jc w:val="both"/>
        <w:rPr>
          <w:b/>
          <w:noProof/>
          <w:color w:val="FF0000"/>
        </w:rPr>
      </w:pPr>
    </w:p>
    <w:p w:rsidR="00845C55" w:rsidRPr="00B178F9" w:rsidRDefault="006E14D9" w:rsidP="00845C55">
      <w:pPr>
        <w:tabs>
          <w:tab w:val="left" w:pos="748"/>
        </w:tabs>
        <w:ind w:left="187" w:firstLine="561"/>
        <w:jc w:val="both"/>
      </w:pPr>
      <w:r w:rsidRPr="00B178F9">
        <w:rPr>
          <w:b/>
          <w:noProof/>
        </w:rPr>
        <w:t>II PRIORITETAS.</w:t>
      </w:r>
      <w:r w:rsidR="000072D9" w:rsidRPr="00B178F9">
        <w:rPr>
          <w:b/>
          <w:noProof/>
        </w:rPr>
        <w:t xml:space="preserve"> </w:t>
      </w:r>
      <w:r w:rsidR="000072D9" w:rsidRPr="00B178F9">
        <w:t>Kokybiškų gyvenimo sąlygų ir aukštos socialinės gerovės kūrimas</w:t>
      </w:r>
      <w:r w:rsidR="005251A3" w:rsidRPr="00B178F9">
        <w:t>.</w:t>
      </w:r>
    </w:p>
    <w:p w:rsidR="00013AFD" w:rsidRPr="00B178F9" w:rsidRDefault="00013AFD" w:rsidP="00845C55">
      <w:pPr>
        <w:tabs>
          <w:tab w:val="left" w:pos="748"/>
        </w:tabs>
        <w:ind w:left="187" w:firstLine="561"/>
        <w:jc w:val="both"/>
      </w:pPr>
    </w:p>
    <w:p w:rsidR="00031224" w:rsidRPr="00B178F9" w:rsidRDefault="00BD0A9A" w:rsidP="00845C55">
      <w:pPr>
        <w:tabs>
          <w:tab w:val="left" w:pos="748"/>
        </w:tabs>
        <w:ind w:left="187" w:firstLine="561"/>
        <w:jc w:val="both"/>
        <w:rPr>
          <w:noProof/>
        </w:rPr>
      </w:pPr>
      <w:r w:rsidRPr="00B178F9">
        <w:rPr>
          <w:noProof/>
        </w:rPr>
        <w:t xml:space="preserve">II prioritete nurodytos priemonės </w:t>
      </w:r>
      <w:r w:rsidR="00044667" w:rsidRPr="00B178F9">
        <w:rPr>
          <w:noProof/>
        </w:rPr>
        <w:t>apima švietimą, sveikatos, socialinę apsaugą, kultūrą ir meną</w:t>
      </w:r>
      <w:r w:rsidR="005E7A56" w:rsidRPr="00B178F9">
        <w:rPr>
          <w:noProof/>
        </w:rPr>
        <w:t xml:space="preserve">, </w:t>
      </w:r>
      <w:r w:rsidR="00044667" w:rsidRPr="00B178F9">
        <w:rPr>
          <w:noProof/>
        </w:rPr>
        <w:t>kūno kultūrą ir sportą, viešąjį saugumą.</w:t>
      </w:r>
    </w:p>
    <w:p w:rsidR="00845C55" w:rsidRPr="00B178F9" w:rsidRDefault="00845C55" w:rsidP="00845C55">
      <w:pPr>
        <w:ind w:firstLine="748"/>
        <w:jc w:val="both"/>
        <w:rPr>
          <w:noProof/>
        </w:rPr>
      </w:pPr>
      <w:r w:rsidRPr="00B178F9">
        <w:rPr>
          <w:noProof/>
        </w:rPr>
        <w:t xml:space="preserve">Strateginio plano II-o prioriteto priemonių vykdymas pavaizduotas </w:t>
      </w:r>
      <w:r w:rsidR="00031224" w:rsidRPr="00B178F9">
        <w:rPr>
          <w:noProof/>
        </w:rPr>
        <w:t>11</w:t>
      </w:r>
      <w:r w:rsidRPr="00B178F9">
        <w:rPr>
          <w:noProof/>
        </w:rPr>
        <w:t xml:space="preserve"> diagramoje.</w:t>
      </w:r>
    </w:p>
    <w:p w:rsidR="00845C55" w:rsidRPr="00B178F9" w:rsidRDefault="00845C55" w:rsidP="00845C55">
      <w:pPr>
        <w:ind w:firstLine="748"/>
        <w:jc w:val="both"/>
        <w:rPr>
          <w:noProof/>
        </w:rPr>
      </w:pPr>
    </w:p>
    <w:p w:rsidR="00641CFF" w:rsidRPr="00F85D0F" w:rsidRDefault="00B178F9" w:rsidP="00845C55">
      <w:pPr>
        <w:ind w:firstLine="748"/>
        <w:jc w:val="both"/>
        <w:rPr>
          <w:noProof/>
          <w:color w:val="FF0000"/>
        </w:rPr>
      </w:pPr>
      <w:r>
        <w:rPr>
          <w:i/>
          <w:noProof/>
          <w:color w:val="FF0000"/>
        </w:rPr>
        <w:lastRenderedPageBreak/>
        <w:drawing>
          <wp:inline distT="0" distB="0" distL="0" distR="0" wp14:anchorId="242C2A12" wp14:editId="4D56C589">
            <wp:extent cx="5554980" cy="2423160"/>
            <wp:effectExtent l="0" t="0" r="7620" b="1524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41CFF" w:rsidRPr="00F85D0F" w:rsidRDefault="00641CFF" w:rsidP="00845C55">
      <w:pPr>
        <w:ind w:firstLine="748"/>
        <w:jc w:val="both"/>
        <w:rPr>
          <w:noProof/>
          <w:color w:val="FF0000"/>
        </w:rPr>
      </w:pPr>
    </w:p>
    <w:p w:rsidR="000A7F1A" w:rsidRPr="002A5368" w:rsidRDefault="00845C55" w:rsidP="000A7F1A">
      <w:pPr>
        <w:ind w:firstLine="748"/>
        <w:jc w:val="both"/>
        <w:rPr>
          <w:noProof/>
        </w:rPr>
      </w:pPr>
      <w:r w:rsidRPr="002A5368">
        <w:rPr>
          <w:noProof/>
        </w:rPr>
        <w:t>II prioriteto neįgyvendintos priemonės 20</w:t>
      </w:r>
      <w:r w:rsidR="006E1DF4" w:rsidRPr="002A5368">
        <w:rPr>
          <w:noProof/>
        </w:rPr>
        <w:t>1</w:t>
      </w:r>
      <w:r w:rsidR="00793711" w:rsidRPr="002A5368">
        <w:rPr>
          <w:noProof/>
        </w:rPr>
        <w:t>6</w:t>
      </w:r>
      <w:r w:rsidRPr="002A5368">
        <w:rPr>
          <w:noProof/>
        </w:rPr>
        <w:t xml:space="preserve"> m.:</w:t>
      </w:r>
    </w:p>
    <w:p w:rsidR="000A7F1A" w:rsidRPr="002A5368" w:rsidRDefault="006D319E" w:rsidP="000A7F1A">
      <w:pPr>
        <w:ind w:firstLine="748"/>
        <w:jc w:val="both"/>
        <w:rPr>
          <w:noProof/>
        </w:rPr>
      </w:pPr>
      <w:r w:rsidRPr="002A5368">
        <w:rPr>
          <w:noProof/>
        </w:rPr>
        <w:t xml:space="preserve">2.1.2.3. </w:t>
      </w:r>
      <w:r w:rsidR="00793711" w:rsidRPr="002A5368">
        <w:rPr>
          <w:noProof/>
        </w:rPr>
        <w:t>„</w:t>
      </w:r>
      <w:r w:rsidRPr="002A5368">
        <w:rPr>
          <w:noProof/>
        </w:rPr>
        <w:t>Nuolatinis jaunimo politikos įgyvendinimo vertinimas</w:t>
      </w:r>
      <w:r w:rsidR="00793711" w:rsidRPr="002A5368">
        <w:rPr>
          <w:noProof/>
        </w:rPr>
        <w:t>“</w:t>
      </w:r>
      <w:r w:rsidRPr="002A5368">
        <w:rPr>
          <w:noProof/>
        </w:rPr>
        <w:t>.</w:t>
      </w:r>
    </w:p>
    <w:p w:rsidR="00793711" w:rsidRPr="002A5368" w:rsidRDefault="00793711" w:rsidP="000A7F1A">
      <w:pPr>
        <w:ind w:firstLine="748"/>
        <w:jc w:val="both"/>
        <w:rPr>
          <w:noProof/>
          <w:color w:val="FF0000"/>
        </w:rPr>
      </w:pPr>
      <w:r w:rsidRPr="002A5368">
        <w:rPr>
          <w:noProof/>
        </w:rPr>
        <w:t xml:space="preserve">Jaunimo poreikių tyrimui 2016 m. nebuvo skirta lėšų. 2016 m. buvo sudaryta darbo grupė kuri atliko Jaunimo politikos kokybės vertinimą Panevėžio mieste. Vertinimas išsiųtas Jaunimo reikalų departamentui, kur skelbiama visų savivaldybių jaunimo politikos kokybės situacija. </w:t>
      </w:r>
    </w:p>
    <w:p w:rsidR="006D319E" w:rsidRPr="002A5368" w:rsidRDefault="006D319E" w:rsidP="000A7F1A">
      <w:pPr>
        <w:ind w:firstLine="748"/>
        <w:jc w:val="both"/>
        <w:rPr>
          <w:noProof/>
        </w:rPr>
      </w:pPr>
      <w:r w:rsidRPr="002A5368">
        <w:rPr>
          <w:noProof/>
        </w:rPr>
        <w:t xml:space="preserve">2.2.1.3. </w:t>
      </w:r>
      <w:r w:rsidR="00793711" w:rsidRPr="002A5368">
        <w:rPr>
          <w:noProof/>
        </w:rPr>
        <w:t>„</w:t>
      </w:r>
      <w:r w:rsidRPr="002A5368">
        <w:rPr>
          <w:noProof/>
        </w:rPr>
        <w:t>Socialinio būsto plėtra ir kokybės gerinimas</w:t>
      </w:r>
      <w:r w:rsidR="00793711" w:rsidRPr="002A5368">
        <w:rPr>
          <w:noProof/>
        </w:rPr>
        <w:t>“</w:t>
      </w:r>
      <w:r w:rsidRPr="002A5368">
        <w:rPr>
          <w:noProof/>
        </w:rPr>
        <w:t>.</w:t>
      </w:r>
    </w:p>
    <w:p w:rsidR="00793711" w:rsidRPr="002A5368" w:rsidRDefault="00793711" w:rsidP="00793711">
      <w:pPr>
        <w:ind w:firstLine="748"/>
        <w:jc w:val="both"/>
        <w:rPr>
          <w:noProof/>
        </w:rPr>
      </w:pPr>
      <w:r w:rsidRPr="002A5368">
        <w:rPr>
          <w:noProof/>
        </w:rPr>
        <w:t xml:space="preserve">2016 m. nebuvo skirta Valstybės biudžeto lėšų, todėl nenupirktas nei vienas socialinis būstas. 2016-04-29 priimtas Savivaldybės tarybos sprendimas Nr. 1-144 perimti bendrabutį (Aldonos 12, Panevėžys) socialinio būsto reikmėms. 2016-07-20 LRV nutarimu Nr. 741  pastatas perduotas Savivaldybės nuosavybėn,  dėl žemės sklypo Aldonos  g. 12, Panevėžys, su NŽT sudaryta panaudos sutartis. </w:t>
      </w:r>
    </w:p>
    <w:p w:rsidR="00793711" w:rsidRPr="002A5368" w:rsidRDefault="00793711" w:rsidP="00793711">
      <w:pPr>
        <w:ind w:firstLine="748"/>
        <w:jc w:val="both"/>
        <w:rPr>
          <w:noProof/>
        </w:rPr>
      </w:pPr>
      <w:r w:rsidRPr="002A5368">
        <w:rPr>
          <w:noProof/>
        </w:rPr>
        <w:t>Patikslintas investicijų projektas "Socialinio būsto plėtra". Preliminari projekto vertė 2086 tūkst. Eur. Panevėžio regiono plėtros tarybai pateiktas projektinis pasiūlymas, paraišką planuojama teikti 2017 m. Vykdomos pastato modernizavimo techninio projekto parengimo pirkimo procedūros. Planuojamas  projekto įgyvendinimo laikotarpis 2017-2020 m.</w:t>
      </w:r>
    </w:p>
    <w:p w:rsidR="006D319E" w:rsidRPr="002A5368" w:rsidRDefault="00793711" w:rsidP="006D319E">
      <w:pPr>
        <w:ind w:firstLine="748"/>
        <w:jc w:val="both"/>
        <w:rPr>
          <w:noProof/>
        </w:rPr>
      </w:pPr>
      <w:r w:rsidRPr="002A5368">
        <w:rPr>
          <w:noProof/>
        </w:rPr>
        <w:t xml:space="preserve">2.2.1.6. „Parengti ir vykdyti veiksmų planą pereiti nuo institucinės globos prie šeimoje ir bendruomenėje teikiamų paslaugų neįgaliems ir likusiems be tėvų globos vaikams Panevėžio mieste“. </w:t>
      </w:r>
    </w:p>
    <w:p w:rsidR="00793711" w:rsidRPr="002A5368" w:rsidRDefault="00793711" w:rsidP="006D319E">
      <w:pPr>
        <w:ind w:firstLine="748"/>
        <w:jc w:val="both"/>
        <w:rPr>
          <w:noProof/>
        </w:rPr>
      </w:pPr>
      <w:r w:rsidRPr="002A5368">
        <w:rPr>
          <w:noProof/>
        </w:rPr>
        <w:t>2016 m. buvo numatyta nuomoti patalpas bendruomeniniams globos namams (likusiems be tėvų globos vaikams). Negavus pasiūlymų įsigyti tinkamą būstą, kurie turi atitikti SADM specialius reikalavimus - būstas lengvai pasiekiamas miesto maršrutiniu transportu, ne mažiau kaip 100 kv.m., ne mažiau 4-5 kambarių, iš jų 3-4 kambariai ne mažesni kaip 12 kv. m., bendras kambarys ne mažesnis kaip 20 kv.m., visi patogumai, todėl priemonė nebuvo vykdoma. 2017 m. numatoma pirkti 2 būstus teikti paslaugas vaikams, likusiems be tėvų globos, bendruomeniniuose namuose.</w:t>
      </w:r>
    </w:p>
    <w:p w:rsidR="00793711" w:rsidRPr="002A5368" w:rsidRDefault="00793711" w:rsidP="00793711">
      <w:pPr>
        <w:ind w:firstLine="748"/>
        <w:jc w:val="both"/>
        <w:rPr>
          <w:noProof/>
        </w:rPr>
      </w:pPr>
      <w:r w:rsidRPr="002A5368">
        <w:rPr>
          <w:noProof/>
        </w:rPr>
        <w:t xml:space="preserve">2.3.5.1. „Užtikrinti nekilnojamojo kultūros paveldo tvarkybą ir pritaikymą visuomenės poreikiams“ - 4. Panevėžio J. Balčikonio gimnazijos palėpių įrengimas. </w:t>
      </w:r>
    </w:p>
    <w:p w:rsidR="00793711" w:rsidRPr="002A5368" w:rsidRDefault="00793711" w:rsidP="00793711">
      <w:pPr>
        <w:ind w:firstLine="748"/>
        <w:jc w:val="both"/>
        <w:rPr>
          <w:noProof/>
        </w:rPr>
      </w:pPr>
      <w:r w:rsidRPr="002A5368">
        <w:rPr>
          <w:noProof/>
        </w:rPr>
        <w:t>J.Balčikonio gimnazija yra parengusi ir su Panevėžio aplinkos apsaugos dapartamentu suderinusi specialiuosius paveldosaugos reikalavimus dėl palėpių įrengimo. Tolimesnio projekto parengimui yra reikalingos lėšos iš Savivaldybės biudžeto. Projektas būtų finansuojamas Kultūros paveldo departamento ir Savivaldybės lėšomis.</w:t>
      </w:r>
    </w:p>
    <w:p w:rsidR="00BA0AA7" w:rsidRPr="002A5368" w:rsidRDefault="00BA0AA7" w:rsidP="006D319E">
      <w:pPr>
        <w:ind w:firstLine="748"/>
        <w:jc w:val="both"/>
        <w:rPr>
          <w:noProof/>
        </w:rPr>
      </w:pPr>
      <w:r w:rsidRPr="002A5368">
        <w:rPr>
          <w:noProof/>
        </w:rPr>
        <w:t xml:space="preserve">2.5.4.6. </w:t>
      </w:r>
      <w:r w:rsidR="003A697F" w:rsidRPr="002A5368">
        <w:rPr>
          <w:noProof/>
        </w:rPr>
        <w:t>„</w:t>
      </w:r>
      <w:r w:rsidRPr="002A5368">
        <w:rPr>
          <w:noProof/>
        </w:rPr>
        <w:t>Savivaldybės ekstremaliųjų situacijų operacijų centro patalpų įrengimas ir aprūpinimas privalomomis techninėmis priemonėmis.</w:t>
      </w:r>
    </w:p>
    <w:p w:rsidR="00BA0AA7" w:rsidRPr="002A5368" w:rsidRDefault="001A7CBD" w:rsidP="006D319E">
      <w:pPr>
        <w:ind w:firstLine="748"/>
        <w:jc w:val="both"/>
        <w:rPr>
          <w:noProof/>
        </w:rPr>
      </w:pPr>
      <w:r w:rsidRPr="002A5368">
        <w:rPr>
          <w:noProof/>
        </w:rPr>
        <w:t>201</w:t>
      </w:r>
      <w:r w:rsidR="003A697F" w:rsidRPr="002A5368">
        <w:rPr>
          <w:noProof/>
        </w:rPr>
        <w:t>6</w:t>
      </w:r>
      <w:r w:rsidRPr="002A5368">
        <w:rPr>
          <w:noProof/>
        </w:rPr>
        <w:t xml:space="preserve"> m. neskirta Savivaldybės biudžeto lėšų. </w:t>
      </w:r>
      <w:r w:rsidR="00BA0AA7" w:rsidRPr="002A5368">
        <w:rPr>
          <w:noProof/>
        </w:rPr>
        <w:t>201</w:t>
      </w:r>
      <w:r w:rsidR="003A697F" w:rsidRPr="002A5368">
        <w:rPr>
          <w:noProof/>
        </w:rPr>
        <w:t>8</w:t>
      </w:r>
      <w:r w:rsidR="00BA0AA7" w:rsidRPr="002A5368">
        <w:rPr>
          <w:noProof/>
        </w:rPr>
        <w:t xml:space="preserve"> m. planuojama skirti  lėšas  techninės įrangos įsigyjimui</w:t>
      </w:r>
      <w:r w:rsidR="003A697F" w:rsidRPr="002A5368">
        <w:rPr>
          <w:noProof/>
        </w:rPr>
        <w:t>“</w:t>
      </w:r>
      <w:r w:rsidR="00BA0AA7" w:rsidRPr="002A5368">
        <w:rPr>
          <w:noProof/>
        </w:rPr>
        <w:t>.</w:t>
      </w:r>
    </w:p>
    <w:p w:rsidR="000A40C9" w:rsidRPr="002A5368" w:rsidRDefault="00BA0AA7" w:rsidP="006D319E">
      <w:pPr>
        <w:ind w:firstLine="748"/>
        <w:jc w:val="both"/>
        <w:rPr>
          <w:noProof/>
        </w:rPr>
      </w:pPr>
      <w:r w:rsidRPr="002A5368">
        <w:rPr>
          <w:noProof/>
        </w:rPr>
        <w:t xml:space="preserve">2.5.4.7. </w:t>
      </w:r>
      <w:r w:rsidR="003A697F" w:rsidRPr="002A5368">
        <w:rPr>
          <w:noProof/>
        </w:rPr>
        <w:t>„</w:t>
      </w:r>
      <w:r w:rsidRPr="002A5368">
        <w:rPr>
          <w:noProof/>
        </w:rPr>
        <w:t>Įkurti koordinacinę tarybą, kuri koordinuotų ir vykdytų visas saugaus miesto veiklos kryptis</w:t>
      </w:r>
      <w:r w:rsidR="003A697F" w:rsidRPr="002A5368">
        <w:rPr>
          <w:noProof/>
        </w:rPr>
        <w:t>“</w:t>
      </w:r>
      <w:r w:rsidR="000A40C9" w:rsidRPr="002A5368">
        <w:rPr>
          <w:noProof/>
        </w:rPr>
        <w:t>.</w:t>
      </w:r>
    </w:p>
    <w:p w:rsidR="006A6723" w:rsidRPr="002A5368" w:rsidRDefault="006A6723" w:rsidP="006D319E">
      <w:pPr>
        <w:ind w:firstLine="748"/>
        <w:jc w:val="both"/>
        <w:rPr>
          <w:noProof/>
        </w:rPr>
      </w:pPr>
      <w:r w:rsidRPr="002A5368">
        <w:rPr>
          <w:noProof/>
        </w:rPr>
        <w:t>201</w:t>
      </w:r>
      <w:r w:rsidR="003A697F" w:rsidRPr="002A5368">
        <w:rPr>
          <w:noProof/>
        </w:rPr>
        <w:t>8</w:t>
      </w:r>
      <w:r w:rsidRPr="002A5368">
        <w:rPr>
          <w:noProof/>
        </w:rPr>
        <w:t xml:space="preserve"> m. planuojama įkurti koordinacinę tarybą.</w:t>
      </w:r>
    </w:p>
    <w:p w:rsidR="003A697F" w:rsidRPr="002A5368" w:rsidRDefault="003A697F" w:rsidP="00641CFF">
      <w:pPr>
        <w:ind w:firstLine="748"/>
        <w:jc w:val="both"/>
        <w:rPr>
          <w:noProof/>
          <w:color w:val="FF0000"/>
        </w:rPr>
      </w:pPr>
    </w:p>
    <w:p w:rsidR="00641CFF" w:rsidRPr="00953B68" w:rsidRDefault="00641CFF" w:rsidP="00641CFF">
      <w:pPr>
        <w:ind w:firstLine="748"/>
        <w:jc w:val="both"/>
        <w:rPr>
          <w:noProof/>
        </w:rPr>
      </w:pPr>
      <w:r w:rsidRPr="00953B68">
        <w:rPr>
          <w:noProof/>
        </w:rPr>
        <w:lastRenderedPageBreak/>
        <w:t>Statistikos departamento duomenimis vidutinis metinis gyventojų skaičius 201</w:t>
      </w:r>
      <w:r w:rsidR="00953B68" w:rsidRPr="00953B68">
        <w:rPr>
          <w:noProof/>
        </w:rPr>
        <w:t>6</w:t>
      </w:r>
      <w:r w:rsidRPr="00953B68">
        <w:rPr>
          <w:noProof/>
        </w:rPr>
        <w:t xml:space="preserve"> m. Panevėžio mieste buvo </w:t>
      </w:r>
      <w:r w:rsidR="00953B68" w:rsidRPr="00953B68">
        <w:rPr>
          <w:noProof/>
        </w:rPr>
        <w:t>92</w:t>
      </w:r>
      <w:r w:rsidRPr="00953B68">
        <w:rPr>
          <w:noProof/>
        </w:rPr>
        <w:t xml:space="preserve"> </w:t>
      </w:r>
      <w:r w:rsidR="00953B68" w:rsidRPr="00953B68">
        <w:rPr>
          <w:noProof/>
        </w:rPr>
        <w:t>352</w:t>
      </w:r>
      <w:r w:rsidRPr="00953B68">
        <w:rPr>
          <w:noProof/>
        </w:rPr>
        <w:t xml:space="preserve">  ir palyginus su 201</w:t>
      </w:r>
      <w:r w:rsidR="00953B68" w:rsidRPr="00953B68">
        <w:rPr>
          <w:noProof/>
        </w:rPr>
        <w:t>5</w:t>
      </w:r>
      <w:r w:rsidRPr="00953B68">
        <w:rPr>
          <w:noProof/>
        </w:rPr>
        <w:t xml:space="preserve"> m. (9</w:t>
      </w:r>
      <w:r w:rsidR="00953B68" w:rsidRPr="00953B68">
        <w:rPr>
          <w:noProof/>
        </w:rPr>
        <w:t>4</w:t>
      </w:r>
      <w:r w:rsidRPr="00953B68">
        <w:rPr>
          <w:noProof/>
        </w:rPr>
        <w:t xml:space="preserve"> </w:t>
      </w:r>
      <w:r w:rsidR="00953B68" w:rsidRPr="00953B68">
        <w:rPr>
          <w:noProof/>
        </w:rPr>
        <w:t>400), sumažėjo 2</w:t>
      </w:r>
      <w:r w:rsidRPr="00953B68">
        <w:rPr>
          <w:noProof/>
        </w:rPr>
        <w:t xml:space="preserve">,0 proc. Panevėžyje gyventojų skaičiaus mažėjimas yra gana ženklus, per paskutinius 5 metus gyventojų mieste sumažėjo </w:t>
      </w:r>
      <w:r w:rsidR="00953B68" w:rsidRPr="00953B68">
        <w:rPr>
          <w:noProof/>
        </w:rPr>
        <w:t>5554</w:t>
      </w:r>
      <w:r w:rsidRPr="00953B68">
        <w:rPr>
          <w:noProof/>
        </w:rPr>
        <w:t xml:space="preserve"> arba </w:t>
      </w:r>
      <w:r w:rsidR="00953B68" w:rsidRPr="00953B68">
        <w:rPr>
          <w:noProof/>
        </w:rPr>
        <w:t>5,7</w:t>
      </w:r>
      <w:r w:rsidRPr="00953B68">
        <w:rPr>
          <w:noProof/>
        </w:rPr>
        <w:t xml:space="preserve"> proc. (žr.12 diagramą)</w:t>
      </w:r>
      <w:r w:rsidR="00953B68">
        <w:rPr>
          <w:noProof/>
        </w:rPr>
        <w:t>.</w:t>
      </w:r>
    </w:p>
    <w:p w:rsidR="00641CFF" w:rsidRPr="00953B68" w:rsidRDefault="00641CFF" w:rsidP="00641CFF">
      <w:pPr>
        <w:ind w:firstLine="748"/>
        <w:jc w:val="both"/>
        <w:rPr>
          <w:noProof/>
        </w:rPr>
      </w:pPr>
    </w:p>
    <w:p w:rsidR="00641CFF" w:rsidRPr="00953B68" w:rsidRDefault="00641CFF" w:rsidP="00641CFF">
      <w:pPr>
        <w:ind w:firstLine="748"/>
        <w:jc w:val="both"/>
        <w:rPr>
          <w:noProof/>
        </w:rPr>
      </w:pPr>
      <w:r w:rsidRPr="00953B68">
        <w:rPr>
          <w:noProof/>
        </w:rPr>
        <w:t>12 diagrama. Gyventojų skaičiaus kaita Panevėžio mieste</w:t>
      </w:r>
    </w:p>
    <w:p w:rsidR="008A6B67" w:rsidRPr="00F85D0F" w:rsidRDefault="008A6B67" w:rsidP="00641CFF">
      <w:pPr>
        <w:ind w:firstLine="748"/>
        <w:jc w:val="both"/>
        <w:rPr>
          <w:noProof/>
          <w:color w:val="FF0000"/>
        </w:rPr>
      </w:pPr>
      <w:r w:rsidRPr="00F85D0F">
        <w:rPr>
          <w:noProof/>
          <w:color w:val="FF0000"/>
        </w:rPr>
        <w:drawing>
          <wp:inline distT="0" distB="0" distL="0" distR="0">
            <wp:extent cx="5486400" cy="2346960"/>
            <wp:effectExtent l="0" t="0" r="0" b="15240"/>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5C73" w:rsidRPr="00F85D0F" w:rsidRDefault="00225C73" w:rsidP="00641CFF">
      <w:pPr>
        <w:ind w:firstLine="748"/>
        <w:jc w:val="both"/>
        <w:rPr>
          <w:noProof/>
          <w:color w:val="FF0000"/>
        </w:rPr>
      </w:pPr>
    </w:p>
    <w:p w:rsidR="00225C73" w:rsidRPr="00F85D0F" w:rsidRDefault="00225C73" w:rsidP="00641CFF">
      <w:pPr>
        <w:ind w:firstLine="748"/>
        <w:jc w:val="both"/>
        <w:rPr>
          <w:noProof/>
          <w:color w:val="FF0000"/>
        </w:rPr>
      </w:pPr>
    </w:p>
    <w:p w:rsidR="00641CFF" w:rsidRDefault="00641CFF" w:rsidP="00641CFF">
      <w:pPr>
        <w:ind w:firstLine="748"/>
        <w:jc w:val="both"/>
        <w:rPr>
          <w:noProof/>
        </w:rPr>
      </w:pPr>
      <w:r w:rsidRPr="00F85D0F">
        <w:rPr>
          <w:noProof/>
          <w:color w:val="FF0000"/>
        </w:rPr>
        <w:tab/>
      </w:r>
      <w:r w:rsidRPr="00AA7F15">
        <w:rPr>
          <w:noProof/>
        </w:rPr>
        <w:t xml:space="preserve"> Žemas gimstamumo lygis neužtikrina kartų kaitos. Dėl neigiamos natūralios kaitos gyventojų skaičius sumažėjo </w:t>
      </w:r>
      <w:r w:rsidR="00AA7F15" w:rsidRPr="00AA7F15">
        <w:rPr>
          <w:noProof/>
        </w:rPr>
        <w:t>423</w:t>
      </w:r>
      <w:r w:rsidRPr="00AA7F15">
        <w:rPr>
          <w:noProof/>
        </w:rPr>
        <w:t>. Gimstamumas, palyginus su ankstesniais metais, sumažėjo 7 procentais, o mirštamumas sumažėjo 5 proc.</w:t>
      </w:r>
      <w:r w:rsidR="00831734" w:rsidRPr="00AA7F15">
        <w:rPr>
          <w:noProof/>
        </w:rPr>
        <w:t xml:space="preserve">, </w:t>
      </w:r>
      <w:r w:rsidRPr="00AA7F15">
        <w:rPr>
          <w:noProof/>
        </w:rPr>
        <w:t xml:space="preserve"> migracijos saldo</w:t>
      </w:r>
      <w:r w:rsidR="00831734" w:rsidRPr="00AA7F15">
        <w:rPr>
          <w:noProof/>
        </w:rPr>
        <w:t xml:space="preserve"> - neigiamas</w:t>
      </w:r>
      <w:r w:rsidRPr="00AA7F15">
        <w:rPr>
          <w:noProof/>
        </w:rPr>
        <w:t xml:space="preserve"> </w:t>
      </w:r>
      <w:r w:rsidR="00831734" w:rsidRPr="00AA7F15">
        <w:rPr>
          <w:noProof/>
        </w:rPr>
        <w:t>(</w:t>
      </w:r>
      <w:r w:rsidR="00AA7F15" w:rsidRPr="00AA7F15">
        <w:rPr>
          <w:noProof/>
        </w:rPr>
        <w:t>2110</w:t>
      </w:r>
      <w:r w:rsidR="00831734" w:rsidRPr="00AA7F15">
        <w:rPr>
          <w:noProof/>
        </w:rPr>
        <w:t>)</w:t>
      </w:r>
      <w:r w:rsidRPr="00AA7F15">
        <w:rPr>
          <w:noProof/>
        </w:rPr>
        <w:t>.</w:t>
      </w:r>
    </w:p>
    <w:p w:rsidR="007C55AF" w:rsidRPr="00AA7F15" w:rsidRDefault="007C55AF" w:rsidP="00641CFF">
      <w:pPr>
        <w:ind w:firstLine="748"/>
        <w:jc w:val="both"/>
        <w:rPr>
          <w:noProof/>
        </w:rPr>
      </w:pPr>
    </w:p>
    <w:p w:rsidR="007C55AF" w:rsidRPr="007C55AF" w:rsidRDefault="007C55AF" w:rsidP="007C55AF">
      <w:pPr>
        <w:ind w:firstLine="748"/>
        <w:jc w:val="both"/>
        <w:rPr>
          <w:color w:val="F79646" w:themeColor="accent6"/>
        </w:rPr>
      </w:pPr>
      <w:r w:rsidRPr="00FD4679">
        <w:rPr>
          <w:rFonts w:ascii="Ubuntu" w:hAnsi="Ubuntu"/>
        </w:rPr>
        <w:t xml:space="preserve">Panevėžio miestas yra ir itin keblioje socialinėje-ekonominėje situacijoje, nes daugeliu aspektų ši padėtis blogėja sparčiau nei vidutiniškai šalyje ar kituose regionuose. Pavyzdžiui, ne tik sparčiausiai mažėja gyventojų skaičius, bet taip pat sparčiau ir senstame – gyventojų amžiaus vidurkis išaugo </w:t>
      </w:r>
      <w:r w:rsidRPr="000C2A1C">
        <w:rPr>
          <w:rFonts w:ascii="Ubuntu" w:hAnsi="Ubuntu"/>
        </w:rPr>
        <w:t>8 metais, tad iš vieno jauniausių regionų tapome „pusamžiais“ (vidutinis gyventojų amžius 201</w:t>
      </w:r>
      <w:r w:rsidR="000C2A1C" w:rsidRPr="000C2A1C">
        <w:rPr>
          <w:rFonts w:ascii="Ubuntu" w:hAnsi="Ubuntu"/>
        </w:rPr>
        <w:t>5</w:t>
      </w:r>
      <w:r w:rsidRPr="000C2A1C">
        <w:rPr>
          <w:rFonts w:ascii="Ubuntu" w:hAnsi="Ubuntu"/>
        </w:rPr>
        <w:t xml:space="preserve"> m. siekė 4</w:t>
      </w:r>
      <w:r w:rsidR="000C2A1C" w:rsidRPr="000C2A1C">
        <w:rPr>
          <w:rFonts w:ascii="Ubuntu" w:hAnsi="Ubuntu"/>
        </w:rPr>
        <w:t>5</w:t>
      </w:r>
      <w:r w:rsidRPr="000C2A1C">
        <w:rPr>
          <w:rFonts w:ascii="Ubuntu" w:hAnsi="Ubuntu"/>
        </w:rPr>
        <w:t xml:space="preserve"> m.)</w:t>
      </w:r>
      <w:r w:rsidR="000C2A1C">
        <w:rPr>
          <w:rFonts w:ascii="Ubuntu" w:hAnsi="Ubuntu"/>
        </w:rPr>
        <w:t>. Pagal demografinės senatvės koeficientą*, kuris yra 163 papuolame į Lietuvos apskričių I-ą trejetą, kai Lietuvos vidurkis - 130.</w:t>
      </w:r>
    </w:p>
    <w:p w:rsidR="000C2A1C" w:rsidRDefault="000C2A1C" w:rsidP="000C2A1C">
      <w:pPr>
        <w:pStyle w:val="Porat"/>
        <w:tabs>
          <w:tab w:val="clear" w:pos="4153"/>
          <w:tab w:val="clear" w:pos="8306"/>
        </w:tabs>
        <w:ind w:firstLine="748"/>
        <w:jc w:val="both"/>
        <w:outlineLvl w:val="0"/>
        <w:rPr>
          <w:rFonts w:ascii="Ubuntu" w:hAnsi="Ubuntu"/>
        </w:rPr>
      </w:pPr>
      <w:r w:rsidRPr="007C55AF">
        <w:rPr>
          <w:rFonts w:ascii="Ubuntu" w:hAnsi="Ubuntu"/>
        </w:rPr>
        <w:t>Demografinės problemos – gimstamumo mažėjimas, emigracija, visuomenės senėjimas – ne tik mažina bendrą gyventojų skaičių, bet moksleivių, studentų,  mokyklų skaičių</w:t>
      </w:r>
      <w:r>
        <w:rPr>
          <w:rFonts w:ascii="Ubuntu" w:hAnsi="Ubuntu"/>
        </w:rPr>
        <w:t>.</w:t>
      </w:r>
    </w:p>
    <w:p w:rsidR="000C2A1C" w:rsidRDefault="000C2A1C" w:rsidP="000C2A1C">
      <w:pPr>
        <w:pStyle w:val="Porat"/>
        <w:tabs>
          <w:tab w:val="clear" w:pos="4153"/>
          <w:tab w:val="clear" w:pos="8306"/>
        </w:tabs>
        <w:ind w:firstLine="748"/>
        <w:jc w:val="both"/>
        <w:outlineLvl w:val="0"/>
        <w:rPr>
          <w:rFonts w:ascii="Ubuntu" w:hAnsi="Ubuntu"/>
        </w:rPr>
      </w:pPr>
    </w:p>
    <w:p w:rsidR="000C2A1C" w:rsidRPr="007C55AF" w:rsidRDefault="000C2A1C" w:rsidP="000C2A1C">
      <w:pPr>
        <w:pStyle w:val="Porat"/>
        <w:tabs>
          <w:tab w:val="clear" w:pos="4153"/>
          <w:tab w:val="clear" w:pos="8306"/>
        </w:tabs>
        <w:ind w:firstLine="748"/>
        <w:jc w:val="both"/>
        <w:outlineLvl w:val="0"/>
      </w:pPr>
      <w:r w:rsidRPr="007C55AF">
        <w:t>Švietimas ir mokslas.</w:t>
      </w:r>
      <w:r w:rsidRPr="007C55AF">
        <w:rPr>
          <w:b/>
        </w:rPr>
        <w:t xml:space="preserve"> </w:t>
      </w:r>
      <w:r w:rsidRPr="007C55AF">
        <w:t>Savivaldybės ir valstybės biudžeto išlaidų švietimui dinamika pavaizduota  13 diagramoje.</w:t>
      </w:r>
      <w:r w:rsidR="003801E5">
        <w:t xml:space="preserve"> </w:t>
      </w:r>
    </w:p>
    <w:p w:rsidR="000C2A1C" w:rsidRDefault="000C2A1C" w:rsidP="000C2A1C">
      <w:pPr>
        <w:rPr>
          <w:szCs w:val="20"/>
        </w:rPr>
      </w:pPr>
    </w:p>
    <w:p w:rsidR="000C2A1C" w:rsidRPr="000C2A1C" w:rsidRDefault="000C2A1C" w:rsidP="000C2A1C">
      <w:pPr>
        <w:ind w:firstLine="748"/>
        <w:rPr>
          <w:szCs w:val="20"/>
        </w:rPr>
      </w:pPr>
      <w:r w:rsidRPr="000C2A1C">
        <w:rPr>
          <w:szCs w:val="20"/>
        </w:rPr>
        <w:t>13 diagrama. Savivaldybės ir valstybės biudžeto išlaidos švietimui, tūkst. EUR</w:t>
      </w:r>
    </w:p>
    <w:p w:rsidR="007C55AF" w:rsidRPr="007C55AF" w:rsidRDefault="007C55AF" w:rsidP="00BD0A9A">
      <w:pPr>
        <w:pStyle w:val="Porat"/>
        <w:tabs>
          <w:tab w:val="clear" w:pos="4153"/>
          <w:tab w:val="clear" w:pos="8306"/>
        </w:tabs>
        <w:ind w:firstLine="748"/>
        <w:jc w:val="both"/>
        <w:outlineLvl w:val="0"/>
      </w:pPr>
    </w:p>
    <w:p w:rsidR="00506B0B" w:rsidRPr="00F85D0F" w:rsidRDefault="00506B0B" w:rsidP="00BD0A9A">
      <w:pPr>
        <w:pStyle w:val="Porat"/>
        <w:tabs>
          <w:tab w:val="clear" w:pos="4153"/>
          <w:tab w:val="clear" w:pos="8306"/>
        </w:tabs>
        <w:ind w:firstLine="748"/>
        <w:jc w:val="both"/>
        <w:outlineLvl w:val="0"/>
        <w:rPr>
          <w:color w:val="FF0000"/>
        </w:rPr>
      </w:pPr>
      <w:r w:rsidRPr="00F85D0F">
        <w:rPr>
          <w:noProof/>
          <w:color w:val="FF0000"/>
        </w:rPr>
        <w:drawing>
          <wp:inline distT="0" distB="0" distL="0" distR="0">
            <wp:extent cx="5486400" cy="1493520"/>
            <wp:effectExtent l="0" t="0" r="0" b="11430"/>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D0A9A" w:rsidRPr="00F85D0F" w:rsidRDefault="00BD0A9A" w:rsidP="00BD0A9A">
      <w:pPr>
        <w:pStyle w:val="Porat"/>
        <w:tabs>
          <w:tab w:val="clear" w:pos="4153"/>
          <w:tab w:val="clear" w:pos="8306"/>
        </w:tabs>
        <w:ind w:firstLine="748"/>
        <w:jc w:val="both"/>
        <w:outlineLvl w:val="0"/>
        <w:rPr>
          <w:color w:val="FF0000"/>
        </w:rPr>
      </w:pPr>
    </w:p>
    <w:p w:rsidR="007C55AF" w:rsidRDefault="007C55AF" w:rsidP="001C595B">
      <w:pPr>
        <w:ind w:firstLine="748"/>
        <w:jc w:val="both"/>
        <w:rPr>
          <w:color w:val="FF0000"/>
        </w:rPr>
      </w:pPr>
    </w:p>
    <w:p w:rsidR="00493EFC" w:rsidRDefault="00493EFC" w:rsidP="00493EFC">
      <w:pPr>
        <w:pStyle w:val="Porat"/>
        <w:tabs>
          <w:tab w:val="clear" w:pos="4153"/>
          <w:tab w:val="clear" w:pos="8306"/>
        </w:tabs>
        <w:ind w:firstLine="748"/>
        <w:jc w:val="both"/>
        <w:outlineLvl w:val="0"/>
        <w:rPr>
          <w:rFonts w:ascii="Ubuntu" w:hAnsi="Ubuntu"/>
        </w:rPr>
      </w:pPr>
    </w:p>
    <w:p w:rsidR="00493EFC" w:rsidRDefault="00493EFC" w:rsidP="00493EFC">
      <w:pPr>
        <w:pStyle w:val="Porat"/>
        <w:tabs>
          <w:tab w:val="clear" w:pos="4153"/>
          <w:tab w:val="clear" w:pos="8306"/>
        </w:tabs>
        <w:jc w:val="both"/>
        <w:outlineLvl w:val="0"/>
        <w:rPr>
          <w:sz w:val="20"/>
        </w:rPr>
      </w:pPr>
      <w:r>
        <w:rPr>
          <w:rFonts w:ascii="Ubuntu" w:hAnsi="Ubuntu"/>
        </w:rPr>
        <w:t xml:space="preserve">*  </w:t>
      </w:r>
      <w:r w:rsidRPr="000C2A1C">
        <w:rPr>
          <w:sz w:val="20"/>
        </w:rPr>
        <w:t>Demografinės senatvės koeficientas -</w:t>
      </w:r>
      <w:r>
        <w:rPr>
          <w:sz w:val="20"/>
        </w:rPr>
        <w:t xml:space="preserve"> </w:t>
      </w:r>
      <w:r w:rsidRPr="000C2A1C">
        <w:rPr>
          <w:sz w:val="20"/>
        </w:rPr>
        <w:t xml:space="preserve">pagyvenusių žmonių (65 metų ir vyresnio amžiaus) žmonių skaičius, tenkantis šimtui vaikų iki 15 metų amžiaus </w:t>
      </w:r>
    </w:p>
    <w:p w:rsidR="00493EFC" w:rsidRPr="000C2A1C" w:rsidRDefault="00493EFC" w:rsidP="00493EFC">
      <w:pPr>
        <w:pStyle w:val="Porat"/>
        <w:tabs>
          <w:tab w:val="clear" w:pos="4153"/>
          <w:tab w:val="clear" w:pos="8306"/>
        </w:tabs>
        <w:jc w:val="both"/>
        <w:outlineLvl w:val="0"/>
        <w:rPr>
          <w:sz w:val="20"/>
        </w:rPr>
      </w:pPr>
    </w:p>
    <w:p w:rsidR="00BD0A9A" w:rsidRPr="00F85D0F" w:rsidRDefault="00BD0A9A" w:rsidP="00BD0A9A">
      <w:pPr>
        <w:ind w:firstLine="748"/>
        <w:jc w:val="both"/>
        <w:rPr>
          <w:color w:val="FF0000"/>
        </w:rPr>
      </w:pPr>
    </w:p>
    <w:p w:rsidR="00BD0A9A" w:rsidRPr="002372F4" w:rsidRDefault="00BD0A9A" w:rsidP="00BD0A9A">
      <w:pPr>
        <w:ind w:firstLine="748"/>
        <w:jc w:val="both"/>
      </w:pPr>
      <w:r w:rsidRPr="002372F4">
        <w:t xml:space="preserve">Bendrojo </w:t>
      </w:r>
      <w:r w:rsidR="001C595B" w:rsidRPr="002372F4">
        <w:t>ugdymo įstaigas lankančių mokinių</w:t>
      </w:r>
      <w:r w:rsidRPr="002372F4">
        <w:t xml:space="preserve"> skaičius per paskutinius penkerius metus sumažėjo </w:t>
      </w:r>
      <w:r w:rsidR="001C595B" w:rsidRPr="002372F4">
        <w:t>1</w:t>
      </w:r>
      <w:r w:rsidR="002372F4">
        <w:t>4</w:t>
      </w:r>
      <w:r w:rsidRPr="002372F4">
        <w:t xml:space="preserve"> proc. Žiūrėti 1</w:t>
      </w:r>
      <w:r w:rsidR="000C08DF" w:rsidRPr="002372F4">
        <w:t>4</w:t>
      </w:r>
      <w:r w:rsidRPr="002372F4">
        <w:t xml:space="preserve"> diagramą.</w:t>
      </w:r>
    </w:p>
    <w:p w:rsidR="001C595B" w:rsidRPr="002372F4" w:rsidRDefault="001C595B" w:rsidP="00BD0A9A">
      <w:pPr>
        <w:ind w:firstLine="748"/>
        <w:jc w:val="both"/>
      </w:pPr>
    </w:p>
    <w:p w:rsidR="00A840D4" w:rsidRPr="00F85D0F" w:rsidRDefault="00A840D4" w:rsidP="00BD0A9A">
      <w:pPr>
        <w:pStyle w:val="Porat"/>
        <w:tabs>
          <w:tab w:val="clear" w:pos="4153"/>
          <w:tab w:val="clear" w:pos="8306"/>
        </w:tabs>
        <w:ind w:firstLine="748"/>
        <w:jc w:val="both"/>
        <w:outlineLvl w:val="0"/>
        <w:rPr>
          <w:color w:val="FF0000"/>
        </w:rPr>
      </w:pPr>
      <w:r>
        <w:rPr>
          <w:noProof/>
          <w:color w:val="FF0000"/>
        </w:rPr>
        <w:drawing>
          <wp:inline distT="0" distB="0" distL="0" distR="0">
            <wp:extent cx="5486400" cy="1775460"/>
            <wp:effectExtent l="0" t="0" r="0" b="1524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A5368" w:rsidRDefault="002A5368" w:rsidP="002A5368">
      <w:pPr>
        <w:ind w:firstLine="748"/>
        <w:jc w:val="both"/>
      </w:pPr>
    </w:p>
    <w:p w:rsidR="002A5368" w:rsidRDefault="002A5368" w:rsidP="002A5368">
      <w:pPr>
        <w:ind w:firstLine="748"/>
        <w:jc w:val="both"/>
      </w:pPr>
      <w:r w:rsidRPr="005853DA">
        <w:t xml:space="preserve">Vienas iš II prioriteto uždavinių – užtikrinti aukštą švietimo paslaugų kokybę. Tuo tikslu patvirtintas Panevėžio miesto savivaldybės tarybos 2016-03-29 sprendimu Nr. 1-66   patvirtintas Panevėžio miesto savivaldybės bendrojo ugdymo mokyklų tinklo pertvarkos 2016-2020 metų bendrasis planas. 2016 m. įgyvendinti 2 projektai: 1. „Panevėžio „Rožyno" progimnazijos įvažos kapitalinis remontas"- atliktas įvažos kapitalinis remontas (įrengti lietaus nuotekų ir drenažo tinklai, pėsčiųjų takai,  išasfaltuota įvaža). 2.  „Panevėžio Vytauto Žemkalnio gimnazijos pastato dalies kapitalinis remontas" - atliktas pastato dalies  kapitalinis remontas (pakeista elektros instaliacija, suremontuotos vidaus patalpos, apšvietimo, šildymo sistemos, vandentiekio ir buitinių nuotekų sistemos ir atlikti kt. darbai).  </w:t>
      </w:r>
    </w:p>
    <w:p w:rsidR="0041468D" w:rsidRDefault="0041468D" w:rsidP="0041468D">
      <w:pPr>
        <w:pStyle w:val="Porat"/>
        <w:ind w:firstLine="748"/>
        <w:jc w:val="both"/>
        <w:outlineLvl w:val="0"/>
      </w:pPr>
      <w:r>
        <w:t>Siekiant r</w:t>
      </w:r>
      <w:r w:rsidRPr="0041468D">
        <w:t xml:space="preserve">emti švietimo, verslo ir vietinės valdžios partnerystę, orientuotą į mokinių verslumo, kūrybiškumo ir iniciatyvumo skatinimą, mokslinius tyrimus, </w:t>
      </w:r>
      <w:r>
        <w:t>Panevėžio kolegija ir KTU PF organizavo seminarus Panevėžio miesto gimnazijų mokiniams apie verslumą, dalyvavo mokslinio tyrimo projektuose.</w:t>
      </w:r>
    </w:p>
    <w:p w:rsidR="0041468D" w:rsidRDefault="0041468D" w:rsidP="0041468D">
      <w:pPr>
        <w:pStyle w:val="Porat"/>
        <w:ind w:firstLine="748"/>
        <w:jc w:val="both"/>
        <w:outlineLvl w:val="0"/>
      </w:pPr>
      <w:r>
        <w:t>Finansuoti nevyriausybinių organizacijų, jaunimo iniciatyvų projektai.</w:t>
      </w:r>
    </w:p>
    <w:p w:rsidR="0041468D" w:rsidRDefault="0041468D" w:rsidP="0041468D">
      <w:pPr>
        <w:pStyle w:val="Porat"/>
        <w:ind w:firstLine="748"/>
        <w:jc w:val="both"/>
        <w:outlineLvl w:val="0"/>
      </w:pPr>
    </w:p>
    <w:p w:rsidR="00BD0A9A" w:rsidRDefault="00BD0A9A" w:rsidP="00BD0A9A">
      <w:pPr>
        <w:pStyle w:val="Porat"/>
        <w:tabs>
          <w:tab w:val="clear" w:pos="4153"/>
          <w:tab w:val="clear" w:pos="8306"/>
        </w:tabs>
        <w:ind w:firstLine="748"/>
        <w:jc w:val="both"/>
        <w:outlineLvl w:val="0"/>
      </w:pPr>
      <w:r w:rsidRPr="00790891">
        <w:t xml:space="preserve">Savivaldybės biudžeto išlaidų kultūrai dinamika pavaizduota  </w:t>
      </w:r>
      <w:r w:rsidR="005568D5" w:rsidRPr="00790891">
        <w:t>1</w:t>
      </w:r>
      <w:r w:rsidR="000C08DF" w:rsidRPr="00790891">
        <w:t>5</w:t>
      </w:r>
      <w:r w:rsidRPr="00790891">
        <w:t xml:space="preserve"> diagramoje.</w:t>
      </w:r>
    </w:p>
    <w:p w:rsidR="00341E52" w:rsidRPr="00790891" w:rsidRDefault="00341E52" w:rsidP="00BD0A9A">
      <w:pPr>
        <w:pStyle w:val="Porat"/>
        <w:tabs>
          <w:tab w:val="clear" w:pos="4153"/>
          <w:tab w:val="clear" w:pos="8306"/>
        </w:tabs>
        <w:ind w:firstLine="748"/>
        <w:jc w:val="both"/>
        <w:outlineLvl w:val="0"/>
      </w:pPr>
    </w:p>
    <w:p w:rsidR="00BD0A9A" w:rsidRPr="00F85D0F" w:rsidRDefault="003801E5" w:rsidP="00BD0A9A">
      <w:pPr>
        <w:pStyle w:val="Porat"/>
        <w:tabs>
          <w:tab w:val="clear" w:pos="4153"/>
          <w:tab w:val="clear" w:pos="8306"/>
        </w:tabs>
        <w:ind w:firstLine="748"/>
        <w:jc w:val="both"/>
        <w:outlineLvl w:val="0"/>
        <w:rPr>
          <w:noProof/>
          <w:color w:val="FF0000"/>
        </w:rPr>
      </w:pPr>
      <w:r>
        <w:rPr>
          <w:noProof/>
          <w:color w:val="FF0000"/>
        </w:rPr>
        <w:drawing>
          <wp:inline distT="0" distB="0" distL="0" distR="0">
            <wp:extent cx="5486400" cy="1821180"/>
            <wp:effectExtent l="0" t="0" r="0" b="762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F1F57" w:rsidRPr="00F85D0F" w:rsidRDefault="000F1F57" w:rsidP="00BD0A9A">
      <w:pPr>
        <w:pStyle w:val="Porat"/>
        <w:tabs>
          <w:tab w:val="clear" w:pos="4153"/>
          <w:tab w:val="clear" w:pos="8306"/>
        </w:tabs>
        <w:ind w:firstLine="748"/>
        <w:jc w:val="both"/>
        <w:outlineLvl w:val="0"/>
        <w:rPr>
          <w:color w:val="FF0000"/>
        </w:rPr>
      </w:pPr>
    </w:p>
    <w:p w:rsidR="00BD0A9A" w:rsidRDefault="00BD0A9A" w:rsidP="00BD0A9A">
      <w:pPr>
        <w:pStyle w:val="Porat"/>
        <w:tabs>
          <w:tab w:val="clear" w:pos="4153"/>
          <w:tab w:val="clear" w:pos="8306"/>
        </w:tabs>
        <w:ind w:firstLine="748"/>
        <w:jc w:val="both"/>
        <w:outlineLvl w:val="0"/>
      </w:pPr>
      <w:r w:rsidRPr="00341E52">
        <w:t xml:space="preserve">Savivaldybės biudžeto išlaidų kūno kultūrai ir sportui dinamika pavaizduota  </w:t>
      </w:r>
      <w:r w:rsidR="005568D5" w:rsidRPr="00341E52">
        <w:t>1</w:t>
      </w:r>
      <w:r w:rsidR="000C08DF" w:rsidRPr="00341E52">
        <w:t>6</w:t>
      </w:r>
      <w:r w:rsidRPr="00341E52">
        <w:t xml:space="preserve"> diagramoje.</w:t>
      </w:r>
    </w:p>
    <w:p w:rsidR="00341E52" w:rsidRDefault="00341E52" w:rsidP="00BD0A9A">
      <w:pPr>
        <w:pStyle w:val="Porat"/>
        <w:tabs>
          <w:tab w:val="clear" w:pos="4153"/>
          <w:tab w:val="clear" w:pos="8306"/>
        </w:tabs>
        <w:ind w:firstLine="748"/>
        <w:jc w:val="both"/>
        <w:outlineLvl w:val="0"/>
      </w:pPr>
    </w:p>
    <w:p w:rsidR="00341E52" w:rsidRPr="00341E52" w:rsidRDefault="00341E52" w:rsidP="00BD0A9A">
      <w:pPr>
        <w:pStyle w:val="Porat"/>
        <w:tabs>
          <w:tab w:val="clear" w:pos="4153"/>
          <w:tab w:val="clear" w:pos="8306"/>
        </w:tabs>
        <w:ind w:firstLine="748"/>
        <w:jc w:val="both"/>
        <w:outlineLvl w:val="0"/>
      </w:pPr>
      <w:r>
        <w:rPr>
          <w:noProof/>
        </w:rPr>
        <w:lastRenderedPageBreak/>
        <w:drawing>
          <wp:inline distT="0" distB="0" distL="0" distR="0">
            <wp:extent cx="5486400" cy="2065020"/>
            <wp:effectExtent l="0" t="0" r="0" b="1143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D0A9A" w:rsidRPr="00F85D0F" w:rsidRDefault="00BD0A9A" w:rsidP="00BD0A9A">
      <w:pPr>
        <w:pStyle w:val="Porat"/>
        <w:tabs>
          <w:tab w:val="clear" w:pos="4153"/>
          <w:tab w:val="clear" w:pos="8306"/>
        </w:tabs>
        <w:ind w:firstLine="748"/>
        <w:jc w:val="both"/>
        <w:outlineLvl w:val="0"/>
        <w:rPr>
          <w:color w:val="FF0000"/>
        </w:rPr>
      </w:pPr>
    </w:p>
    <w:p w:rsidR="005E7A56" w:rsidRPr="006A7E7E" w:rsidRDefault="005E7A56" w:rsidP="005E7A56">
      <w:pPr>
        <w:ind w:left="113"/>
        <w:jc w:val="both"/>
        <w:rPr>
          <w:rFonts w:eastAsia="Arial Unicode MS"/>
        </w:rPr>
      </w:pPr>
      <w:r w:rsidRPr="00F85D0F">
        <w:rPr>
          <w:color w:val="FF0000"/>
        </w:rPr>
        <w:tab/>
      </w:r>
      <w:r w:rsidRPr="006A7E7E">
        <w:rPr>
          <w:rFonts w:eastAsia="Arial Unicode MS"/>
        </w:rPr>
        <w:t xml:space="preserve">Savivaldybės biudžeto </w:t>
      </w:r>
      <w:r w:rsidR="006A7B40" w:rsidRPr="006A7E7E">
        <w:rPr>
          <w:rFonts w:eastAsia="Arial Unicode MS"/>
        </w:rPr>
        <w:t xml:space="preserve">išlaidų socialinėms pašalpoms Panevėžio mieste (tūkst. EUR)  ir socialinės pašalpos gavėjų skaičiaus </w:t>
      </w:r>
      <w:r w:rsidRPr="006A7E7E">
        <w:rPr>
          <w:rFonts w:eastAsia="Arial Unicode MS"/>
        </w:rPr>
        <w:t>dinamiką 20</w:t>
      </w:r>
      <w:r w:rsidR="004121E0" w:rsidRPr="006A7E7E">
        <w:rPr>
          <w:rFonts w:eastAsia="Arial Unicode MS"/>
        </w:rPr>
        <w:t>1</w:t>
      </w:r>
      <w:r w:rsidR="006A7E7E" w:rsidRPr="006A7E7E">
        <w:rPr>
          <w:rFonts w:eastAsia="Arial Unicode MS"/>
        </w:rPr>
        <w:t>2</w:t>
      </w:r>
      <w:r w:rsidRPr="006A7E7E">
        <w:rPr>
          <w:rFonts w:eastAsia="Arial Unicode MS"/>
        </w:rPr>
        <w:t>-20</w:t>
      </w:r>
      <w:r w:rsidR="004121E0" w:rsidRPr="006A7E7E">
        <w:rPr>
          <w:rFonts w:eastAsia="Arial Unicode MS"/>
        </w:rPr>
        <w:t>1</w:t>
      </w:r>
      <w:r w:rsidR="006A7E7E" w:rsidRPr="006A7E7E">
        <w:rPr>
          <w:rFonts w:eastAsia="Arial Unicode MS"/>
        </w:rPr>
        <w:t>6</w:t>
      </w:r>
      <w:r w:rsidR="008B7C53" w:rsidRPr="006A7E7E">
        <w:rPr>
          <w:rFonts w:eastAsia="Arial Unicode MS"/>
        </w:rPr>
        <w:t>5</w:t>
      </w:r>
      <w:r w:rsidRPr="006A7E7E">
        <w:rPr>
          <w:rFonts w:eastAsia="Arial Unicode MS"/>
        </w:rPr>
        <w:t xml:space="preserve"> m. galima matyti 1</w:t>
      </w:r>
      <w:r w:rsidR="000C08DF" w:rsidRPr="006A7E7E">
        <w:rPr>
          <w:rFonts w:eastAsia="Arial Unicode MS"/>
        </w:rPr>
        <w:t>8</w:t>
      </w:r>
      <w:r w:rsidRPr="006A7E7E">
        <w:rPr>
          <w:rFonts w:eastAsia="Arial Unicode MS"/>
        </w:rPr>
        <w:t xml:space="preserve"> diagramoje.</w:t>
      </w:r>
    </w:p>
    <w:p w:rsidR="005E7A56" w:rsidRPr="006A7E7E" w:rsidRDefault="005E7A56" w:rsidP="005E7A56">
      <w:pPr>
        <w:ind w:left="113" w:firstLine="1183"/>
        <w:jc w:val="both"/>
        <w:rPr>
          <w:rFonts w:eastAsia="Arial Unicode MS"/>
        </w:rPr>
      </w:pPr>
    </w:p>
    <w:p w:rsidR="005E7A56" w:rsidRPr="006A7E7E" w:rsidRDefault="005E7A56" w:rsidP="005E7A56">
      <w:pPr>
        <w:ind w:left="113" w:firstLine="1183"/>
        <w:jc w:val="both"/>
        <w:rPr>
          <w:rFonts w:eastAsia="Arial Unicode MS"/>
        </w:rPr>
      </w:pPr>
      <w:r w:rsidRPr="006A7E7E">
        <w:rPr>
          <w:rFonts w:eastAsia="Arial Unicode MS"/>
        </w:rPr>
        <w:t>1</w:t>
      </w:r>
      <w:r w:rsidR="000C08DF" w:rsidRPr="006A7E7E">
        <w:rPr>
          <w:rFonts w:eastAsia="Arial Unicode MS"/>
        </w:rPr>
        <w:t>8</w:t>
      </w:r>
      <w:r w:rsidRPr="006A7E7E">
        <w:rPr>
          <w:rFonts w:eastAsia="Arial Unicode MS"/>
        </w:rPr>
        <w:t xml:space="preserve"> diagrama. Savivaldybės biudžeto išlaidos </w:t>
      </w:r>
      <w:r w:rsidR="004713E7" w:rsidRPr="006A7E7E">
        <w:rPr>
          <w:rFonts w:eastAsia="Arial Unicode MS"/>
        </w:rPr>
        <w:t>socialinėms pašalpoms</w:t>
      </w:r>
      <w:r w:rsidRPr="006A7E7E">
        <w:rPr>
          <w:rFonts w:eastAsia="Arial Unicode MS"/>
        </w:rPr>
        <w:t xml:space="preserve"> Panevėžio mieste</w:t>
      </w:r>
      <w:r w:rsidR="009C0A83" w:rsidRPr="006A7E7E">
        <w:rPr>
          <w:rFonts w:eastAsia="Arial Unicode MS"/>
        </w:rPr>
        <w:t xml:space="preserve"> </w:t>
      </w:r>
      <w:r w:rsidR="006A7B40" w:rsidRPr="006A7E7E">
        <w:rPr>
          <w:rFonts w:eastAsia="Arial Unicode MS"/>
        </w:rPr>
        <w:t xml:space="preserve">(tūkst. </w:t>
      </w:r>
      <w:proofErr w:type="spellStart"/>
      <w:r w:rsidR="006A7B40" w:rsidRPr="006A7E7E">
        <w:rPr>
          <w:rFonts w:eastAsia="Arial Unicode MS"/>
        </w:rPr>
        <w:t>E</w:t>
      </w:r>
      <w:r w:rsidR="00D61464">
        <w:rPr>
          <w:rFonts w:eastAsia="Arial Unicode MS"/>
        </w:rPr>
        <w:t>ur</w:t>
      </w:r>
      <w:proofErr w:type="spellEnd"/>
      <w:r w:rsidR="006A7B40" w:rsidRPr="006A7E7E">
        <w:rPr>
          <w:rFonts w:eastAsia="Arial Unicode MS"/>
        </w:rPr>
        <w:t xml:space="preserve">)  </w:t>
      </w:r>
      <w:r w:rsidR="009C0A83" w:rsidRPr="006A7E7E">
        <w:rPr>
          <w:rFonts w:eastAsia="Arial Unicode MS"/>
        </w:rPr>
        <w:t>ir socialinės pašalpos gavėjų skaičius</w:t>
      </w:r>
      <w:r w:rsidR="00970B6E" w:rsidRPr="006A7E7E">
        <w:rPr>
          <w:rFonts w:eastAsia="Arial Unicode MS"/>
        </w:rPr>
        <w:t>, vnt.</w:t>
      </w:r>
    </w:p>
    <w:p w:rsidR="005E7A56" w:rsidRPr="00F85D0F" w:rsidRDefault="00596A16" w:rsidP="005E7A56">
      <w:pPr>
        <w:ind w:left="113"/>
        <w:jc w:val="both"/>
        <w:rPr>
          <w:rFonts w:eastAsia="Arial Unicode MS"/>
          <w:color w:val="FF0000"/>
        </w:rPr>
      </w:pPr>
      <w:r w:rsidRPr="00F85D0F">
        <w:rPr>
          <w:rFonts w:eastAsia="Arial Unicode MS"/>
          <w:noProof/>
          <w:color w:val="FF0000"/>
        </w:rPr>
        <w:drawing>
          <wp:inline distT="0" distB="0" distL="0" distR="0">
            <wp:extent cx="5486400" cy="1828800"/>
            <wp:effectExtent l="0" t="0" r="0" b="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01D2" w:rsidRPr="00F85D0F" w:rsidRDefault="00A901D2" w:rsidP="005E7A56">
      <w:pPr>
        <w:ind w:left="113"/>
        <w:jc w:val="both"/>
        <w:rPr>
          <w:noProof/>
          <w:color w:val="FF0000"/>
        </w:rPr>
      </w:pPr>
    </w:p>
    <w:p w:rsidR="0078626B" w:rsidRPr="0082215F" w:rsidRDefault="00EB25F3" w:rsidP="0078626B">
      <w:pPr>
        <w:rPr>
          <w:b/>
          <w:caps/>
          <w:sz w:val="20"/>
        </w:rPr>
      </w:pPr>
      <w:smartTag w:uri="urn:schemas-microsoft-com:office:smarttags" w:element="stockticker">
        <w:r w:rsidRPr="0082215F">
          <w:rPr>
            <w:b/>
            <w:noProof/>
          </w:rPr>
          <w:t>III</w:t>
        </w:r>
      </w:smartTag>
      <w:r w:rsidRPr="0082215F">
        <w:rPr>
          <w:b/>
          <w:noProof/>
        </w:rPr>
        <w:t xml:space="preserve"> prioritetas.</w:t>
      </w:r>
      <w:r w:rsidR="00641CFF" w:rsidRPr="0082215F">
        <w:rPr>
          <w:b/>
          <w:noProof/>
        </w:rPr>
        <w:t xml:space="preserve"> </w:t>
      </w:r>
      <w:r w:rsidR="00641CFF" w:rsidRPr="0082215F">
        <w:rPr>
          <w:i/>
        </w:rPr>
        <w:t>Darni miesto teritorijų ir infrastruktūros plėtra</w:t>
      </w:r>
      <w:r w:rsidR="0078626B" w:rsidRPr="0082215F">
        <w:rPr>
          <w:b/>
          <w:caps/>
          <w:sz w:val="20"/>
        </w:rPr>
        <w:t>.</w:t>
      </w:r>
    </w:p>
    <w:p w:rsidR="000C08DF" w:rsidRPr="0082215F" w:rsidRDefault="000C08DF" w:rsidP="000C08DF">
      <w:pPr>
        <w:pStyle w:val="Porat"/>
        <w:tabs>
          <w:tab w:val="clear" w:pos="4153"/>
          <w:tab w:val="clear" w:pos="8306"/>
        </w:tabs>
        <w:jc w:val="both"/>
        <w:outlineLvl w:val="0"/>
      </w:pPr>
    </w:p>
    <w:p w:rsidR="00CE35F6" w:rsidRPr="0082215F" w:rsidRDefault="00CE35F6" w:rsidP="000C08DF">
      <w:pPr>
        <w:pStyle w:val="Porat"/>
        <w:tabs>
          <w:tab w:val="clear" w:pos="4153"/>
          <w:tab w:val="clear" w:pos="8306"/>
        </w:tabs>
        <w:ind w:firstLine="748"/>
        <w:jc w:val="both"/>
        <w:outlineLvl w:val="0"/>
      </w:pPr>
      <w:smartTag w:uri="urn:schemas-microsoft-com:office:smarttags" w:element="stockticker">
        <w:r w:rsidRPr="0082215F">
          <w:t>III</w:t>
        </w:r>
      </w:smartTag>
      <w:r w:rsidRPr="0082215F">
        <w:t xml:space="preserve"> prioritet</w:t>
      </w:r>
      <w:r w:rsidR="000C08DF" w:rsidRPr="0082215F">
        <w:t>o priemonės</w:t>
      </w:r>
      <w:r w:rsidRPr="0082215F">
        <w:t xml:space="preserve"> apima </w:t>
      </w:r>
      <w:r w:rsidR="000C08DF" w:rsidRPr="0082215F">
        <w:t>inžinerinę infrastruktūrą, ekologiją, susisiekimo infrastruktūrą, viešąjį transportą, miesto viešųjų erdvių kompleksinį sutvarkymą</w:t>
      </w:r>
      <w:r w:rsidRPr="0082215F">
        <w:t xml:space="preserve">. </w:t>
      </w:r>
    </w:p>
    <w:p w:rsidR="000C08DF" w:rsidRPr="0082215F" w:rsidRDefault="000C08DF" w:rsidP="00845C55">
      <w:pPr>
        <w:ind w:firstLine="748"/>
        <w:jc w:val="both"/>
        <w:rPr>
          <w:noProof/>
        </w:rPr>
      </w:pPr>
    </w:p>
    <w:p w:rsidR="00845C55" w:rsidRDefault="00845C55" w:rsidP="00845C55">
      <w:pPr>
        <w:ind w:firstLine="748"/>
        <w:jc w:val="both"/>
        <w:rPr>
          <w:noProof/>
        </w:rPr>
      </w:pPr>
      <w:r w:rsidRPr="0082215F">
        <w:rPr>
          <w:noProof/>
        </w:rPr>
        <w:t xml:space="preserve">Strateginio plano </w:t>
      </w:r>
      <w:smartTag w:uri="urn:schemas-microsoft-com:office:smarttags" w:element="stockticker">
        <w:r w:rsidRPr="0082215F">
          <w:rPr>
            <w:noProof/>
          </w:rPr>
          <w:t>I</w:t>
        </w:r>
        <w:r w:rsidR="0078626B" w:rsidRPr="0082215F">
          <w:rPr>
            <w:noProof/>
          </w:rPr>
          <w:t>II</w:t>
        </w:r>
      </w:smartTag>
      <w:r w:rsidRPr="0082215F">
        <w:rPr>
          <w:noProof/>
        </w:rPr>
        <w:t>-</w:t>
      </w:r>
      <w:r w:rsidR="001778D6" w:rsidRPr="0082215F">
        <w:rPr>
          <w:noProof/>
        </w:rPr>
        <w:t>i</w:t>
      </w:r>
      <w:r w:rsidRPr="0082215F">
        <w:rPr>
          <w:noProof/>
        </w:rPr>
        <w:t xml:space="preserve">o prioriteto priemonių vykdymas pavaizduotas </w:t>
      </w:r>
      <w:r w:rsidR="0078626B" w:rsidRPr="0082215F">
        <w:rPr>
          <w:noProof/>
        </w:rPr>
        <w:t>1</w:t>
      </w:r>
      <w:r w:rsidR="000C08DF" w:rsidRPr="0082215F">
        <w:rPr>
          <w:noProof/>
        </w:rPr>
        <w:t>9</w:t>
      </w:r>
      <w:r w:rsidRPr="0082215F">
        <w:rPr>
          <w:noProof/>
        </w:rPr>
        <w:t xml:space="preserve"> diagramoje.</w:t>
      </w:r>
    </w:p>
    <w:p w:rsidR="00991FBF" w:rsidRDefault="00991FBF" w:rsidP="00845C55">
      <w:pPr>
        <w:ind w:firstLine="748"/>
        <w:jc w:val="both"/>
        <w:rPr>
          <w:noProof/>
        </w:rPr>
      </w:pPr>
    </w:p>
    <w:p w:rsidR="0082215F" w:rsidRPr="0082215F" w:rsidRDefault="0033345D" w:rsidP="00845C55">
      <w:pPr>
        <w:ind w:firstLine="748"/>
        <w:jc w:val="both"/>
        <w:rPr>
          <w:noProof/>
        </w:rPr>
      </w:pPr>
      <w:r>
        <w:rPr>
          <w:noProof/>
        </w:rPr>
        <w:drawing>
          <wp:inline distT="0" distB="0" distL="0" distR="0">
            <wp:extent cx="5486400" cy="2423160"/>
            <wp:effectExtent l="0" t="0" r="0" b="1524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45C55" w:rsidRDefault="00845C55" w:rsidP="00845C55">
      <w:pPr>
        <w:pStyle w:val="Porat"/>
        <w:tabs>
          <w:tab w:val="clear" w:pos="4153"/>
          <w:tab w:val="clear" w:pos="8306"/>
        </w:tabs>
        <w:ind w:firstLine="748"/>
        <w:jc w:val="both"/>
        <w:outlineLvl w:val="0"/>
        <w:rPr>
          <w:noProof/>
          <w:color w:val="FF0000"/>
        </w:rPr>
      </w:pPr>
    </w:p>
    <w:p w:rsidR="00991FBF" w:rsidRDefault="00991FBF" w:rsidP="00845C55">
      <w:pPr>
        <w:pStyle w:val="Porat"/>
        <w:tabs>
          <w:tab w:val="clear" w:pos="4153"/>
          <w:tab w:val="clear" w:pos="8306"/>
        </w:tabs>
        <w:ind w:firstLine="748"/>
        <w:jc w:val="both"/>
        <w:outlineLvl w:val="0"/>
        <w:rPr>
          <w:noProof/>
          <w:color w:val="FF0000"/>
        </w:rPr>
      </w:pPr>
    </w:p>
    <w:p w:rsidR="00991FBF" w:rsidRPr="00F85D0F" w:rsidRDefault="00991FBF" w:rsidP="00845C55">
      <w:pPr>
        <w:pStyle w:val="Porat"/>
        <w:tabs>
          <w:tab w:val="clear" w:pos="4153"/>
          <w:tab w:val="clear" w:pos="8306"/>
        </w:tabs>
        <w:ind w:firstLine="748"/>
        <w:jc w:val="both"/>
        <w:outlineLvl w:val="0"/>
        <w:rPr>
          <w:color w:val="FF0000"/>
        </w:rPr>
      </w:pPr>
    </w:p>
    <w:p w:rsidR="00845C55" w:rsidRPr="00D61464" w:rsidRDefault="00845C55" w:rsidP="00845C55">
      <w:pPr>
        <w:ind w:firstLine="748"/>
        <w:jc w:val="both"/>
        <w:rPr>
          <w:noProof/>
        </w:rPr>
      </w:pPr>
      <w:r w:rsidRPr="00D61464">
        <w:rPr>
          <w:noProof/>
        </w:rPr>
        <w:lastRenderedPageBreak/>
        <w:t>I</w:t>
      </w:r>
      <w:r w:rsidR="0037113A" w:rsidRPr="00D61464">
        <w:rPr>
          <w:noProof/>
        </w:rPr>
        <w:t>II</w:t>
      </w:r>
      <w:r w:rsidRPr="00D61464">
        <w:rPr>
          <w:noProof/>
        </w:rPr>
        <w:t xml:space="preserve"> prioriteto neįgyvendintos priemonės per 20</w:t>
      </w:r>
      <w:r w:rsidR="0037113A" w:rsidRPr="00D61464">
        <w:rPr>
          <w:noProof/>
        </w:rPr>
        <w:t>1</w:t>
      </w:r>
      <w:r w:rsidR="00D61464" w:rsidRPr="00D61464">
        <w:rPr>
          <w:noProof/>
        </w:rPr>
        <w:t>6</w:t>
      </w:r>
      <w:r w:rsidRPr="00D61464">
        <w:rPr>
          <w:noProof/>
        </w:rPr>
        <w:t xml:space="preserve"> m.:</w:t>
      </w:r>
    </w:p>
    <w:p w:rsidR="004F1A34" w:rsidRDefault="004F1A34" w:rsidP="004F1A34">
      <w:pPr>
        <w:ind w:firstLine="720"/>
        <w:jc w:val="both"/>
      </w:pPr>
      <w:r w:rsidRPr="00D61464">
        <w:t>3.1.2.7. Remti atsinaujinančių energijos išteklių naudojimo, energijos vartojimo efektyvumo didinimo priemones viešuosiuose pastatuose ir daugiabučiuose namuose.</w:t>
      </w:r>
    </w:p>
    <w:p w:rsidR="00D61464" w:rsidRPr="00D61464" w:rsidRDefault="00D61464" w:rsidP="004F1A34">
      <w:pPr>
        <w:ind w:firstLine="720"/>
        <w:jc w:val="both"/>
      </w:pPr>
      <w:r w:rsidRPr="00D61464">
        <w:t>Savivaldybės atsinaujinančių energijos išteklių plėtros finansavimo programa neparengta dėl lėšų trūkumo. Planuojama parengti 2018-2019 m.</w:t>
      </w:r>
    </w:p>
    <w:p w:rsidR="00512CE5" w:rsidRPr="00982282" w:rsidRDefault="00512CE5" w:rsidP="004F1A34">
      <w:pPr>
        <w:ind w:firstLine="720"/>
        <w:jc w:val="both"/>
      </w:pPr>
      <w:r w:rsidRPr="00982282">
        <w:t>3.3.2.4. Diegti naujas Panevėžio miesto viešojo keleivinio transporto keleivių informavimo priemones.</w:t>
      </w:r>
    </w:p>
    <w:p w:rsidR="004F4360" w:rsidRDefault="004F4360" w:rsidP="00982282">
      <w:pPr>
        <w:ind w:firstLine="720"/>
        <w:jc w:val="both"/>
      </w:pPr>
      <w:r w:rsidRPr="004F4360">
        <w:t>2016 m. neskirtos lėšos. Priemonė vykdoma dalinai. Įdiegta TRAFI programėlė, kuri leidžia pateikti pačius tiksliausius maršrutus, atsižvelgiant į viešojo transporto kamščių situaciją realiu laiku. Skirta naudotis per mobiliąsias ryšio priemones.</w:t>
      </w:r>
    </w:p>
    <w:p w:rsidR="004F1A34" w:rsidRPr="00982282" w:rsidRDefault="00B1225B" w:rsidP="00982282">
      <w:pPr>
        <w:ind w:firstLine="720"/>
        <w:jc w:val="both"/>
        <w:rPr>
          <w:noProof/>
          <w:lang w:val="en-US"/>
        </w:rPr>
      </w:pPr>
      <w:r w:rsidRPr="00982282">
        <w:t>3.</w:t>
      </w:r>
      <w:r w:rsidR="00982282" w:rsidRPr="00982282">
        <w:t>5.1.2.</w:t>
      </w:r>
      <w:r w:rsidRPr="00982282">
        <w:t xml:space="preserve"> </w:t>
      </w:r>
      <w:r w:rsidR="00982282" w:rsidRPr="00982282">
        <w:t>„</w:t>
      </w:r>
      <w:r w:rsidR="00982282" w:rsidRPr="00982282">
        <w:rPr>
          <w:noProof/>
          <w:lang w:val="en-US"/>
        </w:rPr>
        <w:t>Sukurti finansinį paramos mechanizmą „Inovatyvus paveldas“, skirtą atnaujinti (modernizuoti) daugiabučius namus, kuriems taikomi paveldosauginiai reikalavimai (esančių paveldosauginėje miesto zonoje, turinčių saugotinų architektūrinių elementų) ir kurie pasiekia aukštą energetinį efektyvumą“.</w:t>
      </w:r>
    </w:p>
    <w:p w:rsidR="00982282" w:rsidRPr="00982282" w:rsidRDefault="00982282" w:rsidP="00982282">
      <w:pPr>
        <w:ind w:firstLine="720"/>
        <w:jc w:val="both"/>
      </w:pPr>
      <w:r w:rsidRPr="00982282">
        <w:t>2016 m. neskirtos lėšos. Darbai artimiausiu metu neplanuojami dėl lėšų stokos.</w:t>
      </w:r>
    </w:p>
    <w:p w:rsidR="00982282" w:rsidRPr="00F85D0F" w:rsidRDefault="00982282" w:rsidP="00982282">
      <w:pPr>
        <w:ind w:firstLine="720"/>
        <w:jc w:val="both"/>
        <w:rPr>
          <w:color w:val="FF0000"/>
        </w:rPr>
      </w:pPr>
    </w:p>
    <w:p w:rsidR="00FD69B3" w:rsidRPr="00DB586C" w:rsidRDefault="00FD69B3" w:rsidP="007F24CE">
      <w:pPr>
        <w:ind w:firstLine="720"/>
        <w:jc w:val="both"/>
        <w:rPr>
          <w:noProof/>
        </w:rPr>
      </w:pPr>
      <w:r w:rsidRPr="00DB586C">
        <w:rPr>
          <w:noProof/>
        </w:rPr>
        <w:t xml:space="preserve">Susisiekimo sąlygos priklauso nuo automobilizacijos lygio bei tokių urbanistinių faktorių, kaip gyventojų ir gatvių infrastruktūros tankis, darbo ir gyvenamosios vietos balanso. Kaip matome </w:t>
      </w:r>
      <w:r w:rsidR="00E4377D" w:rsidRPr="00DB586C">
        <w:rPr>
          <w:noProof/>
        </w:rPr>
        <w:t>20</w:t>
      </w:r>
      <w:r w:rsidRPr="00DB586C">
        <w:rPr>
          <w:noProof/>
        </w:rPr>
        <w:t xml:space="preserve"> diagramoje, automobilizacijos lygis Panevėžio mieste 20</w:t>
      </w:r>
      <w:r w:rsidR="00E4377D" w:rsidRPr="00DB586C">
        <w:rPr>
          <w:noProof/>
        </w:rPr>
        <w:t>1</w:t>
      </w:r>
      <w:r w:rsidR="00DB586C" w:rsidRPr="00DB586C">
        <w:rPr>
          <w:noProof/>
        </w:rPr>
        <w:t>2</w:t>
      </w:r>
      <w:r w:rsidRPr="00DB586C">
        <w:rPr>
          <w:noProof/>
        </w:rPr>
        <w:t>-20</w:t>
      </w:r>
      <w:r w:rsidR="00E4377D" w:rsidRPr="00DB586C">
        <w:rPr>
          <w:noProof/>
        </w:rPr>
        <w:t>1</w:t>
      </w:r>
      <w:r w:rsidR="00DB586C" w:rsidRPr="00DB586C">
        <w:rPr>
          <w:noProof/>
        </w:rPr>
        <w:t>6</w:t>
      </w:r>
      <w:r w:rsidRPr="00DB586C">
        <w:rPr>
          <w:noProof/>
        </w:rPr>
        <w:t xml:space="preserve"> metais </w:t>
      </w:r>
      <w:r w:rsidR="00DB586C" w:rsidRPr="00DB586C">
        <w:rPr>
          <w:noProof/>
        </w:rPr>
        <w:t>sumažėjo</w:t>
      </w:r>
      <w:r w:rsidRPr="00DB586C">
        <w:rPr>
          <w:noProof/>
        </w:rPr>
        <w:t xml:space="preserve"> </w:t>
      </w:r>
      <w:r w:rsidR="00DB586C" w:rsidRPr="00DB586C">
        <w:rPr>
          <w:noProof/>
        </w:rPr>
        <w:t>30</w:t>
      </w:r>
      <w:r w:rsidRPr="00DB586C">
        <w:rPr>
          <w:noProof/>
        </w:rPr>
        <w:t xml:space="preserve"> proc. ir yra lygus Lietuvos vidurkiui (</w:t>
      </w:r>
      <w:r w:rsidR="00DB586C" w:rsidRPr="00DB586C">
        <w:rPr>
          <w:noProof/>
        </w:rPr>
        <w:t>402</w:t>
      </w:r>
      <w:r w:rsidRPr="00DB586C">
        <w:rPr>
          <w:noProof/>
        </w:rPr>
        <w:t xml:space="preserve">). </w:t>
      </w:r>
    </w:p>
    <w:p w:rsidR="00FD69B3" w:rsidRPr="00F85D0F" w:rsidRDefault="00FD69B3" w:rsidP="00FD69B3">
      <w:pPr>
        <w:jc w:val="both"/>
        <w:rPr>
          <w:noProof/>
          <w:color w:val="FF0000"/>
        </w:rPr>
      </w:pPr>
      <w:r w:rsidRPr="00F85D0F">
        <w:rPr>
          <w:noProof/>
          <w:color w:val="FF0000"/>
        </w:rPr>
        <w:tab/>
      </w:r>
      <w:r w:rsidR="00E4377D" w:rsidRPr="00DB586C">
        <w:rPr>
          <w:noProof/>
        </w:rPr>
        <w:t>20</w:t>
      </w:r>
      <w:r w:rsidRPr="00DB586C">
        <w:rPr>
          <w:noProof/>
        </w:rPr>
        <w:t xml:space="preserve"> diagrama. Automobilizacijos lygis (individualių automobilių skaičius /1000-</w:t>
      </w:r>
      <w:r w:rsidR="00DB586C">
        <w:rPr>
          <w:noProof/>
        </w:rPr>
        <w:t>iui gyventojų) Panevėžio mieste.</w:t>
      </w:r>
    </w:p>
    <w:p w:rsidR="00FD69B3" w:rsidRPr="00F85D0F" w:rsidRDefault="00FD69B3" w:rsidP="00FD69B3">
      <w:pPr>
        <w:jc w:val="both"/>
        <w:rPr>
          <w:noProof/>
          <w:color w:val="FF0000"/>
        </w:rPr>
      </w:pPr>
      <w:r w:rsidRPr="00F85D0F">
        <w:rPr>
          <w:noProof/>
          <w:color w:val="FF0000"/>
        </w:rPr>
        <w:drawing>
          <wp:inline distT="0" distB="0" distL="0" distR="0">
            <wp:extent cx="5200650" cy="1638300"/>
            <wp:effectExtent l="0" t="0" r="0" b="0"/>
            <wp:docPr id="22"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D69B3" w:rsidRPr="00DB586C" w:rsidRDefault="00FD69B3" w:rsidP="00FD69B3">
      <w:pPr>
        <w:jc w:val="both"/>
        <w:rPr>
          <w:noProof/>
        </w:rPr>
      </w:pPr>
      <w:r w:rsidRPr="00F85D0F">
        <w:rPr>
          <w:noProof/>
          <w:color w:val="FF0000"/>
        </w:rPr>
        <w:tab/>
      </w:r>
      <w:r w:rsidRPr="00DB586C">
        <w:rPr>
          <w:noProof/>
        </w:rPr>
        <w:t>Dviračių takų ilgis Panevėžyje</w:t>
      </w:r>
      <w:r w:rsidR="00BE57B4" w:rsidRPr="00DB586C">
        <w:rPr>
          <w:noProof/>
        </w:rPr>
        <w:t xml:space="preserve"> yra 92 km ir</w:t>
      </w:r>
      <w:r w:rsidRPr="00DB586C">
        <w:rPr>
          <w:noProof/>
        </w:rPr>
        <w:t xml:space="preserve"> per paskutinius 5 metus </w:t>
      </w:r>
      <w:r w:rsidR="00BE57B4" w:rsidRPr="00DB586C">
        <w:rPr>
          <w:noProof/>
        </w:rPr>
        <w:t xml:space="preserve">kito nežymiai </w:t>
      </w:r>
      <w:r w:rsidRPr="00DB586C">
        <w:rPr>
          <w:noProof/>
        </w:rPr>
        <w:t xml:space="preserve">. </w:t>
      </w:r>
    </w:p>
    <w:p w:rsidR="00FD69B3" w:rsidRDefault="00FD69B3" w:rsidP="00FD69B3">
      <w:pPr>
        <w:jc w:val="both"/>
        <w:rPr>
          <w:noProof/>
        </w:rPr>
      </w:pPr>
      <w:r w:rsidRPr="00DB586C">
        <w:rPr>
          <w:noProof/>
        </w:rPr>
        <w:tab/>
      </w:r>
    </w:p>
    <w:p w:rsidR="00DB586C" w:rsidRDefault="00DB586C" w:rsidP="00FD69B3">
      <w:pPr>
        <w:jc w:val="both"/>
        <w:rPr>
          <w:noProof/>
        </w:rPr>
      </w:pPr>
      <w:r>
        <w:rPr>
          <w:noProof/>
        </w:rPr>
        <w:tab/>
        <w:t>Gatvių su patobulinta danga ilgis ir bendras gatvių tankis ir jų dinamika yra pavaizduota 21 diagramoje.</w:t>
      </w:r>
    </w:p>
    <w:p w:rsidR="00DB586C" w:rsidRPr="00DB586C" w:rsidRDefault="00DB586C" w:rsidP="00FD69B3">
      <w:pPr>
        <w:jc w:val="both"/>
        <w:rPr>
          <w:noProof/>
        </w:rPr>
      </w:pPr>
      <w:r>
        <w:rPr>
          <w:noProof/>
        </w:rPr>
        <w:t xml:space="preserve"> </w:t>
      </w:r>
      <w:r>
        <w:rPr>
          <w:noProof/>
        </w:rPr>
        <w:tab/>
      </w:r>
      <w:r w:rsidR="00E05145">
        <w:rPr>
          <w:noProof/>
        </w:rPr>
        <w:drawing>
          <wp:inline distT="0" distB="0" distL="0" distR="0">
            <wp:extent cx="5486400" cy="2141220"/>
            <wp:effectExtent l="0" t="0" r="0" b="1143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D69B3" w:rsidRPr="00E05145" w:rsidRDefault="001C209A" w:rsidP="00FD69B3">
      <w:pPr>
        <w:ind w:firstLine="1296"/>
        <w:jc w:val="both"/>
        <w:rPr>
          <w:noProof/>
        </w:rPr>
      </w:pPr>
      <w:r w:rsidRPr="00E05145">
        <w:rPr>
          <w:noProof/>
        </w:rPr>
        <w:t>Miesto viešojo transporto maršrutų skaičius ir vidutinis autobusų parko autobuso amžius pavaizduotas</w:t>
      </w:r>
      <w:r w:rsidR="00FD69B3" w:rsidRPr="00E05145">
        <w:rPr>
          <w:noProof/>
        </w:rPr>
        <w:t xml:space="preserve"> </w:t>
      </w:r>
      <w:r w:rsidR="00E4377D" w:rsidRPr="00E05145">
        <w:rPr>
          <w:noProof/>
        </w:rPr>
        <w:t>2</w:t>
      </w:r>
      <w:r w:rsidR="00E05145">
        <w:rPr>
          <w:noProof/>
        </w:rPr>
        <w:t>2</w:t>
      </w:r>
      <w:r w:rsidR="00FD69B3" w:rsidRPr="00E05145">
        <w:rPr>
          <w:noProof/>
        </w:rPr>
        <w:t xml:space="preserve"> diagramoje.</w:t>
      </w:r>
    </w:p>
    <w:p w:rsidR="001C209A" w:rsidRPr="00F85D0F" w:rsidRDefault="001C209A" w:rsidP="00FD69B3">
      <w:pPr>
        <w:ind w:firstLine="1296"/>
        <w:jc w:val="both"/>
        <w:rPr>
          <w:noProof/>
          <w:color w:val="FF0000"/>
        </w:rPr>
      </w:pPr>
    </w:p>
    <w:p w:rsidR="00E05145" w:rsidRDefault="00E05145" w:rsidP="001C209A">
      <w:pPr>
        <w:ind w:firstLine="1296"/>
        <w:jc w:val="both"/>
        <w:rPr>
          <w:noProof/>
          <w:color w:val="FF0000"/>
        </w:rPr>
      </w:pPr>
    </w:p>
    <w:p w:rsidR="00E05145" w:rsidRDefault="00E05145" w:rsidP="001C209A">
      <w:pPr>
        <w:ind w:firstLine="1296"/>
        <w:jc w:val="both"/>
        <w:rPr>
          <w:noProof/>
          <w:color w:val="FF0000"/>
        </w:rPr>
      </w:pPr>
    </w:p>
    <w:p w:rsidR="00FD69B3" w:rsidRPr="00E05145" w:rsidRDefault="00E4377D" w:rsidP="001C209A">
      <w:pPr>
        <w:ind w:firstLine="1296"/>
        <w:jc w:val="both"/>
        <w:rPr>
          <w:noProof/>
        </w:rPr>
      </w:pPr>
      <w:r w:rsidRPr="00E05145">
        <w:rPr>
          <w:noProof/>
        </w:rPr>
        <w:lastRenderedPageBreak/>
        <w:t>2</w:t>
      </w:r>
      <w:r w:rsidR="00E05145" w:rsidRPr="00E05145">
        <w:rPr>
          <w:noProof/>
        </w:rPr>
        <w:t>2</w:t>
      </w:r>
      <w:r w:rsidR="00FD69B3" w:rsidRPr="00E05145">
        <w:rPr>
          <w:noProof/>
        </w:rPr>
        <w:t xml:space="preserve"> diagrama.</w:t>
      </w:r>
      <w:r w:rsidR="001C209A" w:rsidRPr="00E05145">
        <w:rPr>
          <w:noProof/>
        </w:rPr>
        <w:t xml:space="preserve"> Miesto viešojo transporto maršrutų skaičius ir vidutinis autobusų parko autobuso amžius (gamybos m.)</w:t>
      </w:r>
    </w:p>
    <w:p w:rsidR="00D34D5A" w:rsidRPr="00F85D0F" w:rsidRDefault="00FD69B3" w:rsidP="00E4377D">
      <w:pPr>
        <w:ind w:firstLine="748"/>
        <w:jc w:val="both"/>
        <w:rPr>
          <w:rFonts w:eastAsia="Arial Unicode MS"/>
          <w:b/>
          <w:color w:val="FF0000"/>
        </w:rPr>
      </w:pPr>
      <w:r w:rsidRPr="00F85D0F">
        <w:rPr>
          <w:noProof/>
          <w:color w:val="FF0000"/>
        </w:rPr>
        <w:tab/>
      </w:r>
      <w:r w:rsidR="00861016" w:rsidRPr="00F85D0F">
        <w:rPr>
          <w:noProof/>
          <w:color w:val="FF0000"/>
        </w:rPr>
        <w:drawing>
          <wp:inline distT="0" distB="0" distL="0" distR="0" wp14:anchorId="4D7E532A" wp14:editId="02495491">
            <wp:extent cx="5486400" cy="2423160"/>
            <wp:effectExtent l="0" t="0" r="0" b="15240"/>
            <wp:docPr id="44" name="Diagra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34D5A" w:rsidRPr="00F85D0F" w:rsidRDefault="00D34D5A" w:rsidP="00845C55">
      <w:pPr>
        <w:pStyle w:val="Porat"/>
        <w:tabs>
          <w:tab w:val="clear" w:pos="4153"/>
          <w:tab w:val="clear" w:pos="8306"/>
        </w:tabs>
        <w:ind w:firstLine="748"/>
        <w:jc w:val="both"/>
        <w:outlineLvl w:val="0"/>
        <w:rPr>
          <w:rFonts w:eastAsia="Arial Unicode MS"/>
          <w:b/>
          <w:color w:val="FF0000"/>
        </w:rPr>
      </w:pPr>
    </w:p>
    <w:p w:rsidR="00045C3E" w:rsidRPr="00F85D0F" w:rsidRDefault="00045C3E" w:rsidP="00845C55">
      <w:pPr>
        <w:pStyle w:val="Porat"/>
        <w:tabs>
          <w:tab w:val="clear" w:pos="4153"/>
          <w:tab w:val="clear" w:pos="8306"/>
        </w:tabs>
        <w:ind w:firstLine="748"/>
        <w:jc w:val="both"/>
        <w:outlineLvl w:val="0"/>
        <w:rPr>
          <w:rFonts w:eastAsia="Arial Unicode MS"/>
          <w:b/>
          <w:color w:val="FF0000"/>
        </w:rPr>
      </w:pPr>
    </w:p>
    <w:p w:rsidR="009B5856" w:rsidRPr="00F85D0F" w:rsidRDefault="009B5856" w:rsidP="00845C55">
      <w:pPr>
        <w:pStyle w:val="Porat"/>
        <w:tabs>
          <w:tab w:val="clear" w:pos="4153"/>
          <w:tab w:val="clear" w:pos="8306"/>
        </w:tabs>
        <w:ind w:firstLine="748"/>
        <w:jc w:val="both"/>
        <w:outlineLvl w:val="0"/>
        <w:rPr>
          <w:rFonts w:eastAsia="Arial Unicode MS"/>
          <w:b/>
          <w:color w:val="FF0000"/>
        </w:rPr>
      </w:pPr>
    </w:p>
    <w:p w:rsidR="009B5856" w:rsidRPr="00F85D0F" w:rsidRDefault="009B5856" w:rsidP="00845C55">
      <w:pPr>
        <w:pStyle w:val="Porat"/>
        <w:tabs>
          <w:tab w:val="clear" w:pos="4153"/>
          <w:tab w:val="clear" w:pos="8306"/>
        </w:tabs>
        <w:ind w:firstLine="748"/>
        <w:jc w:val="both"/>
        <w:outlineLvl w:val="0"/>
        <w:rPr>
          <w:rFonts w:eastAsia="Arial Unicode MS"/>
          <w:b/>
          <w:color w:val="FF0000"/>
        </w:rPr>
      </w:pPr>
    </w:p>
    <w:p w:rsidR="00845C55" w:rsidRPr="0086697F" w:rsidRDefault="00845C55" w:rsidP="00845C55">
      <w:pPr>
        <w:pStyle w:val="Porat"/>
        <w:tabs>
          <w:tab w:val="clear" w:pos="4153"/>
          <w:tab w:val="clear" w:pos="8306"/>
        </w:tabs>
        <w:ind w:firstLine="748"/>
        <w:jc w:val="both"/>
        <w:outlineLvl w:val="0"/>
        <w:rPr>
          <w:rFonts w:eastAsia="Arial Unicode MS"/>
          <w:b/>
        </w:rPr>
      </w:pPr>
      <w:r w:rsidRPr="0086697F">
        <w:rPr>
          <w:rFonts w:eastAsia="Arial Unicode MS"/>
          <w:b/>
        </w:rPr>
        <w:t>IŠVADOS</w:t>
      </w:r>
    </w:p>
    <w:p w:rsidR="00845C55" w:rsidRPr="0086697F" w:rsidRDefault="00845C55" w:rsidP="00845C55">
      <w:pPr>
        <w:ind w:firstLine="720"/>
        <w:jc w:val="both"/>
      </w:pPr>
      <w:r w:rsidRPr="0086697F">
        <w:t xml:space="preserve">1) </w:t>
      </w:r>
      <w:r w:rsidR="00B46C6D" w:rsidRPr="0086697F">
        <w:t>Panevėžio miesto plėtros 2014 - 2020 metų strateginio plano įgyvendinimas už 201</w:t>
      </w:r>
      <w:r w:rsidR="0086697F" w:rsidRPr="0086697F">
        <w:t>6</w:t>
      </w:r>
      <w:r w:rsidR="00B46C6D" w:rsidRPr="0086697F">
        <w:t xml:space="preserve"> m. siekia 8</w:t>
      </w:r>
      <w:r w:rsidR="0086697F" w:rsidRPr="0086697F">
        <w:t>9,9 procentų</w:t>
      </w:r>
      <w:r w:rsidR="00B46C6D" w:rsidRPr="0086697F">
        <w:t xml:space="preserve">. Dauguma priemonių yra pradėtos vykdyti arba vykdomos iš dalies. </w:t>
      </w:r>
      <w:r w:rsidR="00795E2D" w:rsidRPr="0086697F">
        <w:t>Strateginio plano</w:t>
      </w:r>
      <w:r w:rsidRPr="0086697F">
        <w:t xml:space="preserve"> vizijos ir prioritetų rodiklių stebėsena parodė, kad dauguma </w:t>
      </w:r>
      <w:r w:rsidR="00023C5E" w:rsidRPr="0086697F">
        <w:t xml:space="preserve">kokybinių </w:t>
      </w:r>
      <w:r w:rsidRPr="0086697F">
        <w:t xml:space="preserve">rodiklių </w:t>
      </w:r>
      <w:r w:rsidR="00023C5E" w:rsidRPr="0086697F">
        <w:t>gerėjo</w:t>
      </w:r>
      <w:r w:rsidR="00CE3C36" w:rsidRPr="0086697F">
        <w:t>, išskyrus demografinius rodiklius</w:t>
      </w:r>
      <w:r w:rsidR="00CC1188" w:rsidRPr="0086697F">
        <w:t>. I</w:t>
      </w:r>
      <w:r w:rsidR="00E269D8" w:rsidRPr="0086697F">
        <w:t>šlaidos</w:t>
      </w:r>
      <w:r w:rsidR="001C0136" w:rsidRPr="0086697F">
        <w:t xml:space="preserve"> </w:t>
      </w:r>
      <w:r w:rsidR="00023C5E" w:rsidRPr="0086697F">
        <w:t xml:space="preserve">verslo skatinimui, </w:t>
      </w:r>
      <w:r w:rsidR="00CC1188" w:rsidRPr="0086697F">
        <w:t>kultūrai</w:t>
      </w:r>
      <w:r w:rsidR="00B46C6D" w:rsidRPr="0086697F">
        <w:t>, sportui,</w:t>
      </w:r>
      <w:r w:rsidR="00023C5E" w:rsidRPr="0086697F">
        <w:t xml:space="preserve"> švietimui per paskutinius penkerius metus augo</w:t>
      </w:r>
      <w:r w:rsidR="00CC1188" w:rsidRPr="0086697F">
        <w:t xml:space="preserve">. </w:t>
      </w:r>
      <w:r w:rsidR="00471357" w:rsidRPr="0086697F">
        <w:t xml:space="preserve">Išlaidos </w:t>
      </w:r>
      <w:r w:rsidR="00023C5E" w:rsidRPr="0086697F">
        <w:t>socialinėms pašalpoms ir išmokoms sumažėjo dvigubai.</w:t>
      </w:r>
    </w:p>
    <w:p w:rsidR="00845C55" w:rsidRPr="0086697F" w:rsidRDefault="00845C55" w:rsidP="00845C55">
      <w:pPr>
        <w:ind w:firstLine="720"/>
        <w:jc w:val="both"/>
      </w:pPr>
      <w:r w:rsidRPr="0086697F">
        <w:t xml:space="preserve">2) Stebėseną apsunkino tai, kad </w:t>
      </w:r>
      <w:r w:rsidR="00795E2D" w:rsidRPr="0086697F">
        <w:t>Strateginio plano</w:t>
      </w:r>
      <w:r w:rsidRPr="0086697F">
        <w:t xml:space="preserve"> vizijos ir prioritetų rodiklių palyginimo su didžiaisiais Lietuvos miestais ir šalies vidurkiu analizei reikalingi duomenys kitų miestų savivaldybėse nerenkami, nes viešojo administravimo įstaigos neturi vieningos matavimo rodiklių sistemos. </w:t>
      </w:r>
      <w:r w:rsidR="00795E2D" w:rsidRPr="0086697F">
        <w:t xml:space="preserve">Strateginio plano </w:t>
      </w:r>
      <w:r w:rsidRPr="0086697F">
        <w:t xml:space="preserve">rodiklių palyginimas su didžiaisiais Lietuvos miestais ir šalies vidurkiu buvo atliktas pateikiant tik Statistikos departamento duomenis. </w:t>
      </w:r>
      <w:r w:rsidRPr="0086697F">
        <w:rPr>
          <w:rFonts w:eastAsia="Arial Unicode MS"/>
        </w:rPr>
        <w:t xml:space="preserve">Be to, Savivaldybės administracijai sunku įtakoti kai kurių veiksmų įgyvendinimo procesus ir rezultatus, kai vykdytojai nėra Savivaldybės </w:t>
      </w:r>
      <w:r w:rsidR="00795E2D" w:rsidRPr="0086697F">
        <w:rPr>
          <w:rFonts w:eastAsia="Arial Unicode MS"/>
        </w:rPr>
        <w:t xml:space="preserve">administracijos </w:t>
      </w:r>
      <w:r w:rsidRPr="0086697F">
        <w:rPr>
          <w:rFonts w:eastAsia="Arial Unicode MS"/>
        </w:rPr>
        <w:t>skyriai.</w:t>
      </w:r>
    </w:p>
    <w:p w:rsidR="00113443" w:rsidRPr="0086697F" w:rsidRDefault="00845C55" w:rsidP="007F1F84">
      <w:pPr>
        <w:tabs>
          <w:tab w:val="left" w:pos="1800"/>
        </w:tabs>
        <w:ind w:firstLine="720"/>
        <w:jc w:val="both"/>
      </w:pPr>
      <w:r w:rsidRPr="0086697F">
        <w:t>3)</w:t>
      </w:r>
      <w:r w:rsidR="000B1A72" w:rsidRPr="0086697F">
        <w:t xml:space="preserve"> </w:t>
      </w:r>
      <w:r w:rsidR="00A201FA" w:rsidRPr="0086697F">
        <w:t>Panevėžio miesto savivaldybės taryba 201</w:t>
      </w:r>
      <w:r w:rsidR="0086697F" w:rsidRPr="0086697F">
        <w:t>7</w:t>
      </w:r>
      <w:r w:rsidR="00A201FA" w:rsidRPr="0086697F">
        <w:t xml:space="preserve"> m. </w:t>
      </w:r>
      <w:r w:rsidR="0086697F" w:rsidRPr="0086697F">
        <w:t>sausio</w:t>
      </w:r>
      <w:r w:rsidR="00023C5E" w:rsidRPr="0086697F">
        <w:t xml:space="preserve"> 2</w:t>
      </w:r>
      <w:r w:rsidR="0086697F" w:rsidRPr="0086697F">
        <w:t>6</w:t>
      </w:r>
      <w:r w:rsidR="00023C5E" w:rsidRPr="0086697F">
        <w:t xml:space="preserve"> </w:t>
      </w:r>
      <w:r w:rsidR="00A201FA" w:rsidRPr="0086697F">
        <w:t>d. sprendimu Nr. 1-</w:t>
      </w:r>
      <w:r w:rsidR="0086697F" w:rsidRPr="0086697F">
        <w:t>8</w:t>
      </w:r>
      <w:r w:rsidR="00A201FA" w:rsidRPr="0086697F">
        <w:t xml:space="preserve">  </w:t>
      </w:r>
      <w:r w:rsidR="00023C5E" w:rsidRPr="0086697F">
        <w:t xml:space="preserve">pakoregavo </w:t>
      </w:r>
      <w:r w:rsidR="00A201FA" w:rsidRPr="0086697F">
        <w:t xml:space="preserve">Panevėžio miesto plėtros 2014–2020 metų strateginį planą. Atlikus Strateginio plano veiksmų stebėseną, </w:t>
      </w:r>
      <w:r w:rsidR="00023C5E" w:rsidRPr="0086697F">
        <w:t>darytina</w:t>
      </w:r>
      <w:r w:rsidR="00A201FA" w:rsidRPr="0086697F">
        <w:t xml:space="preserve"> išvada, kad Panevėžio miesto plėtros 2014 - 2020 metų strateginis  planas </w:t>
      </w:r>
      <w:r w:rsidR="005B5721" w:rsidRPr="0086697F">
        <w:t xml:space="preserve">ir toliau gali būti peržiūrimas, </w:t>
      </w:r>
      <w:r w:rsidR="00A201FA" w:rsidRPr="0086697F">
        <w:t>koreguojamas, papildomas. Planuojamos naujovės, pokyčiai, koreguotinos priemonės</w:t>
      </w:r>
      <w:r w:rsidR="009B5856" w:rsidRPr="0086697F">
        <w:t xml:space="preserve"> atsižvelgiant į miesto poreikius</w:t>
      </w:r>
      <w:r w:rsidR="00A201FA" w:rsidRPr="0086697F">
        <w:t>.</w:t>
      </w:r>
      <w:r w:rsidR="00023C5E" w:rsidRPr="0086697F">
        <w:t xml:space="preserve"> </w:t>
      </w:r>
    </w:p>
    <w:p w:rsidR="00511F94" w:rsidRPr="0086697F" w:rsidRDefault="00511F94" w:rsidP="00D34D5A">
      <w:pPr>
        <w:ind w:firstLine="748"/>
        <w:jc w:val="both"/>
      </w:pPr>
    </w:p>
    <w:p w:rsidR="00845C55" w:rsidRPr="0086697F" w:rsidRDefault="00113443" w:rsidP="007F1F84">
      <w:pPr>
        <w:ind w:firstLine="748"/>
        <w:jc w:val="both"/>
      </w:pPr>
      <w:r w:rsidRPr="0086697F">
        <w:t>I</w:t>
      </w:r>
      <w:r w:rsidR="00845C55" w:rsidRPr="0086697F">
        <w:t>šsamesnė analizė pateikiama prieduose</w:t>
      </w:r>
      <w:r w:rsidR="00C06126" w:rsidRPr="0086697F">
        <w:t>.</w:t>
      </w:r>
      <w:r w:rsidR="00845C55" w:rsidRPr="0086697F">
        <w:t xml:space="preserve"> </w:t>
      </w:r>
    </w:p>
    <w:sectPr w:rsidR="00845C55" w:rsidRPr="0086697F" w:rsidSect="00493EFC">
      <w:footerReference w:type="even" r:id="rId30"/>
      <w:footerReference w:type="default" r:id="rId31"/>
      <w:pgSz w:w="11906" w:h="16838"/>
      <w:pgMar w:top="896" w:right="890" w:bottom="426" w:left="1701" w:header="561" w:footer="56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D3F" w:rsidRDefault="00BF0D3F">
      <w:r>
        <w:separator/>
      </w:r>
    </w:p>
  </w:endnote>
  <w:endnote w:type="continuationSeparator" w:id="0">
    <w:p w:rsidR="00BF0D3F" w:rsidRDefault="00BF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bunt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end"/>
    </w:r>
  </w:p>
  <w:p w:rsidR="00795E2D" w:rsidRDefault="00795E2D" w:rsidP="0050419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244FEE">
      <w:rPr>
        <w:rStyle w:val="Puslapionumeris"/>
        <w:noProof/>
      </w:rPr>
      <w:t>11</w:t>
    </w:r>
    <w:r>
      <w:rPr>
        <w:rStyle w:val="Puslapionumeris"/>
      </w:rPr>
      <w:fldChar w:fldCharType="end"/>
    </w:r>
  </w:p>
  <w:p w:rsidR="00795E2D" w:rsidRDefault="00795E2D" w:rsidP="0050419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D3F" w:rsidRDefault="00BF0D3F">
      <w:r>
        <w:separator/>
      </w:r>
    </w:p>
  </w:footnote>
  <w:footnote w:type="continuationSeparator" w:id="0">
    <w:p w:rsidR="00BF0D3F" w:rsidRDefault="00BF0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A8408C2"/>
    <w:multiLevelType w:val="hybridMultilevel"/>
    <w:tmpl w:val="659CA380"/>
    <w:lvl w:ilvl="0" w:tplc="B58C4910">
      <w:start w:val="14"/>
      <w:numFmt w:val="bullet"/>
      <w:lvlText w:val=""/>
      <w:lvlJc w:val="left"/>
      <w:pPr>
        <w:ind w:left="1108" w:hanging="360"/>
      </w:pPr>
      <w:rPr>
        <w:rFonts w:ascii="Symbol" w:eastAsia="Times New Roman" w:hAnsi="Symbol" w:cs="Times New Roman"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rawingGridVerticalSpacing w:val="29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2D9"/>
    <w:rsid w:val="00011331"/>
    <w:rsid w:val="000130D9"/>
    <w:rsid w:val="000139A5"/>
    <w:rsid w:val="00013AFD"/>
    <w:rsid w:val="00013DF2"/>
    <w:rsid w:val="00021FF3"/>
    <w:rsid w:val="000231E1"/>
    <w:rsid w:val="00023C5E"/>
    <w:rsid w:val="00024720"/>
    <w:rsid w:val="00026912"/>
    <w:rsid w:val="00031224"/>
    <w:rsid w:val="00033FD3"/>
    <w:rsid w:val="00044667"/>
    <w:rsid w:val="00045C3E"/>
    <w:rsid w:val="0005269C"/>
    <w:rsid w:val="00080DEA"/>
    <w:rsid w:val="00083811"/>
    <w:rsid w:val="00083CE3"/>
    <w:rsid w:val="00085D88"/>
    <w:rsid w:val="00086A22"/>
    <w:rsid w:val="00086EA1"/>
    <w:rsid w:val="00091129"/>
    <w:rsid w:val="00091B86"/>
    <w:rsid w:val="00094E46"/>
    <w:rsid w:val="000A40C9"/>
    <w:rsid w:val="000A7F1A"/>
    <w:rsid w:val="000B057D"/>
    <w:rsid w:val="000B1A72"/>
    <w:rsid w:val="000B1CE9"/>
    <w:rsid w:val="000B73AC"/>
    <w:rsid w:val="000C08DF"/>
    <w:rsid w:val="000C2A1C"/>
    <w:rsid w:val="000E23CE"/>
    <w:rsid w:val="000E774B"/>
    <w:rsid w:val="000F02EB"/>
    <w:rsid w:val="000F0745"/>
    <w:rsid w:val="000F13B7"/>
    <w:rsid w:val="000F1F57"/>
    <w:rsid w:val="000F24CC"/>
    <w:rsid w:val="00113443"/>
    <w:rsid w:val="0011455A"/>
    <w:rsid w:val="0011554D"/>
    <w:rsid w:val="001232DD"/>
    <w:rsid w:val="00125B60"/>
    <w:rsid w:val="00143838"/>
    <w:rsid w:val="001457E6"/>
    <w:rsid w:val="00164E07"/>
    <w:rsid w:val="00176A07"/>
    <w:rsid w:val="001778D6"/>
    <w:rsid w:val="00180A40"/>
    <w:rsid w:val="001860F7"/>
    <w:rsid w:val="00192CC2"/>
    <w:rsid w:val="001973A3"/>
    <w:rsid w:val="001A202A"/>
    <w:rsid w:val="001A334B"/>
    <w:rsid w:val="001A5D0F"/>
    <w:rsid w:val="001A5E2C"/>
    <w:rsid w:val="001A7B89"/>
    <w:rsid w:val="001A7CBD"/>
    <w:rsid w:val="001B6E90"/>
    <w:rsid w:val="001B7524"/>
    <w:rsid w:val="001B7F10"/>
    <w:rsid w:val="001C0136"/>
    <w:rsid w:val="001C209A"/>
    <w:rsid w:val="001C5115"/>
    <w:rsid w:val="001C595B"/>
    <w:rsid w:val="001E5EA1"/>
    <w:rsid w:val="001E7BEF"/>
    <w:rsid w:val="001F06A8"/>
    <w:rsid w:val="001F1AFD"/>
    <w:rsid w:val="001F6918"/>
    <w:rsid w:val="002022F4"/>
    <w:rsid w:val="00202FCE"/>
    <w:rsid w:val="0020318A"/>
    <w:rsid w:val="00204244"/>
    <w:rsid w:val="00217217"/>
    <w:rsid w:val="00224F66"/>
    <w:rsid w:val="00225C73"/>
    <w:rsid w:val="002312EA"/>
    <w:rsid w:val="00232E52"/>
    <w:rsid w:val="00234FE0"/>
    <w:rsid w:val="002355BA"/>
    <w:rsid w:val="002372F4"/>
    <w:rsid w:val="00241C53"/>
    <w:rsid w:val="00244FEE"/>
    <w:rsid w:val="002462BA"/>
    <w:rsid w:val="0024790C"/>
    <w:rsid w:val="00253A3F"/>
    <w:rsid w:val="002545A8"/>
    <w:rsid w:val="002551C3"/>
    <w:rsid w:val="002573D1"/>
    <w:rsid w:val="002577FE"/>
    <w:rsid w:val="002648D3"/>
    <w:rsid w:val="002708C4"/>
    <w:rsid w:val="0027484F"/>
    <w:rsid w:val="00276AAB"/>
    <w:rsid w:val="00282944"/>
    <w:rsid w:val="00291678"/>
    <w:rsid w:val="00291ECB"/>
    <w:rsid w:val="00296DCE"/>
    <w:rsid w:val="002A5368"/>
    <w:rsid w:val="002A59B6"/>
    <w:rsid w:val="002B0555"/>
    <w:rsid w:val="002B0BCC"/>
    <w:rsid w:val="002B0E6A"/>
    <w:rsid w:val="002B36BD"/>
    <w:rsid w:val="002B5021"/>
    <w:rsid w:val="002C131C"/>
    <w:rsid w:val="002C206A"/>
    <w:rsid w:val="002D1894"/>
    <w:rsid w:val="002D3D2F"/>
    <w:rsid w:val="002E014A"/>
    <w:rsid w:val="002F19A8"/>
    <w:rsid w:val="002F31C8"/>
    <w:rsid w:val="002F3FF7"/>
    <w:rsid w:val="003059CD"/>
    <w:rsid w:val="00306DF8"/>
    <w:rsid w:val="0030700E"/>
    <w:rsid w:val="003102E5"/>
    <w:rsid w:val="00314203"/>
    <w:rsid w:val="003167B7"/>
    <w:rsid w:val="00323714"/>
    <w:rsid w:val="00333352"/>
    <w:rsid w:val="0033345D"/>
    <w:rsid w:val="00334357"/>
    <w:rsid w:val="00336C7E"/>
    <w:rsid w:val="003406BE"/>
    <w:rsid w:val="00341E52"/>
    <w:rsid w:val="00343D0A"/>
    <w:rsid w:val="0035744B"/>
    <w:rsid w:val="00357B23"/>
    <w:rsid w:val="00357ECA"/>
    <w:rsid w:val="0036036D"/>
    <w:rsid w:val="00360C47"/>
    <w:rsid w:val="00363E07"/>
    <w:rsid w:val="00367EA4"/>
    <w:rsid w:val="0037113A"/>
    <w:rsid w:val="00375970"/>
    <w:rsid w:val="003801E5"/>
    <w:rsid w:val="00381054"/>
    <w:rsid w:val="00390A85"/>
    <w:rsid w:val="00392404"/>
    <w:rsid w:val="003A024E"/>
    <w:rsid w:val="003A2581"/>
    <w:rsid w:val="003A3710"/>
    <w:rsid w:val="003A614B"/>
    <w:rsid w:val="003A697F"/>
    <w:rsid w:val="003B3264"/>
    <w:rsid w:val="003B3532"/>
    <w:rsid w:val="003B3954"/>
    <w:rsid w:val="003B4253"/>
    <w:rsid w:val="003C6845"/>
    <w:rsid w:val="003D0780"/>
    <w:rsid w:val="003D57F9"/>
    <w:rsid w:val="003E03D1"/>
    <w:rsid w:val="003E0837"/>
    <w:rsid w:val="003E2C31"/>
    <w:rsid w:val="003E64CE"/>
    <w:rsid w:val="003E67E4"/>
    <w:rsid w:val="003E75F3"/>
    <w:rsid w:val="00403FC2"/>
    <w:rsid w:val="00410F66"/>
    <w:rsid w:val="00411399"/>
    <w:rsid w:val="004121E0"/>
    <w:rsid w:val="0041468D"/>
    <w:rsid w:val="00416AA3"/>
    <w:rsid w:val="004177CB"/>
    <w:rsid w:val="0042195F"/>
    <w:rsid w:val="00426688"/>
    <w:rsid w:val="00434210"/>
    <w:rsid w:val="00436158"/>
    <w:rsid w:val="00460499"/>
    <w:rsid w:val="00460F97"/>
    <w:rsid w:val="00465149"/>
    <w:rsid w:val="00471357"/>
    <w:rsid w:val="004713E7"/>
    <w:rsid w:val="00471E27"/>
    <w:rsid w:val="00471FC2"/>
    <w:rsid w:val="004726D4"/>
    <w:rsid w:val="00473249"/>
    <w:rsid w:val="00474C90"/>
    <w:rsid w:val="00482BAE"/>
    <w:rsid w:val="0048550B"/>
    <w:rsid w:val="00486DC6"/>
    <w:rsid w:val="004918B7"/>
    <w:rsid w:val="00493EFC"/>
    <w:rsid w:val="004946CC"/>
    <w:rsid w:val="00495476"/>
    <w:rsid w:val="004958B1"/>
    <w:rsid w:val="00496461"/>
    <w:rsid w:val="004965AF"/>
    <w:rsid w:val="00496BA8"/>
    <w:rsid w:val="004979C2"/>
    <w:rsid w:val="004A14F1"/>
    <w:rsid w:val="004A22A8"/>
    <w:rsid w:val="004B7778"/>
    <w:rsid w:val="004C2AB4"/>
    <w:rsid w:val="004E181C"/>
    <w:rsid w:val="004E2B0F"/>
    <w:rsid w:val="004F1A34"/>
    <w:rsid w:val="004F2870"/>
    <w:rsid w:val="004F4360"/>
    <w:rsid w:val="004F564C"/>
    <w:rsid w:val="00500EEB"/>
    <w:rsid w:val="0050419E"/>
    <w:rsid w:val="00506B0B"/>
    <w:rsid w:val="00506DE9"/>
    <w:rsid w:val="00511274"/>
    <w:rsid w:val="00511F94"/>
    <w:rsid w:val="00512CE5"/>
    <w:rsid w:val="005134FA"/>
    <w:rsid w:val="005251A3"/>
    <w:rsid w:val="0053110D"/>
    <w:rsid w:val="00533471"/>
    <w:rsid w:val="00544F6A"/>
    <w:rsid w:val="00545EF9"/>
    <w:rsid w:val="0054611F"/>
    <w:rsid w:val="00550F20"/>
    <w:rsid w:val="0055270D"/>
    <w:rsid w:val="00554EF8"/>
    <w:rsid w:val="005568D5"/>
    <w:rsid w:val="00556F88"/>
    <w:rsid w:val="00560002"/>
    <w:rsid w:val="0056283E"/>
    <w:rsid w:val="0056718C"/>
    <w:rsid w:val="005675CB"/>
    <w:rsid w:val="005724CF"/>
    <w:rsid w:val="00572929"/>
    <w:rsid w:val="00580BC4"/>
    <w:rsid w:val="00582E94"/>
    <w:rsid w:val="00583FF4"/>
    <w:rsid w:val="005853DA"/>
    <w:rsid w:val="0058758D"/>
    <w:rsid w:val="005955DA"/>
    <w:rsid w:val="00596A16"/>
    <w:rsid w:val="005A0616"/>
    <w:rsid w:val="005A3C6A"/>
    <w:rsid w:val="005A7C18"/>
    <w:rsid w:val="005B041F"/>
    <w:rsid w:val="005B5388"/>
    <w:rsid w:val="005B5689"/>
    <w:rsid w:val="005B5721"/>
    <w:rsid w:val="005C2893"/>
    <w:rsid w:val="005C3F11"/>
    <w:rsid w:val="005D6099"/>
    <w:rsid w:val="005D71F9"/>
    <w:rsid w:val="005E042B"/>
    <w:rsid w:val="005E7A56"/>
    <w:rsid w:val="005F2CCA"/>
    <w:rsid w:val="005F67AF"/>
    <w:rsid w:val="00616E08"/>
    <w:rsid w:val="00620FA3"/>
    <w:rsid w:val="00624355"/>
    <w:rsid w:val="00627494"/>
    <w:rsid w:val="00630314"/>
    <w:rsid w:val="0063667E"/>
    <w:rsid w:val="00641CFF"/>
    <w:rsid w:val="00645669"/>
    <w:rsid w:val="00653F41"/>
    <w:rsid w:val="00657B4C"/>
    <w:rsid w:val="00660122"/>
    <w:rsid w:val="00665FFD"/>
    <w:rsid w:val="006700D1"/>
    <w:rsid w:val="006770A7"/>
    <w:rsid w:val="00682708"/>
    <w:rsid w:val="006870CF"/>
    <w:rsid w:val="006875D5"/>
    <w:rsid w:val="00691AA0"/>
    <w:rsid w:val="006959A6"/>
    <w:rsid w:val="00697803"/>
    <w:rsid w:val="006A02EF"/>
    <w:rsid w:val="006A0A01"/>
    <w:rsid w:val="006A3C04"/>
    <w:rsid w:val="006A6723"/>
    <w:rsid w:val="006A7B40"/>
    <w:rsid w:val="006A7E7E"/>
    <w:rsid w:val="006B3337"/>
    <w:rsid w:val="006B33D5"/>
    <w:rsid w:val="006B3C22"/>
    <w:rsid w:val="006B3EB9"/>
    <w:rsid w:val="006B59A5"/>
    <w:rsid w:val="006B766F"/>
    <w:rsid w:val="006C3B7F"/>
    <w:rsid w:val="006D319E"/>
    <w:rsid w:val="006D4423"/>
    <w:rsid w:val="006D457C"/>
    <w:rsid w:val="006D4E42"/>
    <w:rsid w:val="006E0520"/>
    <w:rsid w:val="006E14D9"/>
    <w:rsid w:val="006E1DF4"/>
    <w:rsid w:val="006E2DF9"/>
    <w:rsid w:val="006E4197"/>
    <w:rsid w:val="006E6567"/>
    <w:rsid w:val="006F1607"/>
    <w:rsid w:val="006F56DD"/>
    <w:rsid w:val="00700F2A"/>
    <w:rsid w:val="00710EBA"/>
    <w:rsid w:val="0071629E"/>
    <w:rsid w:val="007170B1"/>
    <w:rsid w:val="00717293"/>
    <w:rsid w:val="00724427"/>
    <w:rsid w:val="00727F4A"/>
    <w:rsid w:val="007306C8"/>
    <w:rsid w:val="00731204"/>
    <w:rsid w:val="007319AB"/>
    <w:rsid w:val="00731FE7"/>
    <w:rsid w:val="00734571"/>
    <w:rsid w:val="00737D39"/>
    <w:rsid w:val="00740910"/>
    <w:rsid w:val="007421B7"/>
    <w:rsid w:val="00742385"/>
    <w:rsid w:val="00746D57"/>
    <w:rsid w:val="00751C41"/>
    <w:rsid w:val="00757DB4"/>
    <w:rsid w:val="0076181C"/>
    <w:rsid w:val="00761848"/>
    <w:rsid w:val="00764231"/>
    <w:rsid w:val="00764FFB"/>
    <w:rsid w:val="00765172"/>
    <w:rsid w:val="0076564F"/>
    <w:rsid w:val="0077421D"/>
    <w:rsid w:val="0077733C"/>
    <w:rsid w:val="0078626B"/>
    <w:rsid w:val="00787E05"/>
    <w:rsid w:val="00790891"/>
    <w:rsid w:val="00792E95"/>
    <w:rsid w:val="00793711"/>
    <w:rsid w:val="00794571"/>
    <w:rsid w:val="00794767"/>
    <w:rsid w:val="00795E2D"/>
    <w:rsid w:val="00797F56"/>
    <w:rsid w:val="007A4F6B"/>
    <w:rsid w:val="007A7173"/>
    <w:rsid w:val="007B0BC5"/>
    <w:rsid w:val="007C078C"/>
    <w:rsid w:val="007C55AF"/>
    <w:rsid w:val="007D1421"/>
    <w:rsid w:val="007D5D15"/>
    <w:rsid w:val="007D5F06"/>
    <w:rsid w:val="007D6261"/>
    <w:rsid w:val="007D7E44"/>
    <w:rsid w:val="007E7A96"/>
    <w:rsid w:val="007F0118"/>
    <w:rsid w:val="007F1F84"/>
    <w:rsid w:val="007F24CE"/>
    <w:rsid w:val="007F4AF1"/>
    <w:rsid w:val="00800C4F"/>
    <w:rsid w:val="00810A84"/>
    <w:rsid w:val="00810C3D"/>
    <w:rsid w:val="00811129"/>
    <w:rsid w:val="00811507"/>
    <w:rsid w:val="008214B9"/>
    <w:rsid w:val="0082215F"/>
    <w:rsid w:val="008263D0"/>
    <w:rsid w:val="008268EF"/>
    <w:rsid w:val="00831734"/>
    <w:rsid w:val="00831D17"/>
    <w:rsid w:val="00831D92"/>
    <w:rsid w:val="00831E03"/>
    <w:rsid w:val="00832A95"/>
    <w:rsid w:val="00845742"/>
    <w:rsid w:val="00845C55"/>
    <w:rsid w:val="0084631F"/>
    <w:rsid w:val="00850707"/>
    <w:rsid w:val="00851C9F"/>
    <w:rsid w:val="00853117"/>
    <w:rsid w:val="008539AB"/>
    <w:rsid w:val="00860AE2"/>
    <w:rsid w:val="00861016"/>
    <w:rsid w:val="00862931"/>
    <w:rsid w:val="0086595C"/>
    <w:rsid w:val="0086697F"/>
    <w:rsid w:val="008731C8"/>
    <w:rsid w:val="00880BE8"/>
    <w:rsid w:val="008812B0"/>
    <w:rsid w:val="008842D0"/>
    <w:rsid w:val="008842DE"/>
    <w:rsid w:val="00891874"/>
    <w:rsid w:val="008936BF"/>
    <w:rsid w:val="008A6B67"/>
    <w:rsid w:val="008B068B"/>
    <w:rsid w:val="008B1D34"/>
    <w:rsid w:val="008B3F27"/>
    <w:rsid w:val="008B541F"/>
    <w:rsid w:val="008B5E21"/>
    <w:rsid w:val="008B60C4"/>
    <w:rsid w:val="008B7C53"/>
    <w:rsid w:val="008D40CA"/>
    <w:rsid w:val="008D5979"/>
    <w:rsid w:val="008F6506"/>
    <w:rsid w:val="00905876"/>
    <w:rsid w:val="0091161D"/>
    <w:rsid w:val="009125B1"/>
    <w:rsid w:val="0091627E"/>
    <w:rsid w:val="00920098"/>
    <w:rsid w:val="00920541"/>
    <w:rsid w:val="009340CF"/>
    <w:rsid w:val="00936D8B"/>
    <w:rsid w:val="0094079D"/>
    <w:rsid w:val="00942ED9"/>
    <w:rsid w:val="00953B68"/>
    <w:rsid w:val="00955A2F"/>
    <w:rsid w:val="00960045"/>
    <w:rsid w:val="00963956"/>
    <w:rsid w:val="00970B6E"/>
    <w:rsid w:val="009807B7"/>
    <w:rsid w:val="00982282"/>
    <w:rsid w:val="0098504A"/>
    <w:rsid w:val="00985741"/>
    <w:rsid w:val="009904E8"/>
    <w:rsid w:val="00991FBF"/>
    <w:rsid w:val="00993B2A"/>
    <w:rsid w:val="009A0F96"/>
    <w:rsid w:val="009A4E2B"/>
    <w:rsid w:val="009A6FB3"/>
    <w:rsid w:val="009B07C1"/>
    <w:rsid w:val="009B33EA"/>
    <w:rsid w:val="009B5856"/>
    <w:rsid w:val="009C0A83"/>
    <w:rsid w:val="009C527C"/>
    <w:rsid w:val="009D143B"/>
    <w:rsid w:val="009D1892"/>
    <w:rsid w:val="009D2F58"/>
    <w:rsid w:val="009E3206"/>
    <w:rsid w:val="009F71FA"/>
    <w:rsid w:val="009F73FA"/>
    <w:rsid w:val="00A01F9B"/>
    <w:rsid w:val="00A04D89"/>
    <w:rsid w:val="00A12687"/>
    <w:rsid w:val="00A201FA"/>
    <w:rsid w:val="00A25B83"/>
    <w:rsid w:val="00A34283"/>
    <w:rsid w:val="00A3762B"/>
    <w:rsid w:val="00A4344E"/>
    <w:rsid w:val="00A43B8D"/>
    <w:rsid w:val="00A44C6E"/>
    <w:rsid w:val="00A46FB8"/>
    <w:rsid w:val="00A537A9"/>
    <w:rsid w:val="00A562EB"/>
    <w:rsid w:val="00A56B47"/>
    <w:rsid w:val="00A57492"/>
    <w:rsid w:val="00A60576"/>
    <w:rsid w:val="00A61199"/>
    <w:rsid w:val="00A637E4"/>
    <w:rsid w:val="00A64C35"/>
    <w:rsid w:val="00A74300"/>
    <w:rsid w:val="00A7459D"/>
    <w:rsid w:val="00A76C14"/>
    <w:rsid w:val="00A770CB"/>
    <w:rsid w:val="00A8065C"/>
    <w:rsid w:val="00A824EA"/>
    <w:rsid w:val="00A840D4"/>
    <w:rsid w:val="00A901D2"/>
    <w:rsid w:val="00A90AD0"/>
    <w:rsid w:val="00AA312E"/>
    <w:rsid w:val="00AA5C8D"/>
    <w:rsid w:val="00AA64E3"/>
    <w:rsid w:val="00AA75DA"/>
    <w:rsid w:val="00AA7F15"/>
    <w:rsid w:val="00AB57A9"/>
    <w:rsid w:val="00AB785E"/>
    <w:rsid w:val="00AC1A07"/>
    <w:rsid w:val="00AD4196"/>
    <w:rsid w:val="00AD5F08"/>
    <w:rsid w:val="00AD6A01"/>
    <w:rsid w:val="00AD7F93"/>
    <w:rsid w:val="00AF0B15"/>
    <w:rsid w:val="00AF402B"/>
    <w:rsid w:val="00AF428B"/>
    <w:rsid w:val="00AF5D59"/>
    <w:rsid w:val="00AF644E"/>
    <w:rsid w:val="00B06312"/>
    <w:rsid w:val="00B074D7"/>
    <w:rsid w:val="00B11C77"/>
    <w:rsid w:val="00B1225B"/>
    <w:rsid w:val="00B123CD"/>
    <w:rsid w:val="00B13EE4"/>
    <w:rsid w:val="00B16089"/>
    <w:rsid w:val="00B178F9"/>
    <w:rsid w:val="00B26F0A"/>
    <w:rsid w:val="00B27777"/>
    <w:rsid w:val="00B33547"/>
    <w:rsid w:val="00B40654"/>
    <w:rsid w:val="00B41146"/>
    <w:rsid w:val="00B463E2"/>
    <w:rsid w:val="00B46B15"/>
    <w:rsid w:val="00B46C6D"/>
    <w:rsid w:val="00B5787A"/>
    <w:rsid w:val="00B622D8"/>
    <w:rsid w:val="00B65BDE"/>
    <w:rsid w:val="00B738C6"/>
    <w:rsid w:val="00B76E45"/>
    <w:rsid w:val="00B77D35"/>
    <w:rsid w:val="00B77DE8"/>
    <w:rsid w:val="00B87485"/>
    <w:rsid w:val="00B919FE"/>
    <w:rsid w:val="00B92823"/>
    <w:rsid w:val="00B9412E"/>
    <w:rsid w:val="00BA0AA7"/>
    <w:rsid w:val="00BB3DBB"/>
    <w:rsid w:val="00BB47B6"/>
    <w:rsid w:val="00BC089A"/>
    <w:rsid w:val="00BC31C5"/>
    <w:rsid w:val="00BD0123"/>
    <w:rsid w:val="00BD0A9A"/>
    <w:rsid w:val="00BD7130"/>
    <w:rsid w:val="00BE0B1A"/>
    <w:rsid w:val="00BE57B4"/>
    <w:rsid w:val="00BE79CC"/>
    <w:rsid w:val="00BF0D3F"/>
    <w:rsid w:val="00BF345A"/>
    <w:rsid w:val="00C00C44"/>
    <w:rsid w:val="00C0558F"/>
    <w:rsid w:val="00C05D32"/>
    <w:rsid w:val="00C06126"/>
    <w:rsid w:val="00C11D76"/>
    <w:rsid w:val="00C12E66"/>
    <w:rsid w:val="00C15060"/>
    <w:rsid w:val="00C22151"/>
    <w:rsid w:val="00C227A9"/>
    <w:rsid w:val="00C257AE"/>
    <w:rsid w:val="00C412C9"/>
    <w:rsid w:val="00C41C15"/>
    <w:rsid w:val="00C45E3D"/>
    <w:rsid w:val="00C47EA6"/>
    <w:rsid w:val="00C61773"/>
    <w:rsid w:val="00C65708"/>
    <w:rsid w:val="00C8132C"/>
    <w:rsid w:val="00C85DBD"/>
    <w:rsid w:val="00C865B3"/>
    <w:rsid w:val="00C90342"/>
    <w:rsid w:val="00CA392A"/>
    <w:rsid w:val="00CA780F"/>
    <w:rsid w:val="00CB0A40"/>
    <w:rsid w:val="00CB2843"/>
    <w:rsid w:val="00CC1188"/>
    <w:rsid w:val="00CD082F"/>
    <w:rsid w:val="00CD3DA0"/>
    <w:rsid w:val="00CD5540"/>
    <w:rsid w:val="00CD6773"/>
    <w:rsid w:val="00CD73FB"/>
    <w:rsid w:val="00CE1ED9"/>
    <w:rsid w:val="00CE25E9"/>
    <w:rsid w:val="00CE35F6"/>
    <w:rsid w:val="00CE3C36"/>
    <w:rsid w:val="00CF3345"/>
    <w:rsid w:val="00CF4FEA"/>
    <w:rsid w:val="00D00EE9"/>
    <w:rsid w:val="00D02CF5"/>
    <w:rsid w:val="00D0777F"/>
    <w:rsid w:val="00D1343F"/>
    <w:rsid w:val="00D149E9"/>
    <w:rsid w:val="00D235B9"/>
    <w:rsid w:val="00D27BEE"/>
    <w:rsid w:val="00D34D5A"/>
    <w:rsid w:val="00D42D1F"/>
    <w:rsid w:val="00D43ECC"/>
    <w:rsid w:val="00D61464"/>
    <w:rsid w:val="00D654B8"/>
    <w:rsid w:val="00D716B7"/>
    <w:rsid w:val="00D8003A"/>
    <w:rsid w:val="00D868BF"/>
    <w:rsid w:val="00D876B2"/>
    <w:rsid w:val="00D90D1A"/>
    <w:rsid w:val="00D921F0"/>
    <w:rsid w:val="00D9390F"/>
    <w:rsid w:val="00D97226"/>
    <w:rsid w:val="00DA3725"/>
    <w:rsid w:val="00DA50A8"/>
    <w:rsid w:val="00DA7A18"/>
    <w:rsid w:val="00DB0C0B"/>
    <w:rsid w:val="00DB173E"/>
    <w:rsid w:val="00DB1B2C"/>
    <w:rsid w:val="00DB586C"/>
    <w:rsid w:val="00DD7F0A"/>
    <w:rsid w:val="00DE3076"/>
    <w:rsid w:val="00DE5705"/>
    <w:rsid w:val="00DF1335"/>
    <w:rsid w:val="00DF4BC3"/>
    <w:rsid w:val="00DF7E25"/>
    <w:rsid w:val="00E0103B"/>
    <w:rsid w:val="00E02C36"/>
    <w:rsid w:val="00E05145"/>
    <w:rsid w:val="00E056B7"/>
    <w:rsid w:val="00E13330"/>
    <w:rsid w:val="00E14B5A"/>
    <w:rsid w:val="00E175A6"/>
    <w:rsid w:val="00E20721"/>
    <w:rsid w:val="00E20E4F"/>
    <w:rsid w:val="00E269D8"/>
    <w:rsid w:val="00E31BA3"/>
    <w:rsid w:val="00E379C2"/>
    <w:rsid w:val="00E4062D"/>
    <w:rsid w:val="00E40BC8"/>
    <w:rsid w:val="00E4299F"/>
    <w:rsid w:val="00E4377D"/>
    <w:rsid w:val="00E547C4"/>
    <w:rsid w:val="00E56E8A"/>
    <w:rsid w:val="00E61621"/>
    <w:rsid w:val="00E63F59"/>
    <w:rsid w:val="00E64FB5"/>
    <w:rsid w:val="00E673CA"/>
    <w:rsid w:val="00E700F8"/>
    <w:rsid w:val="00E7311F"/>
    <w:rsid w:val="00E7693D"/>
    <w:rsid w:val="00E848D4"/>
    <w:rsid w:val="00E85B38"/>
    <w:rsid w:val="00E93971"/>
    <w:rsid w:val="00E94145"/>
    <w:rsid w:val="00E96C0D"/>
    <w:rsid w:val="00E97D56"/>
    <w:rsid w:val="00EA41D9"/>
    <w:rsid w:val="00EB25F3"/>
    <w:rsid w:val="00EC3CAA"/>
    <w:rsid w:val="00ED0A81"/>
    <w:rsid w:val="00ED322B"/>
    <w:rsid w:val="00EE29EC"/>
    <w:rsid w:val="00EE4F7E"/>
    <w:rsid w:val="00F00F40"/>
    <w:rsid w:val="00F029C0"/>
    <w:rsid w:val="00F03FA5"/>
    <w:rsid w:val="00F0782E"/>
    <w:rsid w:val="00F16AA7"/>
    <w:rsid w:val="00F17018"/>
    <w:rsid w:val="00F17A52"/>
    <w:rsid w:val="00F23225"/>
    <w:rsid w:val="00F255C4"/>
    <w:rsid w:val="00F318F8"/>
    <w:rsid w:val="00F31CB6"/>
    <w:rsid w:val="00F344BA"/>
    <w:rsid w:val="00F34BF5"/>
    <w:rsid w:val="00F3702E"/>
    <w:rsid w:val="00F41051"/>
    <w:rsid w:val="00F42A7F"/>
    <w:rsid w:val="00F44379"/>
    <w:rsid w:val="00F45903"/>
    <w:rsid w:val="00F46248"/>
    <w:rsid w:val="00F466DD"/>
    <w:rsid w:val="00F57433"/>
    <w:rsid w:val="00F63B24"/>
    <w:rsid w:val="00F85D0F"/>
    <w:rsid w:val="00F86729"/>
    <w:rsid w:val="00F8757C"/>
    <w:rsid w:val="00F96AB5"/>
    <w:rsid w:val="00F97E16"/>
    <w:rsid w:val="00FA6AC4"/>
    <w:rsid w:val="00FB264C"/>
    <w:rsid w:val="00FB4E35"/>
    <w:rsid w:val="00FC3193"/>
    <w:rsid w:val="00FC334F"/>
    <w:rsid w:val="00FC57A6"/>
    <w:rsid w:val="00FC72EF"/>
    <w:rsid w:val="00FD0917"/>
    <w:rsid w:val="00FD0CB6"/>
    <w:rsid w:val="00FD1BB2"/>
    <w:rsid w:val="00FD43B1"/>
    <w:rsid w:val="00FD4679"/>
    <w:rsid w:val="00FD4BC4"/>
    <w:rsid w:val="00FD5406"/>
    <w:rsid w:val="00FD69B3"/>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75B46E0-C7D4-4F89-8134-27FEA23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5C55"/>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845C55"/>
    <w:pPr>
      <w:spacing w:after="160" w:line="240" w:lineRule="exact"/>
    </w:pPr>
    <w:rPr>
      <w:rFonts w:ascii="Verdana" w:hAnsi="Verdana"/>
      <w:sz w:val="16"/>
      <w:szCs w:val="20"/>
      <w:lang w:val="en-US" w:eastAsia="en-US"/>
    </w:rPr>
  </w:style>
  <w:style w:type="paragraph" w:styleId="Porat">
    <w:name w:val="footer"/>
    <w:basedOn w:val="prastasis"/>
    <w:rsid w:val="00845C55"/>
    <w:pPr>
      <w:tabs>
        <w:tab w:val="center" w:pos="4153"/>
        <w:tab w:val="right" w:pos="8306"/>
      </w:tabs>
    </w:pPr>
    <w:rPr>
      <w:szCs w:val="20"/>
    </w:rPr>
  </w:style>
  <w:style w:type="paragraph" w:styleId="Pagrindinistekstas">
    <w:name w:val="Body Text"/>
    <w:basedOn w:val="prastasis"/>
    <w:rsid w:val="00845C55"/>
    <w:pPr>
      <w:spacing w:after="120"/>
    </w:pPr>
  </w:style>
  <w:style w:type="character" w:styleId="Emfaz">
    <w:name w:val="Emphasis"/>
    <w:basedOn w:val="Numatytasispastraiposriftas"/>
    <w:qFormat/>
    <w:rsid w:val="00845C55"/>
    <w:rPr>
      <w:b/>
      <w:bCs/>
      <w:i w:val="0"/>
      <w:iCs w:val="0"/>
    </w:rPr>
  </w:style>
  <w:style w:type="character" w:customStyle="1" w:styleId="Heading2Char">
    <w:name w:val="Heading 2 Char"/>
    <w:aliases w:val="Title Header2 Char"/>
    <w:rsid w:val="00180A40"/>
    <w:rPr>
      <w:sz w:val="24"/>
      <w:lang w:eastAsia="lt-LT"/>
    </w:rPr>
  </w:style>
  <w:style w:type="character" w:customStyle="1" w:styleId="Heading1Char">
    <w:name w:val="Heading 1 Char"/>
    <w:rsid w:val="00ED322B"/>
    <w:rPr>
      <w:sz w:val="28"/>
      <w:lang w:eastAsia="lt-LT"/>
    </w:rPr>
  </w:style>
  <w:style w:type="character" w:styleId="Hipersaitas">
    <w:name w:val="Hyperlink"/>
    <w:unhideWhenUsed/>
    <w:rsid w:val="00CE35F6"/>
    <w:rPr>
      <w:color w:val="0000FF"/>
      <w:u w:val="single"/>
    </w:rPr>
  </w:style>
  <w:style w:type="character" w:styleId="Puslapionumeris">
    <w:name w:val="page number"/>
    <w:basedOn w:val="Numatytasispastraiposriftas"/>
    <w:rsid w:val="0050419E"/>
  </w:style>
  <w:style w:type="paragraph" w:styleId="Debesliotekstas">
    <w:name w:val="Balloon Text"/>
    <w:basedOn w:val="prastasis"/>
    <w:link w:val="DebesliotekstasDiagrama"/>
    <w:uiPriority w:val="99"/>
    <w:semiHidden/>
    <w:unhideWhenUsed/>
    <w:rsid w:val="005527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70D"/>
    <w:rPr>
      <w:rFonts w:ascii="Tahoma" w:hAnsi="Tahoma" w:cs="Tahoma"/>
      <w:sz w:val="16"/>
      <w:szCs w:val="16"/>
      <w:lang w:val="lt-LT" w:eastAsia="lt-LT"/>
    </w:rPr>
  </w:style>
  <w:style w:type="table" w:styleId="Lentelstinklelis">
    <w:name w:val="Table Grid"/>
    <w:basedOn w:val="prastojilentel"/>
    <w:uiPriority w:val="59"/>
    <w:rsid w:val="0076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00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3856">
      <w:bodyDiv w:val="1"/>
      <w:marLeft w:val="0"/>
      <w:marRight w:val="0"/>
      <w:marTop w:val="0"/>
      <w:marBottom w:val="0"/>
      <w:divBdr>
        <w:top w:val="none" w:sz="0" w:space="0" w:color="auto"/>
        <w:left w:val="none" w:sz="0" w:space="0" w:color="auto"/>
        <w:bottom w:val="none" w:sz="0" w:space="0" w:color="auto"/>
        <w:right w:val="none" w:sz="0" w:space="0" w:color="auto"/>
      </w:divBdr>
      <w:divsChild>
        <w:div w:id="67314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1 diagrama. </a:t>
            </a:r>
            <a:r>
              <a:rPr lang="lt-LT" sz="1200" b="0" i="0" u="none" strike="noStrike" baseline="0">
                <a:effectLst/>
                <a:latin typeface="Times New Roman" panose="02020603050405020304" pitchFamily="18" charset="0"/>
                <a:cs typeface="Times New Roman" panose="02020603050405020304" pitchFamily="18" charset="0"/>
              </a:rPr>
              <a:t>Panevėžio miesto plėtros  Strateginio plano priemonių vykdymas už 2016 metus </a:t>
            </a:r>
            <a:r>
              <a:rPr lang="lt-LT" sz="120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107</c:v>
                </c:pt>
                <c:pt idx="1">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Nedarbo lygis, proc.</c:v>
                </c:pt>
              </c:strCache>
            </c:strRef>
          </c:tx>
          <c:spPr>
            <a:ln w="28575" cap="rnd">
              <a:solidFill>
                <a:schemeClr val="accent1"/>
              </a:solidFill>
              <a:round/>
            </a:ln>
            <a:effectLst/>
          </c:spPr>
          <c:marker>
            <c:symbol val="none"/>
          </c:marker>
          <c:dLbls>
            <c:dLbl>
              <c:idx val="0"/>
              <c:layout>
                <c:manualLayout>
                  <c:x val="9.2592592592592587E-3"/>
                  <c:y val="-5.37634408602150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8402457757296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203703703703703E-2"/>
                  <c:y val="-4.608294930875577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148148148148147E-2"/>
                  <c:y val="3.84024577572964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7777777777777776E-2"/>
                  <c:y val="0.1152076756534465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19666812481773E-2"/>
                      <c:h val="0.1688559091403896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12.8</c:v>
                </c:pt>
                <c:pt idx="1">
                  <c:v>11.1</c:v>
                </c:pt>
                <c:pt idx="2">
                  <c:v>10.1</c:v>
                </c:pt>
                <c:pt idx="3">
                  <c:v>8.6</c:v>
                </c:pt>
                <c:pt idx="4">
                  <c:v>7.4</c:v>
                </c:pt>
              </c:numCache>
            </c:numRef>
          </c:val>
          <c:smooth val="0"/>
        </c:ser>
        <c:dLbls>
          <c:showLegendKey val="0"/>
          <c:showVal val="0"/>
          <c:showCatName val="0"/>
          <c:showSerName val="0"/>
          <c:showPercent val="0"/>
          <c:showBubbleSize val="0"/>
        </c:dLbls>
        <c:smooth val="0"/>
        <c:axId val="474609784"/>
        <c:axId val="474608608"/>
      </c:lineChart>
      <c:catAx>
        <c:axId val="47460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8608"/>
        <c:crosses val="autoZero"/>
        <c:auto val="1"/>
        <c:lblAlgn val="ctr"/>
        <c:lblOffset val="100"/>
        <c:noMultiLvlLbl val="0"/>
      </c:catAx>
      <c:valAx>
        <c:axId val="47460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9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Veikiantys ūkio subjektai</c:v>
                </c:pt>
              </c:strCache>
            </c:strRef>
          </c:tx>
          <c:spPr>
            <a:ln w="28575" cap="rnd">
              <a:solidFill>
                <a:schemeClr val="accent1"/>
              </a:solidFill>
              <a:round/>
            </a:ln>
            <a:effectLst/>
          </c:spPr>
          <c:marker>
            <c:symbol val="none"/>
          </c:marker>
          <c:dLbls>
            <c:dLbl>
              <c:idx val="1"/>
              <c:layout>
                <c:manualLayout>
                  <c:x val="-4.6296296296296719E-3"/>
                  <c:y val="2.47524752475247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833333333333419E-2"/>
                  <c:y val="-7.013233803695330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5.6111111111111112E-2"/>
                      <c:h val="0.14014058886203579"/>
                    </c:manualLayout>
                  </c15:layout>
                </c:ext>
              </c:extLst>
            </c:dLbl>
            <c:dLbl>
              <c:idx val="3"/>
              <c:layout>
                <c:manualLayout>
                  <c:x val="-1.6203703703703703E-2"/>
                  <c:y val="-2.475247524752475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441E-3"/>
                  <c:y val="-3.30033003300330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3191</c:v>
                </c:pt>
                <c:pt idx="1">
                  <c:v>3235</c:v>
                </c:pt>
                <c:pt idx="2">
                  <c:v>3323</c:v>
                </c:pt>
                <c:pt idx="3">
                  <c:v>3328</c:v>
                </c:pt>
                <c:pt idx="4">
                  <c:v>3495</c:v>
                </c:pt>
              </c:numCache>
            </c:numRef>
          </c:val>
          <c:smooth val="0"/>
        </c:ser>
        <c:dLbls>
          <c:showLegendKey val="0"/>
          <c:showVal val="0"/>
          <c:showCatName val="0"/>
          <c:showSerName val="0"/>
          <c:showPercent val="0"/>
          <c:showBubbleSize val="0"/>
        </c:dLbls>
        <c:smooth val="0"/>
        <c:axId val="474607824"/>
        <c:axId val="474603120"/>
      </c:lineChart>
      <c:catAx>
        <c:axId val="47460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3120"/>
        <c:crosses val="autoZero"/>
        <c:auto val="1"/>
        <c:lblAlgn val="ctr"/>
        <c:lblOffset val="100"/>
        <c:noMultiLvlLbl val="0"/>
      </c:catAx>
      <c:valAx>
        <c:axId val="47460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b="0" i="0" baseline="0">
                <a:effectLst/>
                <a:latin typeface="Times New Roman" panose="02020603050405020304" pitchFamily="18" charset="0"/>
                <a:cs typeface="Times New Roman" panose="02020603050405020304" pitchFamily="18" charset="0"/>
              </a:rPr>
              <a:t>11 diagrama. Strateginio plano II prioriteto priemonių vykdymas 2016 m.</a:t>
            </a:r>
            <a:endParaRPr lang="lt-LT" sz="11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layout>
        <c:manualLayout>
          <c:xMode val="edge"/>
          <c:yMode val="edge"/>
          <c:x val="0.1389859189412023"/>
          <c:y val="1.572327044025157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61</c:v>
                </c:pt>
                <c:pt idx="1">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06328375619739E-2"/>
          <c:y val="8.5158150851581502E-2"/>
          <c:w val="0.87683070866141732"/>
          <c:h val="0.65283828572523328"/>
        </c:manualLayout>
      </c:layout>
      <c:lineChart>
        <c:grouping val="standard"/>
        <c:varyColors val="0"/>
        <c:ser>
          <c:idx val="0"/>
          <c:order val="0"/>
          <c:tx>
            <c:strRef>
              <c:f>Lapas1!$B$1</c:f>
              <c:strCache>
                <c:ptCount val="1"/>
                <c:pt idx="0">
                  <c:v>Gyventojų registro tarnybos duomenys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107115</c:v>
                </c:pt>
                <c:pt idx="1">
                  <c:v>106187</c:v>
                </c:pt>
                <c:pt idx="2">
                  <c:v>105118</c:v>
                </c:pt>
                <c:pt idx="3">
                  <c:v>103536</c:v>
                </c:pt>
                <c:pt idx="4">
                  <c:v>101156</c:v>
                </c:pt>
              </c:numCache>
            </c:numRef>
          </c:val>
          <c:smooth val="0"/>
        </c:ser>
        <c:ser>
          <c:idx val="1"/>
          <c:order val="1"/>
          <c:tx>
            <c:strRef>
              <c:f>Lapas1!$C$1</c:f>
              <c:strCache>
                <c:ptCount val="1"/>
                <c:pt idx="0">
                  <c:v>Statistikos departamento duomenys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pt idx="0">
                  <c:v>97906</c:v>
                </c:pt>
                <c:pt idx="1">
                  <c:v>96836</c:v>
                </c:pt>
                <c:pt idx="2">
                  <c:v>95765</c:v>
                </c:pt>
                <c:pt idx="3">
                  <c:v>94400</c:v>
                </c:pt>
                <c:pt idx="4">
                  <c:v>92352</c:v>
                </c:pt>
              </c:numCache>
            </c:numRef>
          </c:val>
          <c:smooth val="0"/>
        </c:ser>
        <c:dLbls>
          <c:showLegendKey val="0"/>
          <c:showVal val="0"/>
          <c:showCatName val="0"/>
          <c:showSerName val="0"/>
          <c:showPercent val="0"/>
          <c:showBubbleSize val="0"/>
        </c:dLbls>
        <c:smooth val="0"/>
        <c:axId val="474605472"/>
        <c:axId val="474609000"/>
      </c:lineChart>
      <c:catAx>
        <c:axId val="47460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9000"/>
        <c:crosses val="autoZero"/>
        <c:auto val="1"/>
        <c:lblAlgn val="ctr"/>
        <c:lblOffset val="100"/>
        <c:noMultiLvlLbl val="0"/>
      </c:catAx>
      <c:valAx>
        <c:axId val="474609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34290.400000000001</c:v>
                </c:pt>
                <c:pt idx="1">
                  <c:v>33877.699999999997</c:v>
                </c:pt>
                <c:pt idx="2">
                  <c:v>33522.9</c:v>
                </c:pt>
                <c:pt idx="3">
                  <c:v>35591.1</c:v>
                </c:pt>
                <c:pt idx="4">
                  <c:v>38780.9</c:v>
                </c:pt>
              </c:numCache>
            </c:numRef>
          </c:val>
        </c:ser>
        <c:dLbls>
          <c:showLegendKey val="0"/>
          <c:showVal val="0"/>
          <c:showCatName val="0"/>
          <c:showSerName val="0"/>
          <c:showPercent val="0"/>
          <c:showBubbleSize val="0"/>
        </c:dLbls>
        <c:gapWidth val="219"/>
        <c:overlap val="-27"/>
        <c:axId val="478962104"/>
        <c:axId val="478960536"/>
      </c:barChart>
      <c:catAx>
        <c:axId val="478962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478960536"/>
        <c:crosses val="autoZero"/>
        <c:auto val="1"/>
        <c:lblAlgn val="ctr"/>
        <c:lblOffset val="100"/>
        <c:noMultiLvlLbl val="0"/>
      </c:catAx>
      <c:valAx>
        <c:axId val="478960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478962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a:effectLst/>
                <a:latin typeface="Times New Roman" panose="02020603050405020304" pitchFamily="18" charset="0"/>
                <a:cs typeface="Times New Roman" panose="02020603050405020304" pitchFamily="18" charset="0"/>
              </a:rPr>
              <a:t>14 diagrama. Ikimokyklinio ir priešmokyklinio ugdymo įstaigas lankančių vaikų ir bendrojo ugdymo įstaigas lankančių mokinių skaičius, vnt.</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Ikimokyklinio ir priešmokyklinio ugdymo įstaigas lankančių vaikų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4411</c:v>
                </c:pt>
                <c:pt idx="1">
                  <c:v>4439</c:v>
                </c:pt>
                <c:pt idx="2">
                  <c:v>4480</c:v>
                </c:pt>
                <c:pt idx="3">
                  <c:v>4442</c:v>
                </c:pt>
                <c:pt idx="4">
                  <c:v>4432</c:v>
                </c:pt>
              </c:numCache>
            </c:numRef>
          </c:val>
          <c:smooth val="0"/>
        </c:ser>
        <c:ser>
          <c:idx val="1"/>
          <c:order val="1"/>
          <c:tx>
            <c:strRef>
              <c:f>Lapas1!$C$1</c:f>
              <c:strCache>
                <c:ptCount val="1"/>
                <c:pt idx="0">
                  <c:v>Bendrojo ugdymo įstaigas lankančių mokinių skaičius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pt idx="0">
                  <c:v>13323</c:v>
                </c:pt>
                <c:pt idx="1">
                  <c:v>12586</c:v>
                </c:pt>
                <c:pt idx="2">
                  <c:v>11973</c:v>
                </c:pt>
                <c:pt idx="3">
                  <c:v>11490</c:v>
                </c:pt>
                <c:pt idx="4">
                  <c:v>11246</c:v>
                </c:pt>
              </c:numCache>
            </c:numRef>
          </c:val>
          <c:smooth val="0"/>
        </c:ser>
        <c:dLbls>
          <c:showLegendKey val="0"/>
          <c:showVal val="0"/>
          <c:showCatName val="0"/>
          <c:showSerName val="0"/>
          <c:showPercent val="0"/>
          <c:showBubbleSize val="0"/>
        </c:dLbls>
        <c:smooth val="0"/>
        <c:axId val="478955440"/>
        <c:axId val="478960928"/>
      </c:lineChart>
      <c:catAx>
        <c:axId val="47895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60928"/>
        <c:crosses val="autoZero"/>
        <c:auto val="1"/>
        <c:lblAlgn val="ctr"/>
        <c:lblOffset val="100"/>
        <c:noMultiLvlLbl val="0"/>
      </c:catAx>
      <c:valAx>
        <c:axId val="478960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5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50" b="0" i="0" u="none" strike="noStrike" baseline="0">
                <a:effectLst/>
                <a:latin typeface="Times New Roman" panose="02020603050405020304" pitchFamily="18" charset="0"/>
                <a:cs typeface="Times New Roman" panose="02020603050405020304" pitchFamily="18" charset="0"/>
              </a:rPr>
              <a:t>15 diagrama. Savivaldybės biudžeto išlaidos kultūrai, tūkst.Eur </a:t>
            </a:r>
            <a:endParaRPr lang="lt-LT" sz="105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Savivaldybės biudžeto išlaidos kultūrai, tūkst.Eur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2364.8000000000002</c:v>
                </c:pt>
                <c:pt idx="1">
                  <c:v>2338.6999999999998</c:v>
                </c:pt>
                <c:pt idx="2">
                  <c:v>2681.9</c:v>
                </c:pt>
                <c:pt idx="3">
                  <c:v>3147.7</c:v>
                </c:pt>
                <c:pt idx="4">
                  <c:v>3626.6</c:v>
                </c:pt>
              </c:numCache>
            </c:numRef>
          </c:val>
        </c:ser>
        <c:dLbls>
          <c:showLegendKey val="0"/>
          <c:showVal val="0"/>
          <c:showCatName val="0"/>
          <c:showSerName val="0"/>
          <c:showPercent val="0"/>
          <c:showBubbleSize val="0"/>
        </c:dLbls>
        <c:gapWidth val="219"/>
        <c:overlap val="-27"/>
        <c:axId val="478957792"/>
        <c:axId val="478959752"/>
      </c:barChart>
      <c:catAx>
        <c:axId val="47895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59752"/>
        <c:crosses val="autoZero"/>
        <c:auto val="1"/>
        <c:lblAlgn val="ctr"/>
        <c:lblOffset val="100"/>
        <c:noMultiLvlLbl val="0"/>
      </c:catAx>
      <c:valAx>
        <c:axId val="478959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5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0" i="0" u="none" strike="noStrike" baseline="0">
                <a:effectLst/>
                <a:latin typeface="Times New Roman" panose="02020603050405020304" pitchFamily="18" charset="0"/>
                <a:cs typeface="Times New Roman" panose="02020603050405020304" pitchFamily="18" charset="0"/>
              </a:rPr>
              <a:t>16 diagrama. Savivaldybės biudžeto išlaidos kūno kultūrai ir sportui, tūkst. Eur</a:t>
            </a:r>
            <a:endParaRPr lang="lt-LT" sz="105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4.9106882473024208E-2"/>
          <c:y val="2.1795713035870516E-2"/>
          <c:w val="0.91385608048993872"/>
          <c:h val="0.68990719910011244"/>
        </c:manualLayout>
      </c:layout>
      <c:barChart>
        <c:barDir val="col"/>
        <c:grouping val="clustered"/>
        <c:varyColors val="0"/>
        <c:ser>
          <c:idx val="0"/>
          <c:order val="0"/>
          <c:tx>
            <c:strRef>
              <c:f>Lapas1!$B$1</c:f>
              <c:strCache>
                <c:ptCount val="1"/>
                <c:pt idx="0">
                  <c:v>Savivaldybės biudžeto išlaidos kūno kultūrai ir sportui, tūkst.Eur</c:v>
                </c:pt>
              </c:strCache>
            </c:strRef>
          </c:tx>
          <c:spPr>
            <a:solidFill>
              <a:schemeClr val="accent1"/>
            </a:solidFill>
            <a:ln>
              <a:noFill/>
            </a:ln>
            <a:effectLst/>
          </c:spPr>
          <c:invertIfNegative val="0"/>
          <c:dLbls>
            <c:dLbl>
              <c:idx val="3"/>
              <c:layout>
                <c:manualLayout>
                  <c:x val="2.7777777777777776E-2"/>
                  <c:y val="3.075030750307501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3981481481481309E-2"/>
                  <c:y val="3.535373419231686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5.6111111111111112E-2"/>
                      <c:h val="8.5783027121609789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1796.2</c:v>
                </c:pt>
                <c:pt idx="1">
                  <c:v>1888</c:v>
                </c:pt>
                <c:pt idx="2">
                  <c:v>1952</c:v>
                </c:pt>
                <c:pt idx="3">
                  <c:v>2395.4</c:v>
                </c:pt>
                <c:pt idx="4">
                  <c:v>2600</c:v>
                </c:pt>
              </c:numCache>
            </c:numRef>
          </c:val>
        </c:ser>
        <c:dLbls>
          <c:showLegendKey val="0"/>
          <c:showVal val="0"/>
          <c:showCatName val="0"/>
          <c:showSerName val="0"/>
          <c:showPercent val="0"/>
          <c:showBubbleSize val="0"/>
        </c:dLbls>
        <c:gapWidth val="219"/>
        <c:overlap val="-27"/>
        <c:axId val="478958576"/>
        <c:axId val="478955048"/>
      </c:barChart>
      <c:catAx>
        <c:axId val="47895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55048"/>
        <c:crosses val="autoZero"/>
        <c:auto val="1"/>
        <c:lblAlgn val="ctr"/>
        <c:lblOffset val="100"/>
        <c:noMultiLvlLbl val="0"/>
      </c:catAx>
      <c:valAx>
        <c:axId val="478955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5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Socialinės pašalpos gavėjų skaičius, vnt.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8862</c:v>
                </c:pt>
                <c:pt idx="1">
                  <c:v>7452</c:v>
                </c:pt>
                <c:pt idx="2">
                  <c:v>5930</c:v>
                </c:pt>
                <c:pt idx="3">
                  <c:v>4950</c:v>
                </c:pt>
                <c:pt idx="4">
                  <c:v>4300</c:v>
                </c:pt>
              </c:numCache>
            </c:numRef>
          </c:val>
          <c:smooth val="0"/>
        </c:ser>
        <c:ser>
          <c:idx val="1"/>
          <c:order val="1"/>
          <c:tx>
            <c:strRef>
              <c:f>Lapas1!$C$1</c:f>
              <c:strCache>
                <c:ptCount val="1"/>
                <c:pt idx="0">
                  <c:v>Išlaidos socialinėms pašalpoms, tūkst.EUR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pt idx="0">
                  <c:v>6622.9</c:v>
                </c:pt>
                <c:pt idx="1">
                  <c:v>5601.1</c:v>
                </c:pt>
                <c:pt idx="2">
                  <c:v>4495.7</c:v>
                </c:pt>
                <c:pt idx="3">
                  <c:v>3064.9</c:v>
                </c:pt>
                <c:pt idx="4">
                  <c:v>2073.4</c:v>
                </c:pt>
              </c:numCache>
            </c:numRef>
          </c:val>
          <c:smooth val="0"/>
        </c:ser>
        <c:dLbls>
          <c:showLegendKey val="0"/>
          <c:showVal val="0"/>
          <c:showCatName val="0"/>
          <c:showSerName val="0"/>
          <c:showPercent val="0"/>
          <c:showBubbleSize val="0"/>
        </c:dLbls>
        <c:smooth val="0"/>
        <c:axId val="478957008"/>
        <c:axId val="478955832"/>
      </c:lineChart>
      <c:catAx>
        <c:axId val="47895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55832"/>
        <c:crosses val="autoZero"/>
        <c:auto val="1"/>
        <c:lblAlgn val="ctr"/>
        <c:lblOffset val="100"/>
        <c:noMultiLvlLbl val="0"/>
      </c:catAx>
      <c:valAx>
        <c:axId val="478955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57008"/>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19 diagrama. Panevėžio miesto plėtros strateginio plano III-io prioriteto priemonių vykdymas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28</c:v>
                </c:pt>
                <c:pt idx="1">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2 diagrama. Strateginiam planui įgyvendinti panaudotos lėšos per 2016 metus (tūkst.</a:t>
            </a:r>
            <a:r>
              <a:rPr lang="en-US" sz="1200" b="0" i="0" baseline="0">
                <a:effectLst/>
                <a:latin typeface="Times New Roman" panose="02020603050405020304" pitchFamily="18" charset="0"/>
                <a:cs typeface="Times New Roman" panose="02020603050405020304" pitchFamily="18" charset="0"/>
              </a:rPr>
              <a:t> </a:t>
            </a:r>
            <a:r>
              <a:rPr lang="lt-LT" sz="1200" b="0" i="0" baseline="0">
                <a:effectLst/>
                <a:latin typeface="Times New Roman" panose="02020603050405020304" pitchFamily="18" charset="0"/>
                <a:cs typeface="Times New Roman" panose="02020603050405020304" pitchFamily="18" charset="0"/>
              </a:rPr>
              <a:t>EUR)</a:t>
            </a:r>
            <a:endParaRPr lang="lt-LT" sz="1200" baseline="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lt-LT" sz="1200" baseline="0"/>
              <a:t>   </a:t>
            </a:r>
          </a:p>
        </c:rich>
      </c:tx>
      <c:layout>
        <c:manualLayout>
          <c:xMode val="edge"/>
          <c:yMode val="edge"/>
          <c:x val="8.3449074074074078E-2"/>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680956547098278E-2"/>
          <c:y val="0.26170634920634922"/>
          <c:w val="0.91385608048993872"/>
          <c:h val="0.61058211473565804"/>
        </c:manualLayout>
      </c:layout>
      <c:bar3DChart>
        <c:barDir val="col"/>
        <c:grouping val="clustered"/>
        <c:varyColors val="0"/>
        <c:ser>
          <c:idx val="0"/>
          <c:order val="0"/>
          <c:tx>
            <c:strRef>
              <c:f>Lapas1!$B$1</c:f>
              <c:strCache>
                <c:ptCount val="1"/>
                <c:pt idx="0">
                  <c:v>1 seka</c:v>
                </c:pt>
              </c:strCache>
            </c:strRef>
          </c:tx>
          <c:spPr>
            <a:solidFill>
              <a:schemeClr val="accent1"/>
            </a:solidFill>
            <a:ln>
              <a:noFill/>
            </a:ln>
            <a:effectLst/>
            <a:sp3d/>
          </c:spPr>
          <c:invertIfNegative val="0"/>
          <c:dLbls>
            <c:dLbl>
              <c:idx val="0"/>
              <c:layout>
                <c:manualLayout>
                  <c:x val="9.2592592592592587E-3"/>
                  <c:y val="-4.36507936507936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2592592592591737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761E-2"/>
                  <c:y val="-5.95238095238095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Savivaldybės lėšos</c:v>
                </c:pt>
                <c:pt idx="1">
                  <c:v>Nacionalinio biudžeto lėšos</c:v>
                </c:pt>
                <c:pt idx="2">
                  <c:v>ES struktūrinių fondų lėos</c:v>
                </c:pt>
                <c:pt idx="3">
                  <c:v>Privačios lėšos</c:v>
                </c:pt>
              </c:strCache>
            </c:strRef>
          </c:cat>
          <c:val>
            <c:numRef>
              <c:f>Lapas1!$B$2:$B$5</c:f>
              <c:numCache>
                <c:formatCode>General</c:formatCode>
                <c:ptCount val="4"/>
                <c:pt idx="0">
                  <c:v>5174.2</c:v>
                </c:pt>
                <c:pt idx="1">
                  <c:v>3775.8</c:v>
                </c:pt>
                <c:pt idx="2">
                  <c:v>2675</c:v>
                </c:pt>
                <c:pt idx="3">
                  <c:v>2314.1</c:v>
                </c:pt>
              </c:numCache>
            </c:numRef>
          </c:val>
        </c:ser>
        <c:dLbls>
          <c:showLegendKey val="0"/>
          <c:showVal val="0"/>
          <c:showCatName val="0"/>
          <c:showSerName val="0"/>
          <c:showPercent val="0"/>
          <c:showBubbleSize val="0"/>
        </c:dLbls>
        <c:gapWidth val="150"/>
        <c:shape val="box"/>
        <c:axId val="476403504"/>
        <c:axId val="476402328"/>
        <c:axId val="0"/>
      </c:bar3DChart>
      <c:catAx>
        <c:axId val="476403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6402328"/>
        <c:crosses val="autoZero"/>
        <c:auto val="1"/>
        <c:lblAlgn val="ctr"/>
        <c:lblOffset val="100"/>
        <c:noMultiLvlLbl val="0"/>
      </c:catAx>
      <c:valAx>
        <c:axId val="476402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6403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56215213358124E-2"/>
          <c:y val="0.12962962962962815"/>
          <c:w val="0.91094619666048748"/>
          <c:h val="0.64814814814815325"/>
        </c:manualLayout>
      </c:layout>
      <c:lineChart>
        <c:grouping val="standard"/>
        <c:varyColors val="0"/>
        <c:ser>
          <c:idx val="0"/>
          <c:order val="0"/>
          <c:tx>
            <c:strRef>
              <c:f>Sheet1!$A$2</c:f>
              <c:strCache>
                <c:ptCount val="1"/>
              </c:strCache>
            </c:strRef>
          </c:tx>
          <c:spPr>
            <a:ln w="1263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4420024420024554E-3"/>
                  <c:y val="5.426356589147287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8840048840048424E-3"/>
                  <c:y val="4.65116279069770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8840048840049013E-3"/>
                  <c:y val="6.976744186046553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8840048840049013E-3"/>
                  <c:y val="3.1007751937984489E-2"/>
                </c:manualLayout>
              </c:layout>
              <c:showLegendKey val="0"/>
              <c:showVal val="1"/>
              <c:showCatName val="0"/>
              <c:showSerName val="0"/>
              <c:showPercent val="0"/>
              <c:showBubbleSize val="0"/>
              <c:extLst>
                <c:ext xmlns:c15="http://schemas.microsoft.com/office/drawing/2012/chart" uri="{CE6537A1-D6FC-4f65-9D91-7224C49458BB}"/>
              </c:extLst>
            </c:dLbl>
            <c:spPr>
              <a:noFill/>
              <a:ln w="25261">
                <a:noFill/>
              </a:ln>
            </c:spPr>
            <c:txPr>
              <a:bodyPr/>
              <a:lstStyle/>
              <a:p>
                <a:pPr>
                  <a:defRPr sz="796"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2012</c:v>
                </c:pt>
                <c:pt idx="1">
                  <c:v>2013</c:v>
                </c:pt>
                <c:pt idx="2">
                  <c:v>2014</c:v>
                </c:pt>
                <c:pt idx="3">
                  <c:v>2015</c:v>
                </c:pt>
                <c:pt idx="4">
                  <c:v>2016</c:v>
                </c:pt>
              </c:numCache>
            </c:numRef>
          </c:cat>
          <c:val>
            <c:numRef>
              <c:f>Sheet1!$B$2:$F$2</c:f>
              <c:numCache>
                <c:formatCode>General</c:formatCode>
                <c:ptCount val="5"/>
                <c:pt idx="0">
                  <c:v>528</c:v>
                </c:pt>
                <c:pt idx="1">
                  <c:v>541</c:v>
                </c:pt>
                <c:pt idx="2">
                  <c:v>374</c:v>
                </c:pt>
                <c:pt idx="3">
                  <c:v>382</c:v>
                </c:pt>
                <c:pt idx="4">
                  <c:v>400</c:v>
                </c:pt>
              </c:numCache>
            </c:numRef>
          </c:val>
          <c:smooth val="0"/>
        </c:ser>
        <c:dLbls>
          <c:showLegendKey val="0"/>
          <c:showVal val="0"/>
          <c:showCatName val="0"/>
          <c:showSerName val="0"/>
          <c:showPercent val="0"/>
          <c:showBubbleSize val="0"/>
        </c:dLbls>
        <c:marker val="1"/>
        <c:smooth val="0"/>
        <c:axId val="478960144"/>
        <c:axId val="478961712"/>
      </c:lineChart>
      <c:catAx>
        <c:axId val="478960144"/>
        <c:scaling>
          <c:orientation val="minMax"/>
        </c:scaling>
        <c:delete val="0"/>
        <c:axPos val="b"/>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478961712"/>
        <c:crosses val="autoZero"/>
        <c:auto val="1"/>
        <c:lblAlgn val="ctr"/>
        <c:lblOffset val="100"/>
        <c:tickLblSkip val="1"/>
        <c:tickMarkSkip val="1"/>
        <c:noMultiLvlLbl val="0"/>
      </c:catAx>
      <c:valAx>
        <c:axId val="478961712"/>
        <c:scaling>
          <c:orientation val="minMax"/>
          <c:min val="0"/>
        </c:scaling>
        <c:delete val="0"/>
        <c:axPos val="l"/>
        <c:majorGridlines>
          <c:spPr>
            <a:ln w="3158">
              <a:solidFill>
                <a:srgbClr val="000000"/>
              </a:solidFill>
              <a:prstDash val="solid"/>
            </a:ln>
          </c:spPr>
        </c:majorGridlines>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478960144"/>
        <c:crosses val="autoZero"/>
        <c:crossBetween val="between"/>
        <c:majorUnit val="200"/>
      </c:valAx>
      <c:spPr>
        <a:solidFill>
          <a:srgbClr val="C0C0C0"/>
        </a:solidFill>
        <a:ln w="12630">
          <a:solidFill>
            <a:srgbClr val="808080"/>
          </a:solidFill>
          <a:prstDash val="solid"/>
        </a:ln>
      </c:spPr>
    </c:plotArea>
    <c:plotVisOnly val="1"/>
    <c:dispBlanksAs val="gap"/>
    <c:showDLblsOverMax val="0"/>
  </c:chart>
  <c:spPr>
    <a:noFill/>
    <a:ln>
      <a:noFill/>
    </a:ln>
  </c:spPr>
  <c:txPr>
    <a:bodyPr/>
    <a:lstStyle/>
    <a:p>
      <a:pPr>
        <a:defRPr sz="796" b="1" i="0" u="none" strike="noStrike" baseline="0">
          <a:solidFill>
            <a:srgbClr val="000000"/>
          </a:solidFill>
          <a:latin typeface="Arial"/>
          <a:ea typeface="Arial"/>
          <a:cs typeface="Arial"/>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21 diagrama. Gatvių su patobulinta danga ilgis ir bendras gatvių tankis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Kelių su patobulinta danga ilgis (km)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317.95</c:v>
                </c:pt>
                <c:pt idx="1">
                  <c:v>326.39999999999998</c:v>
                </c:pt>
                <c:pt idx="2">
                  <c:v>327.2</c:v>
                </c:pt>
                <c:pt idx="3">
                  <c:v>328.7</c:v>
                </c:pt>
                <c:pt idx="4">
                  <c:v>332.8</c:v>
                </c:pt>
              </c:numCache>
            </c:numRef>
          </c:val>
          <c:smooth val="0"/>
        </c:ser>
        <c:ser>
          <c:idx val="1"/>
          <c:order val="1"/>
          <c:tx>
            <c:strRef>
              <c:f>Lapas1!$C$1</c:f>
              <c:strCache>
                <c:ptCount val="1"/>
                <c:pt idx="0">
                  <c:v>Bendras gatvių tankis (km/kv.km)</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pt idx="0">
                  <c:v>6.35</c:v>
                </c:pt>
                <c:pt idx="1">
                  <c:v>6.51</c:v>
                </c:pt>
                <c:pt idx="2">
                  <c:v>5.53</c:v>
                </c:pt>
                <c:pt idx="3">
                  <c:v>6.56</c:v>
                </c:pt>
                <c:pt idx="4">
                  <c:v>6.64</c:v>
                </c:pt>
              </c:numCache>
            </c:numRef>
          </c:val>
          <c:smooth val="0"/>
        </c:ser>
        <c:dLbls>
          <c:dLblPos val="ctr"/>
          <c:showLegendKey val="0"/>
          <c:showVal val="1"/>
          <c:showCatName val="0"/>
          <c:showSerName val="0"/>
          <c:showPercent val="0"/>
          <c:showBubbleSize val="0"/>
        </c:dLbls>
        <c:smooth val="0"/>
        <c:axId val="478959360"/>
        <c:axId val="478964816"/>
      </c:lineChart>
      <c:catAx>
        <c:axId val="47895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64816"/>
        <c:crosses val="autoZero"/>
        <c:auto val="1"/>
        <c:lblAlgn val="ctr"/>
        <c:lblOffset val="100"/>
        <c:noMultiLvlLbl val="0"/>
      </c:catAx>
      <c:valAx>
        <c:axId val="47896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5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418E-2"/>
          <c:y val="5.518763796909492E-2"/>
          <c:w val="0.86792067658209393"/>
          <c:h val="0.60017381933218616"/>
        </c:manualLayout>
      </c:layout>
      <c:barChart>
        <c:barDir val="col"/>
        <c:grouping val="clustered"/>
        <c:varyColors val="0"/>
        <c:ser>
          <c:idx val="1"/>
          <c:order val="1"/>
          <c:tx>
            <c:strRef>
              <c:f>Lapas1!$C$1</c:f>
              <c:strCache>
                <c:ptCount val="1"/>
                <c:pt idx="0">
                  <c:v>Vidutinis autobusų parko autobuso amžius, gamybos metai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pt idx="0">
                  <c:v>1995</c:v>
                </c:pt>
                <c:pt idx="1">
                  <c:v>1996</c:v>
                </c:pt>
                <c:pt idx="2">
                  <c:v>1999</c:v>
                </c:pt>
                <c:pt idx="3">
                  <c:v>2000</c:v>
                </c:pt>
                <c:pt idx="4">
                  <c:v>2000</c:v>
                </c:pt>
              </c:numCache>
            </c:numRef>
          </c:val>
        </c:ser>
        <c:dLbls>
          <c:showLegendKey val="0"/>
          <c:showVal val="0"/>
          <c:showCatName val="0"/>
          <c:showSerName val="0"/>
          <c:showPercent val="0"/>
          <c:showBubbleSize val="0"/>
        </c:dLbls>
        <c:gapWidth val="219"/>
        <c:axId val="478967168"/>
        <c:axId val="478968736"/>
      </c:barChart>
      <c:lineChart>
        <c:grouping val="standard"/>
        <c:varyColors val="0"/>
        <c:ser>
          <c:idx val="0"/>
          <c:order val="0"/>
          <c:tx>
            <c:strRef>
              <c:f>Lapas1!$B$1</c:f>
              <c:strCache>
                <c:ptCount val="1"/>
                <c:pt idx="0">
                  <c:v>Miesto viešojo transporto maršrutų skaičius </c:v>
                </c:pt>
              </c:strCache>
            </c:strRef>
          </c:tx>
          <c:spPr>
            <a:ln w="28575" cap="rnd">
              <a:solidFill>
                <a:schemeClr val="accent1"/>
              </a:solidFill>
              <a:round/>
            </a:ln>
            <a:effectLst/>
          </c:spPr>
          <c:marker>
            <c:symbol val="none"/>
          </c:marker>
          <c:dLbls>
            <c:dLbl>
              <c:idx val="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16</c:v>
                </c:pt>
                <c:pt idx="1">
                  <c:v>16</c:v>
                </c:pt>
                <c:pt idx="2">
                  <c:v>17</c:v>
                </c:pt>
                <c:pt idx="3">
                  <c:v>19</c:v>
                </c:pt>
                <c:pt idx="4">
                  <c:v>19</c:v>
                </c:pt>
              </c:numCache>
            </c:numRef>
          </c:val>
          <c:smooth val="0"/>
        </c:ser>
        <c:dLbls>
          <c:showLegendKey val="0"/>
          <c:showVal val="0"/>
          <c:showCatName val="0"/>
          <c:showSerName val="0"/>
          <c:showPercent val="0"/>
          <c:showBubbleSize val="0"/>
        </c:dLbls>
        <c:marker val="1"/>
        <c:smooth val="0"/>
        <c:axId val="478969128"/>
        <c:axId val="478966384"/>
      </c:lineChart>
      <c:catAx>
        <c:axId val="47896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66384"/>
        <c:crosses val="autoZero"/>
        <c:auto val="1"/>
        <c:lblAlgn val="ctr"/>
        <c:lblOffset val="100"/>
        <c:noMultiLvlLbl val="0"/>
      </c:catAx>
      <c:valAx>
        <c:axId val="478966384"/>
        <c:scaling>
          <c:orientation val="minMax"/>
          <c:max val="4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69128"/>
        <c:crosses val="autoZero"/>
        <c:crossBetween val="between"/>
      </c:valAx>
      <c:valAx>
        <c:axId val="478968736"/>
        <c:scaling>
          <c:orientation val="minMax"/>
          <c:max val="200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967168"/>
        <c:crosses val="max"/>
        <c:crossBetween val="between"/>
      </c:valAx>
      <c:catAx>
        <c:axId val="478967168"/>
        <c:scaling>
          <c:orientation val="minMax"/>
        </c:scaling>
        <c:delete val="1"/>
        <c:axPos val="b"/>
        <c:numFmt formatCode="General" sourceLinked="1"/>
        <c:majorTickMark val="out"/>
        <c:minorTickMark val="none"/>
        <c:tickLblPos val="nextTo"/>
        <c:crossAx val="4789687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3 diagrama. </a:t>
            </a:r>
            <a:r>
              <a:rPr lang="lt-LT" sz="1200" b="0" i="0" baseline="0">
                <a:effectLst/>
                <a:latin typeface="Times New Roman" panose="02020603050405020304" pitchFamily="18" charset="0"/>
                <a:cs typeface="Times New Roman" panose="02020603050405020304" pitchFamily="18" charset="0"/>
              </a:rPr>
              <a:t>Strateginio plano lėšų pasiskirstymas pagal prioritetus (tūkst. EUR)</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lt-LT">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stacked"/>
        <c:varyColors val="0"/>
        <c:ser>
          <c:idx val="0"/>
          <c:order val="0"/>
          <c:tx>
            <c:strRef>
              <c:f>Lapas1!$B$1</c:f>
              <c:strCache>
                <c:ptCount val="1"/>
                <c:pt idx="0">
                  <c:v>1 seka</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I prioritetas</c:v>
                </c:pt>
                <c:pt idx="1">
                  <c:v>II prioritetas</c:v>
                </c:pt>
                <c:pt idx="2">
                  <c:v>III prioritetas</c:v>
                </c:pt>
              </c:strCache>
            </c:strRef>
          </c:cat>
          <c:val>
            <c:numRef>
              <c:f>Lapas1!$B$2:$B$5</c:f>
              <c:numCache>
                <c:formatCode>General</c:formatCode>
                <c:ptCount val="4"/>
                <c:pt idx="0">
                  <c:v>2012.2</c:v>
                </c:pt>
                <c:pt idx="1">
                  <c:v>7274</c:v>
                </c:pt>
                <c:pt idx="2">
                  <c:v>4879.3</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Lapas1!$A$2:$A$5</c:f>
              <c:strCache>
                <c:ptCount val="3"/>
                <c:pt idx="0">
                  <c:v>I prioritetas</c:v>
                </c:pt>
                <c:pt idx="1">
                  <c:v>II prioritetas</c:v>
                </c:pt>
                <c:pt idx="2">
                  <c:v>III prioritetas</c:v>
                </c:pt>
              </c:strCache>
            </c:strRef>
          </c:cat>
          <c:val>
            <c:numRef>
              <c:f>Lapas1!$C$2:$C$5</c:f>
              <c:numCache>
                <c:formatCode>General</c:formatCode>
                <c:ptCount val="4"/>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Lapas1!$A$2:$A$5</c:f>
              <c:strCache>
                <c:ptCount val="3"/>
                <c:pt idx="0">
                  <c:v>I prioritetas</c:v>
                </c:pt>
                <c:pt idx="1">
                  <c:v>II prioritetas</c:v>
                </c:pt>
                <c:pt idx="2">
                  <c:v>III prioritetas</c:v>
                </c:pt>
              </c:strCache>
            </c:strRef>
          </c:cat>
          <c:val>
            <c:numRef>
              <c:f>Lapas1!$D$2:$D$5</c:f>
              <c:numCache>
                <c:formatCode>General</c:formatCode>
                <c:ptCount val="4"/>
              </c:numCache>
            </c:numRef>
          </c:val>
        </c:ser>
        <c:dLbls>
          <c:showLegendKey val="0"/>
          <c:showVal val="0"/>
          <c:showCatName val="0"/>
          <c:showSerName val="0"/>
          <c:showPercent val="0"/>
          <c:showBubbleSize val="0"/>
        </c:dLbls>
        <c:gapWidth val="219"/>
        <c:overlap val="100"/>
        <c:axId val="475052824"/>
        <c:axId val="475053216"/>
      </c:barChart>
      <c:catAx>
        <c:axId val="475052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053216"/>
        <c:crosses val="autoZero"/>
        <c:auto val="1"/>
        <c:lblAlgn val="ctr"/>
        <c:lblOffset val="100"/>
        <c:noMultiLvlLbl val="0"/>
      </c:catAx>
      <c:valAx>
        <c:axId val="47505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052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4 diagrama. Strateginio plano I prioriteto priemonių vykdymas 2016 m.</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18</c:v>
                </c:pt>
                <c:pt idx="1">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a:latin typeface="Times New Roman" panose="02020603050405020304" pitchFamily="18" charset="0"/>
                <a:cs typeface="Times New Roman" panose="02020603050405020304" pitchFamily="18" charset="0"/>
              </a:rPr>
              <a:t>5 diagrama. </a:t>
            </a:r>
            <a:r>
              <a:rPr lang="lt-LT" sz="1200">
                <a:effectLst/>
                <a:latin typeface="Times New Roman" panose="02020603050405020304" pitchFamily="18" charset="0"/>
                <a:cs typeface="Times New Roman" panose="02020603050405020304" pitchFamily="18" charset="0"/>
              </a:rPr>
              <a:t>Bendrasis vidaus produktas, tenkantis 1-am gyventojui Panevėžio apskrityje (tūkst.EUR)</a:t>
            </a:r>
            <a:endParaRPr lang="lt-LT"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LR 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4">
                  <c:v>18.7</c:v>
                </c:pt>
              </c:numCache>
            </c:numRef>
          </c:val>
        </c:ser>
        <c:ser>
          <c:idx val="1"/>
          <c:order val="1"/>
          <c:tx>
            <c:strRef>
              <c:f>Lapas1!$C$1</c:f>
              <c:strCache>
                <c:ptCount val="1"/>
                <c:pt idx="0">
                  <c:v>Panevėžio apskr.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Lapas1!$C$2:$C$6</c:f>
              <c:numCache>
                <c:formatCode>General</c:formatCode>
                <c:ptCount val="5"/>
                <c:pt idx="0">
                  <c:v>7.7</c:v>
                </c:pt>
                <c:pt idx="1">
                  <c:v>8.4</c:v>
                </c:pt>
                <c:pt idx="2">
                  <c:v>8.8000000000000007</c:v>
                </c:pt>
                <c:pt idx="3">
                  <c:v>9.3000000000000007</c:v>
                </c:pt>
                <c:pt idx="4">
                  <c:v>9.6999999999999993</c:v>
                </c:pt>
              </c:numCache>
            </c:numRef>
          </c:val>
        </c:ser>
        <c:dLbls>
          <c:showLegendKey val="0"/>
          <c:showVal val="0"/>
          <c:showCatName val="0"/>
          <c:showSerName val="0"/>
          <c:showPercent val="0"/>
          <c:showBubbleSize val="0"/>
        </c:dLbls>
        <c:gapWidth val="219"/>
        <c:overlap val="-27"/>
        <c:axId val="475050080"/>
        <c:axId val="475050472"/>
      </c:barChart>
      <c:catAx>
        <c:axId val="47505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050472"/>
        <c:crosses val="autoZero"/>
        <c:auto val="1"/>
        <c:lblAlgn val="ctr"/>
        <c:lblOffset val="100"/>
        <c:noMultiLvlLbl val="0"/>
      </c:catAx>
      <c:valAx>
        <c:axId val="475050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050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LR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3672</c:v>
                </c:pt>
                <c:pt idx="1">
                  <c:v>4072</c:v>
                </c:pt>
                <c:pt idx="2">
                  <c:v>4321</c:v>
                </c:pt>
                <c:pt idx="3">
                  <c:v>4404</c:v>
                </c:pt>
                <c:pt idx="4">
                  <c:v>4673</c:v>
                </c:pt>
              </c:numCache>
            </c:numRef>
          </c:val>
        </c:ser>
        <c:ser>
          <c:idx val="1"/>
          <c:order val="1"/>
          <c:tx>
            <c:strRef>
              <c:f>Lapas1!$C$1</c:f>
              <c:strCache>
                <c:ptCount val="1"/>
                <c:pt idx="0">
                  <c:v>Panevėžio miestas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Lapas1!$C$2:$C$6</c:f>
              <c:numCache>
                <c:formatCode>General</c:formatCode>
                <c:ptCount val="5"/>
                <c:pt idx="0">
                  <c:v>1908</c:v>
                </c:pt>
                <c:pt idx="1">
                  <c:v>2282</c:v>
                </c:pt>
                <c:pt idx="2">
                  <c:v>2554</c:v>
                </c:pt>
                <c:pt idx="3">
                  <c:v>2486</c:v>
                </c:pt>
                <c:pt idx="4">
                  <c:v>2614</c:v>
                </c:pt>
              </c:numCache>
            </c:numRef>
          </c:val>
        </c:ser>
        <c:dLbls>
          <c:showLegendKey val="0"/>
          <c:showVal val="0"/>
          <c:showCatName val="0"/>
          <c:showSerName val="0"/>
          <c:showPercent val="0"/>
          <c:showBubbleSize val="0"/>
        </c:dLbls>
        <c:gapWidth val="219"/>
        <c:overlap val="-27"/>
        <c:axId val="475051648"/>
        <c:axId val="475052040"/>
      </c:barChart>
      <c:catAx>
        <c:axId val="47505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052040"/>
        <c:crosses val="autoZero"/>
        <c:auto val="1"/>
        <c:lblAlgn val="ctr"/>
        <c:lblOffset val="100"/>
        <c:noMultiLvlLbl val="0"/>
      </c:catAx>
      <c:valAx>
        <c:axId val="475052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05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187.4</c:v>
                </c:pt>
                <c:pt idx="1">
                  <c:v>220.5</c:v>
                </c:pt>
                <c:pt idx="2">
                  <c:v>246.1</c:v>
                </c:pt>
                <c:pt idx="3">
                  <c:v>236.6</c:v>
                </c:pt>
                <c:pt idx="4">
                  <c:v>244.6</c:v>
                </c:pt>
              </c:numCache>
            </c:numRef>
          </c:val>
        </c:ser>
        <c:dLbls>
          <c:showLegendKey val="0"/>
          <c:showVal val="0"/>
          <c:showCatName val="0"/>
          <c:showSerName val="0"/>
          <c:showPercent val="0"/>
          <c:showBubbleSize val="0"/>
        </c:dLbls>
        <c:gapWidth val="219"/>
        <c:overlap val="-27"/>
        <c:axId val="474604296"/>
        <c:axId val="474603904"/>
      </c:barChart>
      <c:catAx>
        <c:axId val="47460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3904"/>
        <c:crosses val="autoZero"/>
        <c:auto val="1"/>
        <c:lblAlgn val="ctr"/>
        <c:lblOffset val="100"/>
        <c:noMultiLvlLbl val="0"/>
      </c:catAx>
      <c:valAx>
        <c:axId val="47460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4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lt-LT" sz="1100">
                <a:effectLst/>
                <a:latin typeface="Times New Roman" panose="02020603050405020304" pitchFamily="18" charset="0"/>
                <a:cs typeface="Times New Roman" panose="02020603050405020304" pitchFamily="18" charset="0"/>
              </a:rPr>
              <a:t>8 diagrama. Šalys investuotojos į Panevėžio apskritį 2015 metai (mln. EUR)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Danija</c:v>
                </c:pt>
                <c:pt idx="1">
                  <c:v>Prancūzija</c:v>
                </c:pt>
                <c:pt idx="2">
                  <c:v>Šveicarija</c:v>
                </c:pt>
                <c:pt idx="3">
                  <c:v>Estija</c:v>
                </c:pt>
                <c:pt idx="4">
                  <c:v>Suomija</c:v>
                </c:pt>
                <c:pt idx="5">
                  <c:v>Norvegija</c:v>
                </c:pt>
                <c:pt idx="6">
                  <c:v>Vokietija</c:v>
                </c:pt>
                <c:pt idx="7">
                  <c:v>Švedija</c:v>
                </c:pt>
              </c:strCache>
            </c:strRef>
          </c:cat>
          <c:val>
            <c:numRef>
              <c:f>Lapas1!$B$2:$B$9</c:f>
              <c:numCache>
                <c:formatCode>General</c:formatCode>
                <c:ptCount val="8"/>
                <c:pt idx="0">
                  <c:v>93.33</c:v>
                </c:pt>
                <c:pt idx="1">
                  <c:v>42.36</c:v>
                </c:pt>
                <c:pt idx="2">
                  <c:v>40.33</c:v>
                </c:pt>
                <c:pt idx="3">
                  <c:v>24.96</c:v>
                </c:pt>
                <c:pt idx="4">
                  <c:v>24.7</c:v>
                </c:pt>
                <c:pt idx="5">
                  <c:v>24.63</c:v>
                </c:pt>
                <c:pt idx="6">
                  <c:v>16.8</c:v>
                </c:pt>
                <c:pt idx="7">
                  <c:v>15.37</c:v>
                </c:pt>
              </c:numCache>
            </c:numRef>
          </c:val>
        </c:ser>
        <c:dLbls>
          <c:showLegendKey val="0"/>
          <c:showVal val="0"/>
          <c:showCatName val="0"/>
          <c:showSerName val="0"/>
          <c:showPercent val="0"/>
          <c:showBubbleSize val="0"/>
        </c:dLbls>
        <c:gapWidth val="219"/>
        <c:overlap val="-27"/>
        <c:axId val="474608216"/>
        <c:axId val="474609392"/>
      </c:barChart>
      <c:catAx>
        <c:axId val="474608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9392"/>
        <c:crosses val="autoZero"/>
        <c:auto val="1"/>
        <c:lblAlgn val="ctr"/>
        <c:lblOffset val="100"/>
        <c:noMultiLvlLbl val="0"/>
      </c:catAx>
      <c:valAx>
        <c:axId val="47460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8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84106153397496E-2"/>
          <c:y val="8.4848484848484854E-2"/>
          <c:w val="0.90849737532808394"/>
          <c:h val="0.6541006919589597"/>
        </c:manualLayout>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119.18</c:v>
                </c:pt>
                <c:pt idx="1">
                  <c:v>145.86000000000001</c:v>
                </c:pt>
                <c:pt idx="2">
                  <c:v>181.27</c:v>
                </c:pt>
                <c:pt idx="3">
                  <c:v>135.58000000000001</c:v>
                </c:pt>
                <c:pt idx="4">
                  <c:v>123.14</c:v>
                </c:pt>
              </c:numCache>
            </c:numRef>
          </c:val>
        </c:ser>
        <c:dLbls>
          <c:showLegendKey val="0"/>
          <c:showVal val="0"/>
          <c:showCatName val="0"/>
          <c:showSerName val="0"/>
          <c:showPercent val="0"/>
          <c:showBubbleSize val="0"/>
        </c:dLbls>
        <c:gapWidth val="219"/>
        <c:overlap val="-27"/>
        <c:axId val="474606648"/>
        <c:axId val="474605080"/>
      </c:barChart>
      <c:catAx>
        <c:axId val="474606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5080"/>
        <c:crosses val="autoZero"/>
        <c:auto val="1"/>
        <c:lblAlgn val="ctr"/>
        <c:lblOffset val="100"/>
        <c:noMultiLvlLbl val="0"/>
      </c:catAx>
      <c:valAx>
        <c:axId val="474605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4606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002B7-9C8C-47FC-B1FF-0204AA71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11</Pages>
  <Words>10696</Words>
  <Characters>6097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Analizės pateikimo struktūra</vt:lpstr>
      <vt:lpstr>Analizės pateikimo struktūra</vt:lpstr>
    </vt:vector>
  </TitlesOfParts>
  <Company>Home</Company>
  <LinksUpToDate>false</LinksUpToDate>
  <CharactersWithSpaces>16760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Analizės pateikimo struktūra</dc:title>
  <dc:subject/>
  <dc:creator>Asta1</dc:creator>
  <cp:keywords/>
  <dc:description/>
  <cp:lastModifiedBy>Asta Puodžiūnienė</cp:lastModifiedBy>
  <cp:revision>51</cp:revision>
  <cp:lastPrinted>2017-08-10T07:38:00Z</cp:lastPrinted>
  <dcterms:created xsi:type="dcterms:W3CDTF">2017-08-08T08:55:00Z</dcterms:created>
  <dcterms:modified xsi:type="dcterms:W3CDTF">2017-09-07T11:16:00Z</dcterms:modified>
</cp:coreProperties>
</file>