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7DAC9FBA" w14:textId="01BC7DBC" w:rsidR="009B6303" w:rsidRPr="00F17F63" w:rsidRDefault="009B6303" w:rsidP="009B6303">
      <w:pPr>
        <w:pStyle w:val="Pagrindinistekstas3"/>
        <w:rPr>
          <w:bCs/>
          <w:szCs w:val="24"/>
        </w:rPr>
      </w:pPr>
      <w:r w:rsidRPr="00F17F63">
        <w:rPr>
          <w:bCs/>
        </w:rPr>
        <w:t xml:space="preserve">DĖL PRITARIMO </w:t>
      </w:r>
      <w:r w:rsidR="00E6427C" w:rsidRPr="00F17F63">
        <w:rPr>
          <w:bCs/>
          <w:szCs w:val="24"/>
        </w:rPr>
        <w:t xml:space="preserve">PROJEKTO </w:t>
      </w:r>
      <w:r w:rsidR="00E6427C">
        <w:rPr>
          <w:bCs/>
          <w:szCs w:val="24"/>
        </w:rPr>
        <w:t>„</w:t>
      </w:r>
      <w:r w:rsidR="00E6427C" w:rsidRPr="00AA497F">
        <w:t>TERITORIJOS PRIE „EKRANO“ MARIŲ KONVERSIJA, PRITAIKANT JĄ AKTYVIAM POILSIUI, UŽIMTUMUI IR VIETOS VERSLO SKATINIMUI</w:t>
      </w:r>
      <w:r w:rsidR="00E6427C">
        <w:rPr>
          <w:sz w:val="22"/>
        </w:rPr>
        <w:t>“</w:t>
      </w:r>
      <w:r w:rsidR="00E6427C" w:rsidRPr="00F17F63">
        <w:rPr>
          <w:sz w:val="22"/>
        </w:rPr>
        <w:t xml:space="preserve"> </w:t>
      </w:r>
      <w:r w:rsidR="00E6427C">
        <w:rPr>
          <w:sz w:val="22"/>
        </w:rPr>
        <w:t xml:space="preserve">ĮGYVENDINIMUI </w:t>
      </w:r>
      <w:r>
        <w:rPr>
          <w:sz w:val="22"/>
        </w:rPr>
        <w:t xml:space="preserve">IR </w:t>
      </w:r>
      <w:r w:rsidRPr="00F17F63">
        <w:rPr>
          <w:bCs/>
          <w:szCs w:val="24"/>
        </w:rPr>
        <w:t xml:space="preserve">TEIKIMUI EUROPOS SĄJUNGOS FONDŲ INVESTICIJOMS GAUTI IR </w:t>
      </w:r>
      <w:r w:rsidRPr="00F17F63">
        <w:rPr>
          <w:szCs w:val="24"/>
        </w:rPr>
        <w:t xml:space="preserve">PROJEKTO DALINIO FINANSAVIMO </w:t>
      </w:r>
    </w:p>
    <w:p w14:paraId="6DFF6734" w14:textId="77777777" w:rsidR="00B0596B" w:rsidRPr="00CC063E" w:rsidRDefault="00B0596B" w:rsidP="00156131">
      <w:pPr>
        <w:pStyle w:val="Pagrindinistekstas3"/>
        <w:rPr>
          <w:bCs/>
          <w:szCs w:val="24"/>
        </w:rPr>
      </w:pPr>
    </w:p>
    <w:p w14:paraId="7A2729CD" w14:textId="12477D40" w:rsidR="00CE4261" w:rsidRPr="007D7B8A" w:rsidRDefault="00F8746D" w:rsidP="00156131">
      <w:pPr>
        <w:tabs>
          <w:tab w:val="left" w:pos="0"/>
        </w:tabs>
        <w:jc w:val="center"/>
      </w:pPr>
      <w:r>
        <w:t>201</w:t>
      </w:r>
      <w:r w:rsidR="00E6427C">
        <w:t>7</w:t>
      </w:r>
      <w:r w:rsidR="009B6303">
        <w:t xml:space="preserve"> m. </w:t>
      </w:r>
      <w:r w:rsidR="00E6427C">
        <w:t>kovo</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0303F6AE" w14:textId="0BB0328B" w:rsidR="00E07856" w:rsidRDefault="00C9221F" w:rsidP="00B80086">
      <w:pPr>
        <w:tabs>
          <w:tab w:val="left" w:pos="0"/>
        </w:tabs>
        <w:spacing w:line="360" w:lineRule="auto"/>
        <w:ind w:firstLine="851"/>
        <w:jc w:val="both"/>
      </w:pPr>
      <w:r w:rsidRPr="00961777">
        <w:t>Panevėžio miesto gamtiniai ištekliai yra riboti, todėl</w:t>
      </w:r>
      <w:r>
        <w:t xml:space="preserve"> b</w:t>
      </w:r>
      <w:r w:rsidR="00E6133F" w:rsidRPr="00212E9C">
        <w:t xml:space="preserve">endrajame miesto plane Nevėžio upė, jo pakrantės ir „Ekrano” </w:t>
      </w:r>
      <w:r w:rsidR="00E6133F" w:rsidRPr="003B6015">
        <w:t xml:space="preserve">gamyklos tvenkinys (dar vadinamas Ekrano mariomis), esantis rytiniame miesto pakraštyje, yra įvardytos kaip didžiausią rekreacinį potencialą turinti teritorija. </w:t>
      </w:r>
      <w:r w:rsidR="00E6133F" w:rsidRPr="00D6574E">
        <w:t xml:space="preserve">Tačiau esama viešoji infrastruktūra yra nepatraukli </w:t>
      </w:r>
      <w:r w:rsidR="00E6133F" w:rsidRPr="00A07A61">
        <w:t>ir nepakankamai išplėtota</w:t>
      </w:r>
      <w:r w:rsidR="00E6133F" w:rsidRPr="00D6574E">
        <w:t xml:space="preserve"> bendruomenės veiklai, poilsiui ir laisvalaikio praleidimui, nesudaro prielaidų gyventojams didinti socialinį ekonominį aktyvumą ir </w:t>
      </w:r>
      <w:r w:rsidR="00E6133F">
        <w:t xml:space="preserve">verslo </w:t>
      </w:r>
      <w:r w:rsidR="00E6133F" w:rsidRPr="00D6574E">
        <w:t>paslaugų sektoriaus kūrimui, plėtrai</w:t>
      </w:r>
      <w:r w:rsidR="00E6133F">
        <w:t>.</w:t>
      </w:r>
    </w:p>
    <w:p w14:paraId="0FED459D" w14:textId="7880BFD8" w:rsidR="00E07856" w:rsidRDefault="00E07856" w:rsidP="00E07856">
      <w:pPr>
        <w:tabs>
          <w:tab w:val="left" w:pos="0"/>
        </w:tabs>
        <w:spacing w:line="360" w:lineRule="auto"/>
        <w:ind w:firstLine="851"/>
        <w:jc w:val="both"/>
      </w:pPr>
      <w:r>
        <w:t xml:space="preserve">Dar 2007 metais Tarybos sprendimu patvirtintos </w:t>
      </w:r>
      <w:r>
        <w:rPr>
          <w:color w:val="000000"/>
          <w:shd w:val="clear" w:color="auto" w:fill="FFFFFF"/>
        </w:rPr>
        <w:t>Nevėžio upės rekreacijos Panevėžio miesto ribose schemos (specialaus plano) aiškinamajame rašte nurodyta, kad „r</w:t>
      </w:r>
      <w:r>
        <w:t>emiantis atliktais turistų srautų tyrimais, įvertinus gamtinius, kultūrinius, pramoginius išteklius Panevėžio mieste ir apylinkėse, rengėjai siūlo vienu pagrindinių prioritetų laikyti Nevėžio upės ir rekreacinių zonų pritaikymą rekreacijai ir turizmui, orientuotiems į vietinius gyventojus ir kitais (ne turizmo) tikslais į miestą atvykusius lankytojus“. 20</w:t>
      </w:r>
      <w:r w:rsidR="00FD4F97">
        <w:t>16</w:t>
      </w:r>
      <w:r>
        <w:t xml:space="preserve"> metais patvirtintame miesto bendrajame plane</w:t>
      </w:r>
      <w:r w:rsidR="009A6C31">
        <w:t xml:space="preserve"> </w:t>
      </w:r>
      <w:r>
        <w:t xml:space="preserve"> akcentuojama, kad „Panevėžio miesto gamtiniai ištekliai yra riboti, todėl Nevėžis, jo pakrantės ir “Ekrano” gamyklos tvenkinys yra didžiausią rekreacinį potencialą turinčios teritorijos. Čia numatoma ir tolesnė intensyvi jų plėtra. Vis tik Nevėžio pakrantės yra nepakankamai integruotos į miesto struktūrą ir per silpnai išnaudojamos rekreacijos tikslais. Esamose, funkcionuojančiose rekreacinėse teritorijose trūksta infrastruktūros. Plėtojant Panevėžio miesto poilsio zonas, siūloma kurti </w:t>
      </w:r>
      <w:r w:rsidR="009013ED">
        <w:t>rekreacinės</w:t>
      </w:r>
      <w:r>
        <w:t xml:space="preserve"> traukos centrus su juos aptarnaujančia infrastruktūra, įrengti pliažus, maudykles. </w:t>
      </w:r>
      <w:r w:rsidR="009013ED">
        <w:t>&lt;...&gt;</w:t>
      </w:r>
      <w:r>
        <w:t xml:space="preserve"> Skatinant vandens turizmą, abiejose Nevėžio pakrantėse būtų galima įrengti baidarių prieplaukas“.</w:t>
      </w:r>
    </w:p>
    <w:p w14:paraId="49D2E630" w14:textId="78600D44" w:rsidR="009A6C31" w:rsidRDefault="00FD4F97" w:rsidP="00B80086">
      <w:pPr>
        <w:tabs>
          <w:tab w:val="left" w:pos="0"/>
        </w:tabs>
        <w:spacing w:line="360" w:lineRule="auto"/>
        <w:ind w:firstLine="851"/>
        <w:jc w:val="both"/>
      </w:pPr>
      <w:r>
        <w:rPr>
          <w:lang w:val="pt-BR"/>
        </w:rPr>
        <w:t xml:space="preserve">2016 metais Administracijos direktoriaus sudaryta darbo grupė </w:t>
      </w:r>
      <w:r>
        <w:t xml:space="preserve">2014–2020 metų Europos Sąjungos fondų investicijų veiksmų programos 7 prioriteto „Kokybiško užimtumo ir dalyvavimo darbo rinkoje skatinimas“ Nr. 07.1.1-CPVA-R-904 priemonės „Didžiųjų miestų kompleksinė plėtra“ Panevėžio miesto savivaldybės administracijos planuojamų teikti kompleksinių projektų riboms nustatyti nagrinėjo esamą situaciją ir 2016 m. balandžio 28 d. Panevėžio miesto savivaldybės administracijos direktoriaus įsakymu patvirtino projekto </w:t>
      </w:r>
      <w:r w:rsidRPr="0071318F">
        <w:t>„</w:t>
      </w:r>
      <w:r w:rsidRPr="00961777">
        <w:t>Teritorijos prie „Ekrano“ marių konversija, pritaikant ją aktyviam poilsiui, užimtumui ir vietos verslo skatinimui</w:t>
      </w:r>
      <w:r w:rsidRPr="0071318F">
        <w:t>“</w:t>
      </w:r>
      <w:r>
        <w:t xml:space="preserve"> ribas.</w:t>
      </w:r>
      <w:r w:rsidR="009A6C31">
        <w:t xml:space="preserve"> </w:t>
      </w:r>
      <w:r w:rsidR="00C9221F" w:rsidRPr="00961777">
        <w:t>Projektas „Teritorijos prie „Ekrano“ marių konversija, pritaikant ją aktyviam poilsiui, užimtumui ir vietos verslo skatinimui“</w:t>
      </w:r>
      <w:r w:rsidR="00C9221F">
        <w:t xml:space="preserve"> (toliau – Projektas)</w:t>
      </w:r>
      <w:r w:rsidR="00C9221F" w:rsidRPr="00961777">
        <w:t xml:space="preserve"> skirtas spręsti </w:t>
      </w:r>
      <w:r w:rsidR="009A6C31">
        <w:t xml:space="preserve">aukščiau paminėtas problemas. </w:t>
      </w:r>
    </w:p>
    <w:p w14:paraId="7CBCD7A8" w14:textId="3AD5A185" w:rsidR="00B80086" w:rsidRPr="00961777" w:rsidRDefault="0053247E" w:rsidP="00B80086">
      <w:pPr>
        <w:tabs>
          <w:tab w:val="left" w:pos="0"/>
        </w:tabs>
        <w:spacing w:line="360" w:lineRule="auto"/>
        <w:ind w:firstLine="851"/>
        <w:jc w:val="both"/>
      </w:pPr>
      <w:r>
        <w:t xml:space="preserve">Būtina sutvarkyti viešąją infrastuktūrą pritaikant ją gyventojų ir atvykusių svečių užimtumui bei siekiant sukurti patrauklias sąlygas verslo plėtrai. </w:t>
      </w:r>
    </w:p>
    <w:p w14:paraId="09208120" w14:textId="77777777" w:rsidR="00B12A30" w:rsidRPr="00C25BD0" w:rsidRDefault="00CE4261" w:rsidP="00C25BD0">
      <w:pPr>
        <w:numPr>
          <w:ilvl w:val="0"/>
          <w:numId w:val="3"/>
        </w:numPr>
        <w:spacing w:line="360" w:lineRule="auto"/>
        <w:jc w:val="both"/>
      </w:pPr>
      <w:r w:rsidRPr="00C25BD0">
        <w:rPr>
          <w:b/>
        </w:rPr>
        <w:lastRenderedPageBreak/>
        <w:t>Kaip šiuo metu sprendžiami sprendimo projekte aptarti klausimai</w:t>
      </w:r>
      <w:r w:rsidR="00B12A30" w:rsidRPr="00C25BD0">
        <w:rPr>
          <w:b/>
        </w:rPr>
        <w:t>:</w:t>
      </w:r>
    </w:p>
    <w:p w14:paraId="3F065B21" w14:textId="58DB59E5" w:rsidR="00E14F26" w:rsidRPr="00C25BD0" w:rsidRDefault="000F6EAA" w:rsidP="00C25BD0">
      <w:pPr>
        <w:tabs>
          <w:tab w:val="left" w:pos="0"/>
        </w:tabs>
        <w:spacing w:line="360" w:lineRule="auto"/>
        <w:ind w:firstLine="851"/>
        <w:jc w:val="both"/>
      </w:pPr>
      <w:r w:rsidRPr="00C25BD0">
        <w:t xml:space="preserve">Savivaldybės administracija, planuoja įgyvendinti </w:t>
      </w:r>
      <w:r w:rsidR="002541D9">
        <w:t>P</w:t>
      </w:r>
      <w:r w:rsidRPr="00C25BD0">
        <w:t>rojektą</w:t>
      </w:r>
      <w:r w:rsidR="002541D9">
        <w:t>, jis</w:t>
      </w:r>
      <w:r w:rsidR="00311EF9" w:rsidRPr="00C25BD0">
        <w:t xml:space="preserve"> įtrauktas į svarbiausius Panevėžio miesto strateginio planavimo dokumentus</w:t>
      </w:r>
      <w:r w:rsidR="00105414" w:rsidRPr="00C25BD0">
        <w:t>:</w:t>
      </w:r>
    </w:p>
    <w:p w14:paraId="71E2C4CC" w14:textId="77777777" w:rsidR="00134410" w:rsidRPr="00C25BD0" w:rsidRDefault="00134410" w:rsidP="00C25BD0">
      <w:pPr>
        <w:pStyle w:val="Sraopastraipa"/>
        <w:numPr>
          <w:ilvl w:val="0"/>
          <w:numId w:val="5"/>
        </w:numPr>
        <w:spacing w:line="360" w:lineRule="auto"/>
        <w:ind w:left="0" w:firstLine="851"/>
        <w:jc w:val="both"/>
      </w:pPr>
      <w:r w:rsidRPr="00C25BD0">
        <w:t>Panevėžio miesto plėtros 2014–2020 m. strateginį planą, patvirtintą Panevėžio miesto savivaldybės tarybos 2013 m. spalio 10 d. sprendimu Nr. 1-280;</w:t>
      </w:r>
    </w:p>
    <w:p w14:paraId="23A4AEB6" w14:textId="77777777" w:rsidR="00134410" w:rsidRPr="00C25BD0" w:rsidRDefault="00134410" w:rsidP="00C25BD0">
      <w:pPr>
        <w:pStyle w:val="Sraopastraipa"/>
        <w:numPr>
          <w:ilvl w:val="0"/>
          <w:numId w:val="5"/>
        </w:numPr>
        <w:spacing w:line="360" w:lineRule="auto"/>
        <w:ind w:left="0" w:firstLine="851"/>
        <w:jc w:val="both"/>
      </w:pPr>
      <w:r w:rsidRPr="00C25BD0">
        <w:t>Panevėžio regiono 2014–2020 m. plėtros planą, patvirtintą Panevėžio regiono plėtros tarybos 2015 m. spalio 15 d. sprendimu Nr. 51/4S-23;</w:t>
      </w:r>
    </w:p>
    <w:p w14:paraId="7FCF4578" w14:textId="77777777" w:rsidR="00134410" w:rsidRPr="00C25BD0" w:rsidRDefault="00134410" w:rsidP="00C25BD0">
      <w:pPr>
        <w:pStyle w:val="Sraopastraipa"/>
        <w:numPr>
          <w:ilvl w:val="0"/>
          <w:numId w:val="5"/>
        </w:numPr>
        <w:spacing w:line="360" w:lineRule="auto"/>
        <w:ind w:left="0" w:firstLine="851"/>
        <w:jc w:val="both"/>
      </w:pPr>
      <w:r w:rsidRPr="00C25BD0">
        <w:t>Panevėžio miesto integruotą teritorijų vystymo programą, patvirtintą Lietuvos Respublikos vidaus reikalų ministro 2016 m. vasario 19 d. įsakymu Nr. 1V-122.</w:t>
      </w:r>
    </w:p>
    <w:p w14:paraId="43BD637C" w14:textId="52AC7918" w:rsidR="006748DD" w:rsidRDefault="002B5A69" w:rsidP="00C25BD0">
      <w:pPr>
        <w:tabs>
          <w:tab w:val="left" w:pos="0"/>
        </w:tabs>
        <w:spacing w:line="360" w:lineRule="auto"/>
        <w:ind w:firstLine="851"/>
        <w:jc w:val="both"/>
      </w:pPr>
      <w:r w:rsidRPr="00C25BD0">
        <w:t>Parengtas S</w:t>
      </w:r>
      <w:r w:rsidR="00CE4261" w:rsidRPr="00C25BD0">
        <w:t>avivaldybės tarybos sprendimo projektas</w:t>
      </w:r>
      <w:r w:rsidR="002D5815" w:rsidRPr="00C25BD0">
        <w:t xml:space="preserve"> </w:t>
      </w:r>
      <w:r w:rsidR="00E34D0F" w:rsidRPr="00C25BD0">
        <w:rPr>
          <w:bCs/>
        </w:rPr>
        <w:t>„</w:t>
      </w:r>
      <w:r w:rsidR="00414B0D">
        <w:rPr>
          <w:bCs/>
        </w:rPr>
        <w:t>D</w:t>
      </w:r>
      <w:r w:rsidR="00414B0D" w:rsidRPr="00414B0D">
        <w:rPr>
          <w:bCs/>
        </w:rPr>
        <w:t>ėl pritarimo projekto „</w:t>
      </w:r>
      <w:r w:rsidR="00E6427C" w:rsidRPr="00AA497F">
        <w:t>Teritorijos prie „Ekrano“ marių konversija, pritaikant ją aktyviam poilsiui, užimtumui ir vietos verslo skatinimui</w:t>
      </w:r>
      <w:r w:rsidR="00414B0D" w:rsidRPr="00414B0D">
        <w:rPr>
          <w:bCs/>
        </w:rPr>
        <w:t xml:space="preserve">“ įgyvendinimui ir teikimui </w:t>
      </w:r>
      <w:r w:rsidR="00414B0D">
        <w:rPr>
          <w:bCs/>
        </w:rPr>
        <w:t>E</w:t>
      </w:r>
      <w:r w:rsidR="00414B0D" w:rsidRPr="00414B0D">
        <w:rPr>
          <w:bCs/>
        </w:rPr>
        <w:t>uropos sąjungos fondų investicijoms gauti ir projekto dalinio finansavimo</w:t>
      </w:r>
      <w:r w:rsidR="00414B0D" w:rsidRPr="00C25BD0">
        <w:rPr>
          <w:bCs/>
        </w:rPr>
        <w:t xml:space="preserve">“ </w:t>
      </w:r>
      <w:r w:rsidR="00134410" w:rsidRPr="00C25BD0">
        <w:rPr>
          <w:bCs/>
        </w:rPr>
        <w:t xml:space="preserve">Europos Sąjungos fondų investicijoms gauti ir </w:t>
      </w:r>
      <w:r w:rsidR="00134410" w:rsidRPr="00C25BD0">
        <w:t>projekto dalinio finansavimo</w:t>
      </w:r>
      <w:r w:rsidR="00134410" w:rsidRPr="00C25BD0">
        <w:rPr>
          <w:bCs/>
        </w:rPr>
        <w:t>“ kuriuo Savivaldybės Taryba nusprendžia teikti Projektą Europos Sąjungos fondų investicijoms gauti</w:t>
      </w:r>
      <w:r w:rsidR="002D5815" w:rsidRPr="00C25BD0">
        <w:rPr>
          <w:bCs/>
        </w:rPr>
        <w:t>,</w:t>
      </w:r>
      <w:r w:rsidR="002A2E19" w:rsidRPr="00C25BD0">
        <w:t xml:space="preserve"> skirti lėšas projektui dalinai finansuoti, </w:t>
      </w:r>
      <w:r w:rsidR="004127D6" w:rsidRPr="00C25BD0">
        <w:t xml:space="preserve">padengti </w:t>
      </w:r>
      <w:r w:rsidR="00542F1D">
        <w:t xml:space="preserve">tinkamų finansuoti išlaidų dalį, kurios nepadengia projektui skiriamo finansavimo lėšos ir netinkamas finansuoti, </w:t>
      </w:r>
      <w:r w:rsidR="00542F1D" w:rsidRPr="0011226B">
        <w:t xml:space="preserve">tačiau </w:t>
      </w:r>
      <w:r w:rsidR="00542F1D">
        <w:t>P</w:t>
      </w:r>
      <w:r w:rsidR="00542F1D" w:rsidRPr="0011226B">
        <w:t>rojektui įgyvendinti būtinas išlaidas</w:t>
      </w:r>
      <w:r w:rsidR="00CC6D07" w:rsidRPr="00C25BD0">
        <w:t>.</w:t>
      </w:r>
    </w:p>
    <w:p w14:paraId="685CEB70" w14:textId="77777777" w:rsidR="00C23621" w:rsidRPr="00C25BD0" w:rsidRDefault="00CE4261" w:rsidP="002541D9">
      <w:pPr>
        <w:keepNext/>
        <w:keepLines/>
        <w:numPr>
          <w:ilvl w:val="0"/>
          <w:numId w:val="3"/>
        </w:numPr>
        <w:spacing w:line="360" w:lineRule="auto"/>
        <w:ind w:left="714" w:hanging="357"/>
        <w:jc w:val="both"/>
        <w:rPr>
          <w:b/>
        </w:rPr>
      </w:pPr>
      <w:r w:rsidRPr="00C25BD0">
        <w:rPr>
          <w:b/>
        </w:rPr>
        <w:t>Sprendimo priėmimo būtinumo pagrindimas, kokių pozityvių rezultatų laukiama:</w:t>
      </w:r>
    </w:p>
    <w:p w14:paraId="29C02318" w14:textId="694697A2" w:rsidR="00C25BD0" w:rsidRPr="00004577" w:rsidRDefault="00EB2F9A" w:rsidP="00EB2F9A">
      <w:pPr>
        <w:tabs>
          <w:tab w:val="left" w:pos="0"/>
        </w:tabs>
        <w:spacing w:line="360" w:lineRule="auto"/>
        <w:ind w:firstLine="709"/>
        <w:jc w:val="both"/>
      </w:pPr>
      <w:r w:rsidRPr="00C25BD0">
        <w:t>Vadovaujantis 2014–2020 metų Europos Sąjungos fondų investicijų veiksmų programos 7 prioriteto „Kokybiško užimtumo ir dalyvavimo darbo rinkoje skatinimas“ Nr. 07.1.1-CPVA-R-904 priemonės „Didžiųjų miestų kompleksinė plėtra“</w:t>
      </w:r>
      <w:r>
        <w:t xml:space="preserve"> (toliau – Priemonė) </w:t>
      </w:r>
      <w:r w:rsidRPr="00C25BD0">
        <w:t xml:space="preserve">projektų finansavimo sąlygų </w:t>
      </w:r>
      <w:r w:rsidRPr="00004577">
        <w:t>aprašo (toliau – Aprašas), patvirtinto Lietuvos Respublikos vidaus reikalų ministro 2015 m. gruodžio 10 d. įsakymu Nr. 1V-989, kartu su paraiška pareiškėjas turi pateikti savivaldybės tarybos sprendimą dėl bendrojo finansavimo dalies iš savivaldybės biudžeto lėšų skyrimo projektui, įskaitant ir netink</w:t>
      </w:r>
      <w:r w:rsidR="002541D9" w:rsidRPr="00004577">
        <w:t>amų projekto išlaidų apmokėjimą.</w:t>
      </w:r>
    </w:p>
    <w:p w14:paraId="5712E4D8" w14:textId="1D6531A8" w:rsidR="00445877" w:rsidRPr="00004577" w:rsidRDefault="00AF45D8" w:rsidP="00445877">
      <w:pPr>
        <w:spacing w:line="360" w:lineRule="auto"/>
        <w:ind w:firstLine="709"/>
        <w:jc w:val="both"/>
      </w:pPr>
      <w:r w:rsidRPr="00004577">
        <w:t>Projekto įgyvendinimo metu numatoma išvystyti teritoriją prie „Ekrano“ marių - pašalinti pagal poreikį menkaverčius medžius ir krūmus</w:t>
      </w:r>
      <w:r w:rsidR="00A44DE0">
        <w:t>;</w:t>
      </w:r>
      <w:r w:rsidRPr="00004577">
        <w:t xml:space="preserve"> </w:t>
      </w:r>
      <w:r w:rsidR="00445877" w:rsidRPr="00004577">
        <w:t>papildomai pasodinti medžių ir dekoratyvių krūmų</w:t>
      </w:r>
      <w:r w:rsidR="00445877">
        <w:t xml:space="preserve">; </w:t>
      </w:r>
      <w:r w:rsidR="00466E12" w:rsidRPr="00004577">
        <w:t>įrengti naujus ir atnaujinti esamus pėsčiųjų ir dviračių takus (dviračių trasos atkarpa nuo Pajuostės pl. tilto iki tilto per Nevėžio upę J. Biliūno gatvėje)</w:t>
      </w:r>
      <w:r w:rsidR="00A44DE0">
        <w:t>;</w:t>
      </w:r>
      <w:r w:rsidR="00466E12" w:rsidRPr="00004577">
        <w:t xml:space="preserve"> sutvarkyti ir atverti Nevėžio upės pakrantę</w:t>
      </w:r>
      <w:r w:rsidR="00A44DE0">
        <w:t xml:space="preserve">, </w:t>
      </w:r>
      <w:r w:rsidR="00A44DE0" w:rsidRPr="00445877">
        <w:t>į</w:t>
      </w:r>
      <w:r w:rsidR="00466E12" w:rsidRPr="00445877">
        <w:t>reng</w:t>
      </w:r>
      <w:r w:rsidR="00A44DE0" w:rsidRPr="00445877">
        <w:t>iant</w:t>
      </w:r>
      <w:r w:rsidR="00296CB0">
        <w:t xml:space="preserve"> priėjimus prie upės (maudykles, </w:t>
      </w:r>
      <w:r w:rsidR="00445877" w:rsidRPr="00445877">
        <w:t>braidykles)</w:t>
      </w:r>
      <w:r w:rsidR="006F6785">
        <w:t>; išvystyti</w:t>
      </w:r>
      <w:r w:rsidR="00445877" w:rsidRPr="00445877">
        <w:t xml:space="preserve"> ramaus</w:t>
      </w:r>
      <w:r w:rsidR="006F6785">
        <w:t xml:space="preserve"> ir aktyvaus</w:t>
      </w:r>
      <w:r w:rsidR="00445877" w:rsidRPr="00445877">
        <w:t xml:space="preserve"> poilsio </w:t>
      </w:r>
      <w:r w:rsidR="006F6785">
        <w:t xml:space="preserve">bei vandens pramogų </w:t>
      </w:r>
      <w:r w:rsidR="00445877" w:rsidRPr="00445877">
        <w:t>infrastruktūrą (vaikų žaidimų aikštel</w:t>
      </w:r>
      <w:r w:rsidR="006F6785">
        <w:t>ė</w:t>
      </w:r>
      <w:r w:rsidR="00445877" w:rsidRPr="00445877">
        <w:t>s, treniruokli</w:t>
      </w:r>
      <w:r w:rsidR="006F6785">
        <w:t>ai</w:t>
      </w:r>
      <w:r w:rsidR="00445877" w:rsidRPr="00445877">
        <w:t>, sporto žaidimų aikštel</w:t>
      </w:r>
      <w:r w:rsidR="006F6785">
        <w:t>ė</w:t>
      </w:r>
      <w:r w:rsidR="00445877" w:rsidRPr="00445877">
        <w:t>s, šunų išvedžiojimo aikštel</w:t>
      </w:r>
      <w:r w:rsidR="006F6785">
        <w:t>ė, prieplauką, valčių nuleidimo vieta ir pan.</w:t>
      </w:r>
      <w:r w:rsidR="00445877" w:rsidRPr="00445877">
        <w:t>), užtikrinti</w:t>
      </w:r>
      <w:bookmarkStart w:id="0" w:name="_GoBack"/>
      <w:bookmarkEnd w:id="0"/>
      <w:r w:rsidR="00445877" w:rsidRPr="00445877">
        <w:t xml:space="preserve"> patogų susisiekimą ir parkavimą; įrengti apšvietimą ir mažosios architektūros elementus: šiukšlių dėžes, suoliukus, dviračių stovus. Techninio projekto rengimo metu projektuotojas galės siūlyti numatyti ir kitas veiklas, kurios padėtų teritoriją padaryti kuo patrauklesnę, prisidėtų prie palankių sąlygų verslo </w:t>
      </w:r>
      <w:r w:rsidR="00445877" w:rsidRPr="00445877">
        <w:lastRenderedPageBreak/>
        <w:t>plėtrai bei skatintų bendruomeninę veiklą Panevėžio mieste. Projektas planuojamas įgyvendinti 2017-2019 m.</w:t>
      </w:r>
    </w:p>
    <w:p w14:paraId="1A5F0250" w14:textId="77777777" w:rsidR="005E4165" w:rsidRPr="00C25BD0" w:rsidRDefault="00CE4261" w:rsidP="00C25BD0">
      <w:pPr>
        <w:numPr>
          <w:ilvl w:val="0"/>
          <w:numId w:val="3"/>
        </w:numPr>
        <w:spacing w:line="360" w:lineRule="auto"/>
        <w:jc w:val="both"/>
        <w:rPr>
          <w:b/>
          <w:vanish/>
        </w:rPr>
      </w:pPr>
      <w:r w:rsidRPr="00C25BD0">
        <w:rPr>
          <w:b/>
        </w:rPr>
        <w:t>Skaičiavimai, išlaidų sąmatos, finansavimo šaltiniai:</w:t>
      </w:r>
    </w:p>
    <w:p w14:paraId="3127F9CB" w14:textId="42A5BF09" w:rsidR="00E421BD" w:rsidRPr="00C25BD0" w:rsidRDefault="00327D6D" w:rsidP="00C25BD0">
      <w:pPr>
        <w:pStyle w:val="Default"/>
        <w:spacing w:line="360" w:lineRule="auto"/>
        <w:ind w:firstLine="709"/>
        <w:jc w:val="both"/>
      </w:pPr>
      <w:r w:rsidRPr="00C25BD0">
        <w:t>Vadovaujantis</w:t>
      </w:r>
      <w:r w:rsidR="00E421BD" w:rsidRPr="00C25BD0">
        <w:t xml:space="preserve"> </w:t>
      </w:r>
      <w:r w:rsidR="00EB2F9A">
        <w:t>Aprašo</w:t>
      </w:r>
      <w:r w:rsidR="00E421BD" w:rsidRPr="00C25BD0">
        <w:t xml:space="preserve"> 30 punktu „Didžiausia galima projekto finansuojamoji dalis sudaro 92,5 proc. visų tinkamų finansuoti projekto išlaidų, išskyrus Aprašo 31 punkte nurodytas išimtis. Pareiškėjas privalo prisidėti prie projekto finansavimo ne mažiau nei 7,5 proc. visų tinkamų fina</w:t>
      </w:r>
      <w:r w:rsidR="00542F1D">
        <w:t>nsuoti projekto išlaidų...“</w:t>
      </w:r>
    </w:p>
    <w:p w14:paraId="091C7A70" w14:textId="77777777" w:rsidR="00E421BD" w:rsidRDefault="00E421BD" w:rsidP="00156131">
      <w:pPr>
        <w:jc w:val="both"/>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418"/>
        <w:gridCol w:w="993"/>
        <w:gridCol w:w="1133"/>
        <w:gridCol w:w="1133"/>
        <w:gridCol w:w="1133"/>
        <w:gridCol w:w="1135"/>
        <w:gridCol w:w="1100"/>
      </w:tblGrid>
      <w:tr w:rsidR="00751EAE" w14:paraId="33960676" w14:textId="77777777" w:rsidTr="00751EAE">
        <w:trPr>
          <w:trHeight w:val="1272"/>
        </w:trPr>
        <w:tc>
          <w:tcPr>
            <w:tcW w:w="918" w:type="pct"/>
            <w:shd w:val="clear" w:color="000000" w:fill="963634"/>
            <w:vAlign w:val="center"/>
            <w:hideMark/>
          </w:tcPr>
          <w:p w14:paraId="7E3B8A8A" w14:textId="77777777" w:rsidR="00E53E75" w:rsidRPr="00751EAE" w:rsidRDefault="00E53E75">
            <w:pPr>
              <w:jc w:val="center"/>
              <w:rPr>
                <w:b/>
                <w:bCs/>
                <w:color w:val="FFFFFF"/>
                <w:sz w:val="20"/>
                <w:szCs w:val="20"/>
              </w:rPr>
            </w:pPr>
            <w:r w:rsidRPr="00751EAE">
              <w:rPr>
                <w:b/>
                <w:bCs/>
                <w:color w:val="FFFFFF"/>
                <w:sz w:val="20"/>
                <w:szCs w:val="20"/>
              </w:rPr>
              <w:t>Projektas</w:t>
            </w:r>
          </w:p>
        </w:tc>
        <w:tc>
          <w:tcPr>
            <w:tcW w:w="719" w:type="pct"/>
            <w:shd w:val="clear" w:color="000000" w:fill="D8E4BC"/>
            <w:vAlign w:val="center"/>
            <w:hideMark/>
          </w:tcPr>
          <w:p w14:paraId="4D3ECF5C" w14:textId="77777777" w:rsidR="00E53E75" w:rsidRPr="00751EAE" w:rsidRDefault="00E53E75">
            <w:pPr>
              <w:jc w:val="center"/>
              <w:rPr>
                <w:b/>
                <w:bCs/>
                <w:color w:val="000000"/>
                <w:sz w:val="20"/>
                <w:szCs w:val="20"/>
              </w:rPr>
            </w:pPr>
            <w:r w:rsidRPr="00751EAE">
              <w:rPr>
                <w:b/>
                <w:bCs/>
                <w:color w:val="000000"/>
                <w:sz w:val="20"/>
                <w:szCs w:val="20"/>
              </w:rPr>
              <w:t>Planuojamas įgyvendinimo laikotarpis</w:t>
            </w:r>
          </w:p>
        </w:tc>
        <w:tc>
          <w:tcPr>
            <w:tcW w:w="504" w:type="pct"/>
            <w:shd w:val="clear" w:color="000000" w:fill="D8E4BC"/>
            <w:vAlign w:val="center"/>
            <w:hideMark/>
          </w:tcPr>
          <w:p w14:paraId="7DA5E698" w14:textId="77777777" w:rsidR="00E53E75" w:rsidRPr="00751EAE" w:rsidRDefault="00E53E75">
            <w:pPr>
              <w:jc w:val="center"/>
              <w:rPr>
                <w:b/>
                <w:bCs/>
                <w:color w:val="000000"/>
                <w:sz w:val="20"/>
                <w:szCs w:val="20"/>
              </w:rPr>
            </w:pPr>
            <w:r w:rsidRPr="00751EAE">
              <w:rPr>
                <w:b/>
                <w:bCs/>
                <w:color w:val="000000"/>
                <w:sz w:val="20"/>
                <w:szCs w:val="20"/>
              </w:rPr>
              <w:t>Pareiškėjas</w:t>
            </w:r>
          </w:p>
        </w:tc>
        <w:tc>
          <w:tcPr>
            <w:tcW w:w="575" w:type="pct"/>
            <w:shd w:val="clear" w:color="000000" w:fill="D8E4BC"/>
            <w:vAlign w:val="center"/>
            <w:hideMark/>
          </w:tcPr>
          <w:p w14:paraId="608C3DD1" w14:textId="77777777" w:rsidR="00E53E75" w:rsidRPr="00751EAE" w:rsidRDefault="00E53E75">
            <w:pPr>
              <w:jc w:val="center"/>
              <w:rPr>
                <w:b/>
                <w:bCs/>
                <w:color w:val="000000"/>
                <w:sz w:val="20"/>
                <w:szCs w:val="20"/>
              </w:rPr>
            </w:pPr>
            <w:r w:rsidRPr="00751EAE">
              <w:rPr>
                <w:b/>
                <w:bCs/>
                <w:color w:val="000000"/>
                <w:sz w:val="20"/>
                <w:szCs w:val="20"/>
              </w:rPr>
              <w:t>Atsakinga valstybės institucija</w:t>
            </w:r>
          </w:p>
        </w:tc>
        <w:tc>
          <w:tcPr>
            <w:tcW w:w="575" w:type="pct"/>
            <w:shd w:val="clear" w:color="000000" w:fill="C4BD97"/>
            <w:vAlign w:val="center"/>
            <w:hideMark/>
          </w:tcPr>
          <w:p w14:paraId="7F2C6AA4" w14:textId="77777777" w:rsidR="00E53E75" w:rsidRPr="00751EAE" w:rsidRDefault="00E53E75">
            <w:pPr>
              <w:jc w:val="center"/>
              <w:rPr>
                <w:b/>
                <w:bCs/>
                <w:sz w:val="20"/>
                <w:szCs w:val="20"/>
              </w:rPr>
            </w:pPr>
            <w:r w:rsidRPr="00751EAE">
              <w:rPr>
                <w:b/>
                <w:bCs/>
                <w:sz w:val="20"/>
                <w:szCs w:val="20"/>
              </w:rPr>
              <w:t>Viso preliminarus lėšų poreikis (EUR):</w:t>
            </w:r>
          </w:p>
        </w:tc>
        <w:tc>
          <w:tcPr>
            <w:tcW w:w="575" w:type="pct"/>
            <w:shd w:val="clear" w:color="000000" w:fill="C4BD97"/>
            <w:vAlign w:val="center"/>
            <w:hideMark/>
          </w:tcPr>
          <w:p w14:paraId="66040F1C" w14:textId="77777777" w:rsidR="00E53E75" w:rsidRPr="00751EAE" w:rsidRDefault="00E53E75">
            <w:pPr>
              <w:jc w:val="center"/>
              <w:rPr>
                <w:b/>
                <w:bCs/>
                <w:sz w:val="20"/>
                <w:szCs w:val="20"/>
              </w:rPr>
            </w:pPr>
            <w:r w:rsidRPr="00751EAE">
              <w:rPr>
                <w:b/>
                <w:bCs/>
                <w:sz w:val="20"/>
                <w:szCs w:val="20"/>
              </w:rPr>
              <w:t>ES lėšos (EUR):</w:t>
            </w:r>
          </w:p>
        </w:tc>
        <w:tc>
          <w:tcPr>
            <w:tcW w:w="576" w:type="pct"/>
            <w:shd w:val="clear" w:color="000000" w:fill="C4BD97"/>
            <w:vAlign w:val="center"/>
            <w:hideMark/>
          </w:tcPr>
          <w:p w14:paraId="44C496D7" w14:textId="77777777" w:rsidR="00E53E75" w:rsidRPr="00751EAE" w:rsidRDefault="00E53E75">
            <w:pPr>
              <w:jc w:val="center"/>
              <w:rPr>
                <w:b/>
                <w:bCs/>
                <w:sz w:val="20"/>
                <w:szCs w:val="20"/>
              </w:rPr>
            </w:pPr>
            <w:r w:rsidRPr="00751EAE">
              <w:rPr>
                <w:b/>
                <w:bCs/>
                <w:sz w:val="20"/>
                <w:szCs w:val="20"/>
              </w:rPr>
              <w:t>Savivaldybės biudžeto lėšos (EUR):</w:t>
            </w:r>
          </w:p>
        </w:tc>
        <w:tc>
          <w:tcPr>
            <w:tcW w:w="558" w:type="pct"/>
            <w:shd w:val="clear" w:color="000000" w:fill="C4BD97"/>
            <w:vAlign w:val="center"/>
            <w:hideMark/>
          </w:tcPr>
          <w:p w14:paraId="44DB7EA3" w14:textId="77777777" w:rsidR="00E53E75" w:rsidRPr="00751EAE" w:rsidRDefault="00E53E75">
            <w:pPr>
              <w:jc w:val="center"/>
              <w:rPr>
                <w:b/>
                <w:bCs/>
                <w:sz w:val="20"/>
                <w:szCs w:val="20"/>
              </w:rPr>
            </w:pPr>
            <w:r w:rsidRPr="00751EAE">
              <w:rPr>
                <w:b/>
                <w:bCs/>
                <w:sz w:val="20"/>
                <w:szCs w:val="20"/>
              </w:rPr>
              <w:t>Valstybės biudžeto lėšos (EUR):</w:t>
            </w:r>
          </w:p>
        </w:tc>
      </w:tr>
      <w:tr w:rsidR="00751EAE" w14:paraId="7335F341" w14:textId="77777777" w:rsidTr="00751EAE">
        <w:trPr>
          <w:trHeight w:val="1687"/>
        </w:trPr>
        <w:tc>
          <w:tcPr>
            <w:tcW w:w="918" w:type="pct"/>
            <w:shd w:val="clear" w:color="000000" w:fill="DCE6F1"/>
            <w:vAlign w:val="center"/>
            <w:hideMark/>
          </w:tcPr>
          <w:p w14:paraId="0A5DD6F4" w14:textId="0982FCA8" w:rsidR="00E53E75" w:rsidRPr="00751EAE" w:rsidRDefault="006C7F3A" w:rsidP="006C7F3A">
            <w:pPr>
              <w:jc w:val="center"/>
              <w:rPr>
                <w:sz w:val="20"/>
                <w:szCs w:val="20"/>
              </w:rPr>
            </w:pPr>
            <w:r w:rsidRPr="006C7F3A">
              <w:rPr>
                <w:sz w:val="20"/>
                <w:szCs w:val="20"/>
              </w:rPr>
              <w:t>Teritorijos prie „Ekrano“ marių konversija, pritaikant ją aktyviam poilsiui, užimtumui ir vietos verslo skatinimui.</w:t>
            </w:r>
          </w:p>
        </w:tc>
        <w:tc>
          <w:tcPr>
            <w:tcW w:w="719" w:type="pct"/>
            <w:shd w:val="clear" w:color="auto" w:fill="auto"/>
            <w:noWrap/>
            <w:vAlign w:val="center"/>
            <w:hideMark/>
          </w:tcPr>
          <w:p w14:paraId="4D0C105A" w14:textId="48EF32EA" w:rsidR="00E53E75" w:rsidRPr="00751EAE" w:rsidRDefault="00E53E75" w:rsidP="006C7F3A">
            <w:pPr>
              <w:jc w:val="center"/>
              <w:rPr>
                <w:color w:val="000000"/>
                <w:sz w:val="20"/>
                <w:szCs w:val="20"/>
              </w:rPr>
            </w:pPr>
            <w:r w:rsidRPr="00751EAE">
              <w:rPr>
                <w:color w:val="000000"/>
                <w:sz w:val="20"/>
                <w:szCs w:val="20"/>
              </w:rPr>
              <w:t>201</w:t>
            </w:r>
            <w:r w:rsidR="006C7F3A">
              <w:rPr>
                <w:color w:val="000000"/>
                <w:sz w:val="20"/>
                <w:szCs w:val="20"/>
              </w:rPr>
              <w:t>7</w:t>
            </w:r>
            <w:r w:rsidRPr="00751EAE">
              <w:rPr>
                <w:color w:val="000000"/>
                <w:sz w:val="20"/>
                <w:szCs w:val="20"/>
              </w:rPr>
              <w:t>-2019</w:t>
            </w:r>
          </w:p>
        </w:tc>
        <w:tc>
          <w:tcPr>
            <w:tcW w:w="504" w:type="pct"/>
            <w:shd w:val="clear" w:color="auto" w:fill="auto"/>
            <w:vAlign w:val="center"/>
            <w:hideMark/>
          </w:tcPr>
          <w:p w14:paraId="62DC31FF" w14:textId="77777777" w:rsidR="00E53E75" w:rsidRPr="00751EAE" w:rsidRDefault="00E53E75" w:rsidP="00751EAE">
            <w:pPr>
              <w:jc w:val="center"/>
              <w:rPr>
                <w:color w:val="000000"/>
                <w:sz w:val="20"/>
                <w:szCs w:val="20"/>
              </w:rPr>
            </w:pPr>
            <w:r w:rsidRPr="00751EAE">
              <w:rPr>
                <w:color w:val="000000"/>
                <w:sz w:val="20"/>
                <w:szCs w:val="20"/>
              </w:rPr>
              <w:t>Panevėžio miesto savivaldybės administracija</w:t>
            </w:r>
          </w:p>
        </w:tc>
        <w:tc>
          <w:tcPr>
            <w:tcW w:w="575" w:type="pct"/>
            <w:shd w:val="clear" w:color="000000" w:fill="FFFFFF"/>
            <w:vAlign w:val="center"/>
            <w:hideMark/>
          </w:tcPr>
          <w:p w14:paraId="3476F3A8" w14:textId="77777777" w:rsidR="00E53E75" w:rsidRPr="00751EAE" w:rsidRDefault="00E53E75" w:rsidP="00751EAE">
            <w:pPr>
              <w:jc w:val="center"/>
              <w:rPr>
                <w:color w:val="000000"/>
                <w:sz w:val="20"/>
                <w:szCs w:val="20"/>
              </w:rPr>
            </w:pPr>
            <w:r w:rsidRPr="00751EAE">
              <w:rPr>
                <w:color w:val="000000"/>
                <w:sz w:val="20"/>
                <w:szCs w:val="20"/>
              </w:rPr>
              <w:t>VRM</w:t>
            </w:r>
          </w:p>
        </w:tc>
        <w:tc>
          <w:tcPr>
            <w:tcW w:w="575" w:type="pct"/>
            <w:shd w:val="clear" w:color="000000" w:fill="D8E4BC"/>
            <w:noWrap/>
            <w:vAlign w:val="center"/>
            <w:hideMark/>
          </w:tcPr>
          <w:p w14:paraId="526E3CB6" w14:textId="0CEDBF04" w:rsidR="00E53E75" w:rsidRPr="00751EAE" w:rsidRDefault="006C7F3A" w:rsidP="006C7F3A">
            <w:pPr>
              <w:jc w:val="center"/>
              <w:rPr>
                <w:color w:val="000000"/>
                <w:sz w:val="20"/>
                <w:szCs w:val="20"/>
              </w:rPr>
            </w:pPr>
            <w:r w:rsidRPr="006C7F3A">
              <w:rPr>
                <w:color w:val="000000"/>
                <w:sz w:val="20"/>
                <w:szCs w:val="20"/>
              </w:rPr>
              <w:t>1</w:t>
            </w:r>
            <w:r>
              <w:rPr>
                <w:color w:val="000000"/>
                <w:sz w:val="20"/>
                <w:szCs w:val="20"/>
              </w:rPr>
              <w:t> </w:t>
            </w:r>
            <w:r w:rsidRPr="006C7F3A">
              <w:rPr>
                <w:color w:val="000000"/>
                <w:sz w:val="20"/>
                <w:szCs w:val="20"/>
              </w:rPr>
              <w:t>718</w:t>
            </w:r>
            <w:r>
              <w:rPr>
                <w:color w:val="000000"/>
                <w:sz w:val="20"/>
                <w:szCs w:val="20"/>
              </w:rPr>
              <w:t xml:space="preserve"> </w:t>
            </w:r>
            <w:r w:rsidRPr="006C7F3A">
              <w:rPr>
                <w:color w:val="000000"/>
                <w:sz w:val="20"/>
                <w:szCs w:val="20"/>
              </w:rPr>
              <w:t>956</w:t>
            </w:r>
          </w:p>
        </w:tc>
        <w:tc>
          <w:tcPr>
            <w:tcW w:w="575" w:type="pct"/>
            <w:shd w:val="clear" w:color="000000" w:fill="D8E4BC"/>
            <w:vAlign w:val="center"/>
            <w:hideMark/>
          </w:tcPr>
          <w:p w14:paraId="6A1BF34C" w14:textId="06C8712E" w:rsidR="00E53E75" w:rsidRPr="00751EAE" w:rsidRDefault="006C7F3A" w:rsidP="006C7F3A">
            <w:pPr>
              <w:ind w:hanging="34"/>
              <w:jc w:val="center"/>
              <w:rPr>
                <w:color w:val="000000"/>
                <w:sz w:val="20"/>
                <w:szCs w:val="20"/>
              </w:rPr>
            </w:pPr>
            <w:r>
              <w:rPr>
                <w:color w:val="000000"/>
                <w:sz w:val="20"/>
                <w:szCs w:val="20"/>
              </w:rPr>
              <w:t>1 461 112</w:t>
            </w:r>
          </w:p>
        </w:tc>
        <w:tc>
          <w:tcPr>
            <w:tcW w:w="576" w:type="pct"/>
            <w:shd w:val="clear" w:color="000000" w:fill="D8E4BC"/>
            <w:vAlign w:val="center"/>
            <w:hideMark/>
          </w:tcPr>
          <w:p w14:paraId="4D519B00" w14:textId="201CE8DC" w:rsidR="00E53E75" w:rsidRPr="00751EAE" w:rsidRDefault="006C7F3A" w:rsidP="00751EAE">
            <w:pPr>
              <w:jc w:val="center"/>
              <w:rPr>
                <w:color w:val="000000"/>
                <w:sz w:val="20"/>
                <w:szCs w:val="20"/>
              </w:rPr>
            </w:pPr>
            <w:r>
              <w:rPr>
                <w:color w:val="000000"/>
                <w:sz w:val="20"/>
                <w:szCs w:val="20"/>
              </w:rPr>
              <w:t>128 922</w:t>
            </w:r>
          </w:p>
        </w:tc>
        <w:tc>
          <w:tcPr>
            <w:tcW w:w="558" w:type="pct"/>
            <w:shd w:val="clear" w:color="000000" w:fill="D8E4BC"/>
            <w:vAlign w:val="center"/>
            <w:hideMark/>
          </w:tcPr>
          <w:p w14:paraId="4EB43A86" w14:textId="2500EEF0" w:rsidR="00E53E75" w:rsidRPr="00751EAE" w:rsidRDefault="006C7F3A" w:rsidP="00751EAE">
            <w:pPr>
              <w:jc w:val="center"/>
              <w:rPr>
                <w:color w:val="000000"/>
                <w:sz w:val="20"/>
                <w:szCs w:val="20"/>
              </w:rPr>
            </w:pPr>
            <w:r>
              <w:rPr>
                <w:color w:val="000000"/>
                <w:sz w:val="20"/>
                <w:szCs w:val="20"/>
              </w:rPr>
              <w:t>128 922</w:t>
            </w:r>
          </w:p>
        </w:tc>
      </w:tr>
    </w:tbl>
    <w:p w14:paraId="32DDB2AE" w14:textId="77777777" w:rsidR="00E421BD" w:rsidRDefault="00E421BD" w:rsidP="00156131">
      <w:pPr>
        <w:jc w:val="both"/>
      </w:pPr>
    </w:p>
    <w:p w14:paraId="7E1C8A29" w14:textId="792B1F44" w:rsidR="008A4728" w:rsidRPr="00C25BD0" w:rsidRDefault="00501AD3" w:rsidP="00C25BD0">
      <w:pPr>
        <w:spacing w:line="360" w:lineRule="auto"/>
        <w:ind w:firstLine="851"/>
        <w:jc w:val="both"/>
      </w:pPr>
      <w:r w:rsidRPr="00C25BD0">
        <w:t>Pagal Aprašo 3</w:t>
      </w:r>
      <w:r w:rsidR="008A4728" w:rsidRPr="00C25BD0">
        <w:t>4</w:t>
      </w:r>
      <w:r w:rsidRPr="00C25BD0">
        <w:t xml:space="preserve"> p. nuostatas </w:t>
      </w:r>
      <w:r w:rsidR="00751EAE">
        <w:t>„</w:t>
      </w:r>
      <w:r w:rsidR="008A4728" w:rsidRPr="00C25BD0">
        <w:t>Projekto tinkamų finansuoti išlaidų dalis, kurios nepadengia projektui skiriamo finansavimo lėšos, turi būti finansuojama iš projekto vykdytojo arba partnerio lėšų. Pareiškėjas ir (arba) partneris savo iniciatyva ir savo ir (arba) kitų šaltinių lėšomis gali prisidėti prie projekto įgyvendinimo dides</w:t>
      </w:r>
      <w:r w:rsidR="00751EAE">
        <w:t>ne, nei reikalaujama, lėšų suma“</w:t>
      </w:r>
    </w:p>
    <w:p w14:paraId="27ED35A4" w14:textId="77777777" w:rsidR="00C25BD0" w:rsidRPr="00C25BD0" w:rsidRDefault="00244250" w:rsidP="00C25BD0">
      <w:pPr>
        <w:spacing w:line="360" w:lineRule="auto"/>
        <w:ind w:firstLine="851"/>
        <w:jc w:val="both"/>
      </w:pPr>
      <w:r w:rsidRPr="00C25BD0">
        <w:t xml:space="preserve">Reali projekto įgyvendinimo kaina bus žinoma parengus techninį projektą ir įvykdžius </w:t>
      </w:r>
      <w:r w:rsidR="008A4728" w:rsidRPr="00C25BD0">
        <w:t xml:space="preserve">rangos darbų </w:t>
      </w:r>
      <w:r w:rsidRPr="00C25BD0">
        <w:t>viešuosius pirkimus.</w:t>
      </w:r>
    </w:p>
    <w:p w14:paraId="522F9A09" w14:textId="77777777" w:rsidR="00C25BD0" w:rsidRPr="00C25BD0" w:rsidRDefault="00CE4261" w:rsidP="006C7F3A">
      <w:pPr>
        <w:keepNext/>
        <w:keepLines/>
        <w:numPr>
          <w:ilvl w:val="0"/>
          <w:numId w:val="3"/>
        </w:numPr>
        <w:spacing w:line="360" w:lineRule="auto"/>
        <w:ind w:left="714" w:hanging="357"/>
        <w:jc w:val="both"/>
        <w:rPr>
          <w:b/>
        </w:rPr>
      </w:pPr>
      <w:r w:rsidRPr="00C25BD0">
        <w:rPr>
          <w:b/>
        </w:rPr>
        <w:t xml:space="preserve">Galimos neigiamos pasekmės priėmus sprendimą, kokių priemonių reikėtų imtis, kad tokių pasekmių būtų išvengta: </w:t>
      </w:r>
    </w:p>
    <w:p w14:paraId="073533B9" w14:textId="77777777" w:rsidR="00CE4261" w:rsidRPr="00C25BD0" w:rsidRDefault="008A4728" w:rsidP="00C25BD0">
      <w:pPr>
        <w:spacing w:line="360" w:lineRule="auto"/>
        <w:jc w:val="both"/>
      </w:pPr>
      <w:r w:rsidRPr="00C25BD0">
        <w:t>Nenumatomos</w:t>
      </w:r>
    </w:p>
    <w:p w14:paraId="1F0DFBA1" w14:textId="77777777" w:rsidR="00C25BD0" w:rsidRPr="00C25BD0" w:rsidRDefault="00CE4261" w:rsidP="006C7F3A">
      <w:pPr>
        <w:keepNext/>
        <w:keepLines/>
        <w:numPr>
          <w:ilvl w:val="0"/>
          <w:numId w:val="3"/>
        </w:numPr>
        <w:spacing w:line="360" w:lineRule="auto"/>
        <w:ind w:left="714" w:hanging="357"/>
        <w:jc w:val="both"/>
      </w:pPr>
      <w:r w:rsidRPr="00C25BD0">
        <w:rPr>
          <w:b/>
        </w:rPr>
        <w:t xml:space="preserve">Kieno iniciatyva parengtas sprendimo projektas: </w:t>
      </w:r>
    </w:p>
    <w:p w14:paraId="767B0489" w14:textId="77777777" w:rsidR="00CE4261" w:rsidRPr="00C25BD0" w:rsidRDefault="008A4728" w:rsidP="00C25BD0">
      <w:pPr>
        <w:tabs>
          <w:tab w:val="left" w:pos="0"/>
        </w:tabs>
        <w:spacing w:line="360" w:lineRule="auto"/>
        <w:jc w:val="both"/>
      </w:pPr>
      <w:r w:rsidRPr="00C25BD0">
        <w:t>Panevėžio miesto savivaldybės administracijos</w:t>
      </w:r>
      <w:r w:rsidR="00F436F6" w:rsidRPr="00C25BD0">
        <w:t>.</w:t>
      </w:r>
    </w:p>
    <w:p w14:paraId="6869ECAF" w14:textId="77777777" w:rsidR="00C25BD0" w:rsidRPr="00C25BD0" w:rsidRDefault="00CE4261" w:rsidP="006C7F3A">
      <w:pPr>
        <w:keepNext/>
        <w:keepLines/>
        <w:numPr>
          <w:ilvl w:val="0"/>
          <w:numId w:val="3"/>
        </w:numPr>
        <w:spacing w:line="360" w:lineRule="auto"/>
        <w:ind w:left="714" w:hanging="357"/>
        <w:jc w:val="both"/>
        <w:rPr>
          <w:b/>
        </w:rPr>
      </w:pPr>
      <w:r w:rsidRPr="00C25BD0">
        <w:rPr>
          <w:b/>
        </w:rPr>
        <w:t xml:space="preserve">Sprendimas suderintas: </w:t>
      </w:r>
    </w:p>
    <w:p w14:paraId="430D5D5A" w14:textId="4444F546" w:rsidR="00E53E75" w:rsidRPr="00B8132B" w:rsidRDefault="00E53E75" w:rsidP="00E53E75">
      <w:pPr>
        <w:spacing w:line="276" w:lineRule="auto"/>
        <w:jc w:val="both"/>
      </w:pPr>
      <w:r>
        <w:t>Sprendimo projektas suderintas su Mero patarėja I.</w:t>
      </w:r>
      <w:r w:rsidR="006C7F3A">
        <w:t xml:space="preserve"> </w:t>
      </w:r>
      <w:r>
        <w:t>Kisiele</w:t>
      </w:r>
      <w:r w:rsidRPr="00B8132B">
        <w:t>, Mero pavaduotoju A. Varna, Adminis</w:t>
      </w:r>
      <w:r>
        <w:t xml:space="preserve">tracijos direktoriumi T. Jukna, </w:t>
      </w:r>
      <w:r w:rsidRPr="00B8132B">
        <w:t>Teisės</w:t>
      </w:r>
      <w:r>
        <w:t xml:space="preserve"> ir viešosios tvarkos </w:t>
      </w:r>
      <w:r w:rsidRPr="00B8132B">
        <w:t xml:space="preserve">skyriaus </w:t>
      </w:r>
      <w:r w:rsidR="006C7F3A">
        <w:t>vyr. specialiste K</w:t>
      </w:r>
      <w:r w:rsidR="006C7F3A" w:rsidRPr="006C7F3A">
        <w:t xml:space="preserve"> </w:t>
      </w:r>
      <w:r w:rsidR="006C7F3A">
        <w:t>Grubinskiene</w:t>
      </w:r>
      <w:r w:rsidRPr="00B8132B">
        <w:t>,</w:t>
      </w:r>
      <w:r w:rsidRPr="00387BEC">
        <w:t xml:space="preserve"> Strateginio planavimo, investicijų ir biudžeto skyriaus v</w:t>
      </w:r>
      <w:r w:rsidR="006C7F3A">
        <w:t xml:space="preserve">edėja </w:t>
      </w:r>
      <w:r w:rsidRPr="0011226B">
        <w:t>A</w:t>
      </w:r>
      <w:r>
        <w:t xml:space="preserve">. </w:t>
      </w:r>
      <w:r w:rsidRPr="0011226B">
        <w:t>Meškauskien</w:t>
      </w:r>
      <w:r>
        <w:t>e,</w:t>
      </w:r>
      <w:r w:rsidRPr="00387BEC">
        <w:t xml:space="preserve"> </w:t>
      </w:r>
      <w:r>
        <w:t xml:space="preserve">Dokumentų valdymo poskyrio </w:t>
      </w:r>
      <w:r w:rsidRPr="00B8132B">
        <w:t>vyr</w:t>
      </w:r>
      <w:r>
        <w:t>.</w:t>
      </w:r>
      <w:r w:rsidRPr="00B8132B">
        <w:t xml:space="preserve"> specialist</w:t>
      </w:r>
      <w:r>
        <w:t>e</w:t>
      </w:r>
      <w:r w:rsidRPr="00B8132B">
        <w:t xml:space="preserve"> </w:t>
      </w:r>
      <w:r>
        <w:t>A</w:t>
      </w:r>
      <w:r w:rsidRPr="00B8132B">
        <w:t xml:space="preserve">. </w:t>
      </w:r>
      <w:r>
        <w:t>Pakalne.</w:t>
      </w:r>
    </w:p>
    <w:p w14:paraId="46180D3A" w14:textId="77777777" w:rsidR="00445877" w:rsidRDefault="00445877" w:rsidP="00E53E75">
      <w:pPr>
        <w:pStyle w:val="Sraopastraipa"/>
        <w:ind w:left="0"/>
        <w:jc w:val="both"/>
      </w:pPr>
    </w:p>
    <w:p w14:paraId="4491C5F0" w14:textId="77777777" w:rsidR="00E53E75" w:rsidRDefault="00E53E75" w:rsidP="00E53E75">
      <w:pPr>
        <w:pStyle w:val="Sraopastraipa"/>
        <w:ind w:left="0"/>
        <w:jc w:val="both"/>
      </w:pPr>
    </w:p>
    <w:p w14:paraId="27636D6B" w14:textId="77777777" w:rsidR="00E53E75" w:rsidRDefault="00E53E75" w:rsidP="00E53E75">
      <w:pPr>
        <w:jc w:val="both"/>
      </w:pPr>
      <w:r>
        <w:t>Strateginio planavimo, investicijų ir biudžeto skyriaus</w:t>
      </w:r>
      <w:r w:rsidRPr="00556AC1">
        <w:t xml:space="preserve"> </w:t>
      </w:r>
    </w:p>
    <w:p w14:paraId="5C234113" w14:textId="2A888353" w:rsidR="00501AD3" w:rsidRDefault="00E53E75" w:rsidP="006C7F3A">
      <w:pPr>
        <w:tabs>
          <w:tab w:val="left" w:pos="8080"/>
        </w:tabs>
        <w:jc w:val="both"/>
      </w:pPr>
      <w:r>
        <w:t xml:space="preserve">Investicijų projektų poskyrio </w:t>
      </w:r>
      <w:r w:rsidR="006C7F3A">
        <w:t>vedėja</w:t>
      </w:r>
      <w:r w:rsidR="00C14522">
        <w:t xml:space="preserve">                                                                          </w:t>
      </w:r>
      <w:r w:rsidR="006C7F3A">
        <w:t>Lina Bareikienė</w:t>
      </w:r>
    </w:p>
    <w:p w14:paraId="7824EAD5" w14:textId="77777777" w:rsidR="00C14522" w:rsidRDefault="00C14522" w:rsidP="006C7F3A">
      <w:pPr>
        <w:tabs>
          <w:tab w:val="left" w:pos="8080"/>
        </w:tabs>
        <w:jc w:val="both"/>
      </w:pPr>
    </w:p>
    <w:p w14:paraId="27999909" w14:textId="77777777" w:rsidR="00C14522" w:rsidRDefault="00C14522" w:rsidP="006C7F3A">
      <w:pPr>
        <w:tabs>
          <w:tab w:val="left" w:pos="8080"/>
        </w:tabs>
        <w:jc w:val="both"/>
      </w:pPr>
    </w:p>
    <w:p w14:paraId="467714EC" w14:textId="7068284A" w:rsidR="009A6C31" w:rsidRPr="006C7F3A" w:rsidRDefault="00C14522" w:rsidP="006C7F3A">
      <w:pPr>
        <w:tabs>
          <w:tab w:val="left" w:pos="8080"/>
        </w:tabs>
        <w:jc w:val="both"/>
      </w:pPr>
      <w:r>
        <w:t>Projekto vadovas                                                                                                        Tadas Stanikūnas</w:t>
      </w:r>
    </w:p>
    <w:sectPr w:rsidR="009A6C31" w:rsidRPr="006C7F3A"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FBA77" w14:textId="77777777" w:rsidR="00F027F3" w:rsidRDefault="00F027F3" w:rsidP="00D610C3">
      <w:r>
        <w:separator/>
      </w:r>
    </w:p>
  </w:endnote>
  <w:endnote w:type="continuationSeparator" w:id="0">
    <w:p w14:paraId="2BC7EF62" w14:textId="77777777" w:rsidR="00F027F3" w:rsidRDefault="00F027F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D43E6" w14:textId="77777777" w:rsidR="00F027F3" w:rsidRDefault="00F027F3" w:rsidP="00D610C3">
      <w:r>
        <w:separator/>
      </w:r>
    </w:p>
  </w:footnote>
  <w:footnote w:type="continuationSeparator" w:id="0">
    <w:p w14:paraId="6F8E3023" w14:textId="77777777" w:rsidR="00F027F3" w:rsidRDefault="00F027F3"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296CB0">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50CB3"/>
    <w:rsid w:val="00050D33"/>
    <w:rsid w:val="00064E1B"/>
    <w:rsid w:val="000D1CCA"/>
    <w:rsid w:val="000E6FCA"/>
    <w:rsid w:val="000F142F"/>
    <w:rsid w:val="000F6EAA"/>
    <w:rsid w:val="00101EF7"/>
    <w:rsid w:val="00105414"/>
    <w:rsid w:val="00116ED6"/>
    <w:rsid w:val="0011768C"/>
    <w:rsid w:val="00134410"/>
    <w:rsid w:val="00144285"/>
    <w:rsid w:val="00153CDD"/>
    <w:rsid w:val="00153D8F"/>
    <w:rsid w:val="00156131"/>
    <w:rsid w:val="00173464"/>
    <w:rsid w:val="0019105B"/>
    <w:rsid w:val="00194B34"/>
    <w:rsid w:val="001A31DD"/>
    <w:rsid w:val="001A59CF"/>
    <w:rsid w:val="001B1CD5"/>
    <w:rsid w:val="001C60B4"/>
    <w:rsid w:val="001F0F56"/>
    <w:rsid w:val="0021352E"/>
    <w:rsid w:val="002316BC"/>
    <w:rsid w:val="00237E62"/>
    <w:rsid w:val="00244250"/>
    <w:rsid w:val="002541D9"/>
    <w:rsid w:val="00264EEB"/>
    <w:rsid w:val="00283DDC"/>
    <w:rsid w:val="00292DCE"/>
    <w:rsid w:val="0029507D"/>
    <w:rsid w:val="00296CB0"/>
    <w:rsid w:val="002A2E19"/>
    <w:rsid w:val="002A40B1"/>
    <w:rsid w:val="002B5A69"/>
    <w:rsid w:val="002C0792"/>
    <w:rsid w:val="002C333C"/>
    <w:rsid w:val="002D1241"/>
    <w:rsid w:val="002D5815"/>
    <w:rsid w:val="002E30B2"/>
    <w:rsid w:val="002E51AC"/>
    <w:rsid w:val="002F52D8"/>
    <w:rsid w:val="00311EF9"/>
    <w:rsid w:val="00327D6D"/>
    <w:rsid w:val="00341BA1"/>
    <w:rsid w:val="003647E6"/>
    <w:rsid w:val="003666E4"/>
    <w:rsid w:val="003A43A7"/>
    <w:rsid w:val="003C4CFD"/>
    <w:rsid w:val="003E056D"/>
    <w:rsid w:val="0040182A"/>
    <w:rsid w:val="004127D6"/>
    <w:rsid w:val="00414B0D"/>
    <w:rsid w:val="00445877"/>
    <w:rsid w:val="0046421B"/>
    <w:rsid w:val="00466E12"/>
    <w:rsid w:val="004717F3"/>
    <w:rsid w:val="004826A2"/>
    <w:rsid w:val="004D7DA8"/>
    <w:rsid w:val="004E19F6"/>
    <w:rsid w:val="00501AD3"/>
    <w:rsid w:val="0053247E"/>
    <w:rsid w:val="00533821"/>
    <w:rsid w:val="0053664B"/>
    <w:rsid w:val="00542F1D"/>
    <w:rsid w:val="00556676"/>
    <w:rsid w:val="00580FF4"/>
    <w:rsid w:val="005817D7"/>
    <w:rsid w:val="005821EF"/>
    <w:rsid w:val="005865D5"/>
    <w:rsid w:val="005978A6"/>
    <w:rsid w:val="005A3F6A"/>
    <w:rsid w:val="005B7CC3"/>
    <w:rsid w:val="005E4165"/>
    <w:rsid w:val="005F4AB2"/>
    <w:rsid w:val="00607A29"/>
    <w:rsid w:val="00616A7A"/>
    <w:rsid w:val="00623A80"/>
    <w:rsid w:val="00642F57"/>
    <w:rsid w:val="00647C0A"/>
    <w:rsid w:val="00651020"/>
    <w:rsid w:val="006633D5"/>
    <w:rsid w:val="00673E98"/>
    <w:rsid w:val="006748DD"/>
    <w:rsid w:val="00675968"/>
    <w:rsid w:val="006808AA"/>
    <w:rsid w:val="006A3F4E"/>
    <w:rsid w:val="006C7F3A"/>
    <w:rsid w:val="006D1BEC"/>
    <w:rsid w:val="006F6785"/>
    <w:rsid w:val="007010AF"/>
    <w:rsid w:val="00710A07"/>
    <w:rsid w:val="00714A9E"/>
    <w:rsid w:val="007258D5"/>
    <w:rsid w:val="00751EAE"/>
    <w:rsid w:val="00761009"/>
    <w:rsid w:val="00776D79"/>
    <w:rsid w:val="0080253F"/>
    <w:rsid w:val="00802F82"/>
    <w:rsid w:val="008217A7"/>
    <w:rsid w:val="00831518"/>
    <w:rsid w:val="008407DC"/>
    <w:rsid w:val="00843093"/>
    <w:rsid w:val="00876427"/>
    <w:rsid w:val="00885D3F"/>
    <w:rsid w:val="00891F8B"/>
    <w:rsid w:val="008A4728"/>
    <w:rsid w:val="008C7A8F"/>
    <w:rsid w:val="008D65D6"/>
    <w:rsid w:val="009013ED"/>
    <w:rsid w:val="009104ED"/>
    <w:rsid w:val="00915CAB"/>
    <w:rsid w:val="00916F0F"/>
    <w:rsid w:val="00924E14"/>
    <w:rsid w:val="009268AA"/>
    <w:rsid w:val="00934EE7"/>
    <w:rsid w:val="0095798B"/>
    <w:rsid w:val="00976D44"/>
    <w:rsid w:val="00991168"/>
    <w:rsid w:val="009A096E"/>
    <w:rsid w:val="009A5834"/>
    <w:rsid w:val="009A6C31"/>
    <w:rsid w:val="009B127A"/>
    <w:rsid w:val="009B2D57"/>
    <w:rsid w:val="009B5DBB"/>
    <w:rsid w:val="009B6303"/>
    <w:rsid w:val="009E4A13"/>
    <w:rsid w:val="009F706A"/>
    <w:rsid w:val="00A043FD"/>
    <w:rsid w:val="00A10F3E"/>
    <w:rsid w:val="00A359FC"/>
    <w:rsid w:val="00A42799"/>
    <w:rsid w:val="00A44DE0"/>
    <w:rsid w:val="00A57B12"/>
    <w:rsid w:val="00A77EA0"/>
    <w:rsid w:val="00A8179F"/>
    <w:rsid w:val="00A84DD9"/>
    <w:rsid w:val="00AB18B3"/>
    <w:rsid w:val="00AB1A7D"/>
    <w:rsid w:val="00AB4B05"/>
    <w:rsid w:val="00AC1759"/>
    <w:rsid w:val="00AC740E"/>
    <w:rsid w:val="00AD7EB7"/>
    <w:rsid w:val="00AF352B"/>
    <w:rsid w:val="00AF45D8"/>
    <w:rsid w:val="00B0063E"/>
    <w:rsid w:val="00B0596B"/>
    <w:rsid w:val="00B12A30"/>
    <w:rsid w:val="00B31656"/>
    <w:rsid w:val="00B40FB8"/>
    <w:rsid w:val="00B500B7"/>
    <w:rsid w:val="00B64AE4"/>
    <w:rsid w:val="00B679D1"/>
    <w:rsid w:val="00B7566C"/>
    <w:rsid w:val="00B7592A"/>
    <w:rsid w:val="00B80086"/>
    <w:rsid w:val="00BE171C"/>
    <w:rsid w:val="00BF4BB8"/>
    <w:rsid w:val="00BF5709"/>
    <w:rsid w:val="00C14522"/>
    <w:rsid w:val="00C212BD"/>
    <w:rsid w:val="00C22CD9"/>
    <w:rsid w:val="00C23621"/>
    <w:rsid w:val="00C25BD0"/>
    <w:rsid w:val="00C30DCB"/>
    <w:rsid w:val="00C526B7"/>
    <w:rsid w:val="00C56D5C"/>
    <w:rsid w:val="00C60A01"/>
    <w:rsid w:val="00C64801"/>
    <w:rsid w:val="00C9221F"/>
    <w:rsid w:val="00C96D4D"/>
    <w:rsid w:val="00CA23AE"/>
    <w:rsid w:val="00CA7E83"/>
    <w:rsid w:val="00CC063E"/>
    <w:rsid w:val="00CC6D07"/>
    <w:rsid w:val="00CC7B37"/>
    <w:rsid w:val="00CE4261"/>
    <w:rsid w:val="00CF6FD9"/>
    <w:rsid w:val="00D019E3"/>
    <w:rsid w:val="00D04B9C"/>
    <w:rsid w:val="00D24BC8"/>
    <w:rsid w:val="00D55973"/>
    <w:rsid w:val="00D610C3"/>
    <w:rsid w:val="00D72E08"/>
    <w:rsid w:val="00D91DC5"/>
    <w:rsid w:val="00DB7386"/>
    <w:rsid w:val="00DC1ACF"/>
    <w:rsid w:val="00DD14EE"/>
    <w:rsid w:val="00DD1CE9"/>
    <w:rsid w:val="00DE01E2"/>
    <w:rsid w:val="00DE774C"/>
    <w:rsid w:val="00E01517"/>
    <w:rsid w:val="00E07856"/>
    <w:rsid w:val="00E142DD"/>
    <w:rsid w:val="00E14F26"/>
    <w:rsid w:val="00E30C40"/>
    <w:rsid w:val="00E34D0F"/>
    <w:rsid w:val="00E421BD"/>
    <w:rsid w:val="00E53E75"/>
    <w:rsid w:val="00E600EB"/>
    <w:rsid w:val="00E6133F"/>
    <w:rsid w:val="00E6427C"/>
    <w:rsid w:val="00E7201B"/>
    <w:rsid w:val="00E77D95"/>
    <w:rsid w:val="00E966EA"/>
    <w:rsid w:val="00EA6318"/>
    <w:rsid w:val="00EB0BEF"/>
    <w:rsid w:val="00EB2F9A"/>
    <w:rsid w:val="00EB65FA"/>
    <w:rsid w:val="00EC373D"/>
    <w:rsid w:val="00EC4035"/>
    <w:rsid w:val="00ED5674"/>
    <w:rsid w:val="00EF1E80"/>
    <w:rsid w:val="00F027F3"/>
    <w:rsid w:val="00F16EA1"/>
    <w:rsid w:val="00F20CFE"/>
    <w:rsid w:val="00F230DC"/>
    <w:rsid w:val="00F24CDA"/>
    <w:rsid w:val="00F2547C"/>
    <w:rsid w:val="00F436F6"/>
    <w:rsid w:val="00F5430F"/>
    <w:rsid w:val="00F73A98"/>
    <w:rsid w:val="00F74901"/>
    <w:rsid w:val="00F8746D"/>
    <w:rsid w:val="00F931C0"/>
    <w:rsid w:val="00F966EC"/>
    <w:rsid w:val="00FA04C3"/>
    <w:rsid w:val="00FD4F97"/>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5BC6954D-7197-4C96-92F7-D0ECB0AA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16E5-A590-4AB0-ACAA-66719191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5319</Words>
  <Characters>3033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Lina Bareikienė</cp:lastModifiedBy>
  <cp:revision>2</cp:revision>
  <cp:lastPrinted>2017-03-14T13:41:00Z</cp:lastPrinted>
  <dcterms:created xsi:type="dcterms:W3CDTF">2017-03-14T13:42:00Z</dcterms:created>
  <dcterms:modified xsi:type="dcterms:W3CDTF">2017-03-14T13:42:00Z</dcterms:modified>
</cp:coreProperties>
</file>