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5BDF447C" w14:textId="77777777" w:rsidR="00671CC0" w:rsidRPr="00F17F63" w:rsidRDefault="00671CC0" w:rsidP="00671CC0">
      <w:pPr>
        <w:pStyle w:val="BodyText3"/>
        <w:rPr>
          <w:bCs/>
          <w:szCs w:val="24"/>
        </w:rPr>
      </w:pPr>
      <w:r w:rsidRPr="00F17F63">
        <w:rPr>
          <w:bCs/>
        </w:rPr>
        <w:t xml:space="preserve">DĖL PRITARIMO </w:t>
      </w:r>
      <w:r w:rsidRPr="00F17F63">
        <w:rPr>
          <w:bCs/>
          <w:szCs w:val="24"/>
        </w:rPr>
        <w:t xml:space="preserve">PROJEKTO </w:t>
      </w:r>
      <w:r>
        <w:rPr>
          <w:bCs/>
          <w:szCs w:val="24"/>
        </w:rPr>
        <w:t>„</w:t>
      </w:r>
      <w:r w:rsidRPr="00551F4B">
        <w:rPr>
          <w:sz w:val="22"/>
        </w:rPr>
        <w:t>JAUNIMO SODO SUTVARKYMAS</w:t>
      </w:r>
      <w:r>
        <w:rPr>
          <w:sz w:val="22"/>
        </w:rPr>
        <w:t>“</w:t>
      </w:r>
      <w:r w:rsidRPr="00F17F63">
        <w:rPr>
          <w:sz w:val="22"/>
        </w:rPr>
        <w:t xml:space="preserve"> </w:t>
      </w:r>
      <w:r>
        <w:rPr>
          <w:sz w:val="22"/>
        </w:rPr>
        <w:t xml:space="preserve">ĮGYVENDINIMUI IR </w:t>
      </w:r>
      <w:r w:rsidRPr="00F17F63">
        <w:rPr>
          <w:bCs/>
          <w:szCs w:val="24"/>
        </w:rPr>
        <w:t xml:space="preserve">TEIKIMUI EUROPOS SĄJUNGOS FONDŲ INVESTICIJOMS GAUTI IR </w:t>
      </w:r>
      <w:r w:rsidRPr="00F17F63">
        <w:rPr>
          <w:szCs w:val="24"/>
        </w:rPr>
        <w:t xml:space="preserve">PROJEKTO DALINIO FINANSAVIMO </w:t>
      </w:r>
    </w:p>
    <w:p w14:paraId="6DFF6734" w14:textId="77777777" w:rsidR="00B0596B" w:rsidRPr="00CC063E" w:rsidRDefault="00B0596B" w:rsidP="00156131">
      <w:pPr>
        <w:pStyle w:val="BodyText3"/>
        <w:rPr>
          <w:bCs/>
          <w:szCs w:val="24"/>
        </w:rPr>
      </w:pPr>
    </w:p>
    <w:p w14:paraId="7A2729CD" w14:textId="02472F17" w:rsidR="00CE4261" w:rsidRPr="007D7B8A" w:rsidRDefault="00F8746D" w:rsidP="00156131">
      <w:pPr>
        <w:tabs>
          <w:tab w:val="left" w:pos="0"/>
        </w:tabs>
        <w:jc w:val="center"/>
      </w:pPr>
      <w:r>
        <w:t>2016</w:t>
      </w:r>
      <w:r w:rsidR="009B6303">
        <w:t xml:space="preserve"> m. lapkričio</w:t>
      </w:r>
      <w:r w:rsidR="00B7566C">
        <w:t xml:space="preserve"> </w:t>
      </w:r>
      <w:r w:rsidR="00CE4261">
        <w:t xml:space="preserve"> </w:t>
      </w:r>
      <w:r w:rsidR="00D0203D">
        <w:t xml:space="preserve"> </w:t>
      </w:r>
      <w:r w:rsidR="00CE4261">
        <w:t>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0B92728B" w14:textId="77777777" w:rsidR="00671CC0" w:rsidRDefault="00671CC0" w:rsidP="00671CC0">
      <w:pPr>
        <w:spacing w:line="360" w:lineRule="auto"/>
        <w:ind w:firstLine="360"/>
        <w:jc w:val="both"/>
      </w:pPr>
      <w:r>
        <w:t>Panevėžio miestas pasižymi želdynų gausa, kurie pagyvina miesto estetinį vaizdą, suteikia išskirtinumo ir žavesio. Nepaisant to, kai kurių želdynų būklė yra prasta, nes trūksta lėšų jų sutvarkymui ir priežiūrai. Vienos tokių teritorijų – Jaunimo sodas, A. Jakšto skveras ir Maironio alėja. Tai rekreacinės paskirties želdynai, kuriems turėtų būti skiriamas ypatingas dėmesys, siekiant maksimaliai tenkinti Panevėžio miesto gyventojų ir atvykstančiųjų poilsio, laisvalaikio gamtoje poreikius.</w:t>
      </w:r>
    </w:p>
    <w:p w14:paraId="0C40F413" w14:textId="77777777" w:rsidR="00671CC0" w:rsidRDefault="00671CC0" w:rsidP="00671CC0">
      <w:pPr>
        <w:spacing w:line="360" w:lineRule="auto"/>
        <w:ind w:firstLine="360"/>
        <w:jc w:val="both"/>
      </w:pPr>
      <w:r>
        <w:t xml:space="preserve">Siekiant spręsti Panevėžio mieste egzistuojančias želdynų infrastruktūros problemas ir skatinti miesto socialinę plėtotę, estetinės aplinkos gerėjimą, yra būtina įgyvendinti investicijų projektą „Jaunimo sodo sutvarkymas“ ir investuoti į miesto želdynų būklės gerinimą, tokiu būdu želdynus atnaujinant ir pritaikant Panevėžio miesto gyventojų ir svečių poreikiams, kuriant patrauklaus gyventi, dirbti ir investuoti miesto įvaizdį. </w:t>
      </w:r>
    </w:p>
    <w:p w14:paraId="32E02B82" w14:textId="77777777" w:rsidR="00671CC0" w:rsidRDefault="00671CC0" w:rsidP="00671CC0">
      <w:pPr>
        <w:spacing w:line="360" w:lineRule="auto"/>
        <w:ind w:firstLine="360"/>
        <w:jc w:val="both"/>
      </w:pPr>
      <w:r>
        <w:t>Projekto problematikai spręsti inicijuojamas investicijų projekto tikslas – kurti palankias sąlygas verslui bei skatinti bendruomeninę veiklą Panevėžio mieste.</w:t>
      </w:r>
    </w:p>
    <w:p w14:paraId="5CF1F351" w14:textId="77777777" w:rsidR="00671CC0" w:rsidRDefault="00671CC0" w:rsidP="00671CC0">
      <w:pPr>
        <w:spacing w:line="360" w:lineRule="auto"/>
        <w:ind w:firstLine="360"/>
        <w:jc w:val="both"/>
      </w:pPr>
      <w:r>
        <w:t>Projekto tikslui pasiekti numatomas uždavinys – miesto želdynų sutvarkymas, gerinant žaliosios infrastruktūros būklę ir prieinamumą.</w:t>
      </w:r>
    </w:p>
    <w:p w14:paraId="5893B515" w14:textId="45787B18" w:rsidR="00671CC0" w:rsidRDefault="00671CC0" w:rsidP="00671CC0">
      <w:pPr>
        <w:spacing w:line="360" w:lineRule="auto"/>
        <w:ind w:firstLine="360"/>
        <w:jc w:val="both"/>
      </w:pPr>
      <w:r w:rsidRPr="00671CC0">
        <w:t>Projekto metu numatoma sutvarkyti Panevėžio miesto Jaunimo sodą, A. Jakšto skverą ir Maironio alėją. Šių teritorijų būklė šiuo metu yra nepatenkinama, o tai neužtikrina tikslinių grupių poreikių ir lūkesčių tenkinimo. Įgyvendinus projektą teritorijose numatoma pertvarkyti želdinius, atnaujinti bei naujai įrengti mažosios architektūros elementus, pėsčiųjų ir dviračių takus, apšvietimo sistemą, vaikų žaidimo ir krepšinio aikšteles ir kt.</w:t>
      </w:r>
    </w:p>
    <w:p w14:paraId="1F533E89" w14:textId="49104324" w:rsidR="00671CC0" w:rsidRPr="00C25BD0" w:rsidRDefault="00671CC0" w:rsidP="00671CC0">
      <w:pPr>
        <w:spacing w:line="360" w:lineRule="auto"/>
        <w:ind w:firstLine="360"/>
        <w:jc w:val="both"/>
      </w:pPr>
      <w:r>
        <w:t>Tiesioginę naudą iš numatomo įgyvendinti investicijų projekto gaus Panevėžio miesto gyventojai, miesto svečiai bei mieste veikiantys ūkio subjektai. Šių tikslinių grupių poreikis – patraukli miesto gyvenamoji, rekreacinė, investicinė ir verslo aplinka. Projektas gerins Panevėžio miesto estetinį vaizdą bei bus naudingas ekonominiam sektoriui.</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3B66FDE3" w:rsidR="00E14F26" w:rsidRPr="00C25BD0" w:rsidRDefault="000F6EAA" w:rsidP="00C25BD0">
      <w:pPr>
        <w:tabs>
          <w:tab w:val="left" w:pos="0"/>
        </w:tabs>
        <w:spacing w:line="360" w:lineRule="auto"/>
        <w:ind w:firstLine="851"/>
        <w:jc w:val="both"/>
      </w:pPr>
      <w:r w:rsidRPr="00C25BD0">
        <w:t>Savivaldybės administracija, planuoja įgyvendinti projektą „</w:t>
      </w:r>
      <w:r w:rsidR="00671CC0">
        <w:t>Jaunimo sodo sutvarkymas</w:t>
      </w:r>
      <w:r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ListParagraph"/>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ListParagraph"/>
        <w:numPr>
          <w:ilvl w:val="0"/>
          <w:numId w:val="5"/>
        </w:numPr>
        <w:spacing w:line="360" w:lineRule="auto"/>
        <w:ind w:left="0" w:firstLine="851"/>
        <w:jc w:val="both"/>
      </w:pPr>
      <w:r w:rsidRPr="00C25BD0">
        <w:lastRenderedPageBreak/>
        <w:t>Panevėžio regiono 2014–2020 m. plėtros planą, patvirtintą Panevėžio regiono plėtros tarybos 2015 m. spalio 15 d. sprendimu Nr. 51/4S-23;</w:t>
      </w:r>
    </w:p>
    <w:p w14:paraId="7FCF4578" w14:textId="77777777" w:rsidR="00134410" w:rsidRPr="00C25BD0" w:rsidRDefault="00134410" w:rsidP="00C25BD0">
      <w:pPr>
        <w:pStyle w:val="ListParagraph"/>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p>
    <w:p w14:paraId="43BD637C" w14:textId="7A702903" w:rsidR="006748DD" w:rsidRPr="00C25BD0"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414B0D">
        <w:rPr>
          <w:bCs/>
        </w:rPr>
        <w:t>D</w:t>
      </w:r>
      <w:r w:rsidR="00414B0D" w:rsidRPr="00414B0D">
        <w:rPr>
          <w:bCs/>
        </w:rPr>
        <w:t>ėl pritarimo projekto „</w:t>
      </w:r>
      <w:r w:rsidR="00671CC0">
        <w:t>Jaunimo sodo sutvarkymas</w:t>
      </w:r>
      <w:r w:rsidR="00414B0D" w:rsidRPr="00414B0D">
        <w:rPr>
          <w:bCs/>
        </w:rPr>
        <w:t xml:space="preserve">“ įgyvendinimui ir teikimui </w:t>
      </w:r>
      <w:r w:rsidR="00414B0D">
        <w:rPr>
          <w:bCs/>
        </w:rPr>
        <w:t>E</w:t>
      </w:r>
      <w:r w:rsidR="00414B0D" w:rsidRPr="00414B0D">
        <w:rPr>
          <w:bCs/>
        </w:rPr>
        <w:t>uropos sąjungos fondų investicijoms gauti ir projekto dalinio finansavimo</w:t>
      </w:r>
      <w:r w:rsidR="00414B0D" w:rsidRPr="00C25BD0">
        <w:rPr>
          <w:bCs/>
        </w:rPr>
        <w:t xml:space="preserve">“ </w:t>
      </w:r>
      <w:r w:rsidR="00134410" w:rsidRPr="00C25BD0">
        <w:rPr>
          <w:bCs/>
        </w:rPr>
        <w:t xml:space="preserve">Europos Sąjungos fondų investicijoms gauti ir </w:t>
      </w:r>
      <w:r w:rsidR="00134410" w:rsidRPr="00C25BD0">
        <w:t>projekto dalinio finansavimo</w:t>
      </w:r>
      <w:r w:rsidR="00134410" w:rsidRPr="00C25BD0">
        <w:rPr>
          <w:bCs/>
        </w:rPr>
        <w:t>“ kuriuo Savivaldybės Taryba nusprendžia teikti Projektą Europos Sąjungos fondų investicijoms gauti</w:t>
      </w:r>
      <w:r w:rsidR="002D5815" w:rsidRPr="00C25BD0">
        <w:rPr>
          <w:bCs/>
        </w:rPr>
        <w:t>,</w:t>
      </w:r>
      <w:r w:rsidR="002A2E19" w:rsidRPr="00C25BD0">
        <w:t xml:space="preserve"> skirti lėšas projektui dalinai finansuoti, </w:t>
      </w:r>
      <w:r w:rsidR="004127D6" w:rsidRPr="00C25BD0">
        <w:t xml:space="preserve">padengti </w:t>
      </w:r>
      <w:r w:rsidR="00542F1D">
        <w:t xml:space="preserve">tinkamų finansuoti išlaidų dalį, kurios nepadengia projektui skiriamo finansavimo lėšos ir netinkamas finansuoti, </w:t>
      </w:r>
      <w:r w:rsidR="00542F1D" w:rsidRPr="0011226B">
        <w:t xml:space="preserve">tačiau </w:t>
      </w:r>
      <w:r w:rsidR="00542F1D">
        <w:t>P</w:t>
      </w:r>
      <w:r w:rsidR="00542F1D" w:rsidRPr="0011226B">
        <w:t>rojektui įgyvendinti būtinas išlaidas</w:t>
      </w:r>
      <w:r w:rsidR="00CC6D07" w:rsidRPr="00C25BD0">
        <w:t>.</w:t>
      </w: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29C02318" w14:textId="5D750823" w:rsidR="00C25BD0" w:rsidRDefault="00EB2F9A" w:rsidP="00EB2F9A">
      <w:pPr>
        <w:tabs>
          <w:tab w:val="left" w:pos="0"/>
        </w:tabs>
        <w:spacing w:line="360" w:lineRule="auto"/>
        <w:ind w:firstLine="709"/>
        <w:jc w:val="both"/>
        <w:rPr>
          <w:sz w:val="23"/>
          <w:szCs w:val="23"/>
        </w:rPr>
      </w:pPr>
      <w:r w:rsidRPr="00C25BD0">
        <w:t>Vadovaujantis 2014–2020 metų Europos Sąjungos fondų investicijų veiksmų programos 7 prioriteto „Kokybiško užimtumo ir dalyvavimo darbo rinkoje skatinimas“ Nr. 07.1.1-CPVA-R-904 priemonės „Didžiųjų miestų kompleksinė plėtra“</w:t>
      </w:r>
      <w:r>
        <w:t xml:space="preserve"> (toliau – Priemonė) </w:t>
      </w:r>
      <w:r w:rsidRPr="00C25BD0">
        <w:t>projektų finansavimo sąlygų aprašo</w:t>
      </w:r>
      <w:r>
        <w:t xml:space="preserve"> (toliau – Aprašas)</w:t>
      </w:r>
      <w:r w:rsidRPr="00C25BD0">
        <w:t>, patvirtinto Lietuvos Respublikos vidaus reikalų ministro 2015 m. gruodžio 10 d. įsakymu Nr. 1V-989</w:t>
      </w:r>
      <w:r>
        <w:t xml:space="preserve">, kartu su paraiška </w:t>
      </w:r>
      <w:r>
        <w:rPr>
          <w:sz w:val="23"/>
          <w:szCs w:val="23"/>
        </w:rPr>
        <w:t>pareiškėjas turi pateikti savivaldybės tarybos sprendimą dėl bendrojo finansavimo dalies iš savivaldybės biudžeto lėšų skyrimo projektui, įskaitant ir netink</w:t>
      </w:r>
      <w:r w:rsidR="00671CC0">
        <w:rPr>
          <w:sz w:val="23"/>
          <w:szCs w:val="23"/>
        </w:rPr>
        <w:t>amų projekto išlaidų apmokėjimą.</w:t>
      </w:r>
    </w:p>
    <w:p w14:paraId="61406A16" w14:textId="77777777" w:rsidR="00671CC0" w:rsidRPr="00671CC0" w:rsidRDefault="00671CC0" w:rsidP="00671CC0">
      <w:pPr>
        <w:tabs>
          <w:tab w:val="left" w:pos="0"/>
        </w:tabs>
        <w:spacing w:line="360" w:lineRule="auto"/>
        <w:ind w:firstLine="709"/>
        <w:jc w:val="both"/>
        <w:rPr>
          <w:sz w:val="23"/>
          <w:szCs w:val="23"/>
        </w:rPr>
      </w:pPr>
      <w:r w:rsidRPr="00671CC0">
        <w:rPr>
          <w:sz w:val="23"/>
          <w:szCs w:val="23"/>
        </w:rPr>
        <w:t>Investicijų projektu siekiami rezultatai ekonominėje ir socialinėje srityse:</w:t>
      </w:r>
    </w:p>
    <w:p w14:paraId="6B1914D3" w14:textId="77777777" w:rsidR="00671CC0" w:rsidRDefault="00671CC0" w:rsidP="00671CC0">
      <w:pPr>
        <w:pStyle w:val="ListParagraph"/>
        <w:numPr>
          <w:ilvl w:val="0"/>
          <w:numId w:val="5"/>
        </w:numPr>
        <w:tabs>
          <w:tab w:val="left" w:pos="0"/>
        </w:tabs>
        <w:spacing w:line="360" w:lineRule="auto"/>
        <w:jc w:val="both"/>
        <w:rPr>
          <w:sz w:val="23"/>
          <w:szCs w:val="23"/>
        </w:rPr>
      </w:pPr>
      <w:r w:rsidRPr="00671CC0">
        <w:rPr>
          <w:sz w:val="23"/>
          <w:szCs w:val="23"/>
        </w:rPr>
        <w:t>projektas prisidės prie Panevėžio miesto gyvenamosios aplinkos gerinimo;</w:t>
      </w:r>
    </w:p>
    <w:p w14:paraId="5941B868" w14:textId="77777777" w:rsidR="00671CC0" w:rsidRDefault="00671CC0" w:rsidP="00671CC0">
      <w:pPr>
        <w:pStyle w:val="ListParagraph"/>
        <w:numPr>
          <w:ilvl w:val="0"/>
          <w:numId w:val="5"/>
        </w:numPr>
        <w:tabs>
          <w:tab w:val="left" w:pos="0"/>
        </w:tabs>
        <w:spacing w:line="360" w:lineRule="auto"/>
        <w:jc w:val="both"/>
        <w:rPr>
          <w:sz w:val="23"/>
          <w:szCs w:val="23"/>
        </w:rPr>
      </w:pPr>
      <w:r w:rsidRPr="00671CC0">
        <w:rPr>
          <w:sz w:val="23"/>
          <w:szCs w:val="23"/>
        </w:rPr>
        <w:t>projekto metu žaliosios infrastruktūros tvarkymo darbai bus vykdomi atsižvelgiant į miesto gyventojų poreikius; tikimasi, kad sutvarkyta Panevėžio miesto žalioji infrastruktūra didins miesto gyventojų pasitenkinimą gyvenamąja aplinka, padės visapusiškai tenkinti laisvalaikio, rekreacijos poreikius;</w:t>
      </w:r>
    </w:p>
    <w:p w14:paraId="3E629EF0" w14:textId="77777777" w:rsidR="00671CC0" w:rsidRDefault="00671CC0" w:rsidP="00671CC0">
      <w:pPr>
        <w:pStyle w:val="ListParagraph"/>
        <w:numPr>
          <w:ilvl w:val="0"/>
          <w:numId w:val="5"/>
        </w:numPr>
        <w:tabs>
          <w:tab w:val="left" w:pos="0"/>
        </w:tabs>
        <w:spacing w:line="360" w:lineRule="auto"/>
        <w:jc w:val="both"/>
        <w:rPr>
          <w:sz w:val="23"/>
          <w:szCs w:val="23"/>
        </w:rPr>
      </w:pPr>
      <w:r w:rsidRPr="00671CC0">
        <w:rPr>
          <w:sz w:val="23"/>
          <w:szCs w:val="23"/>
        </w:rPr>
        <w:t>sutvarkyti želdynai prisidės ir prie investicinės ir verslo aplinkos patrauklumo didinimo, turistų srautų augimo;</w:t>
      </w:r>
    </w:p>
    <w:p w14:paraId="714ACBB0" w14:textId="68782FC2" w:rsidR="00671CC0" w:rsidRPr="00671CC0" w:rsidRDefault="00671CC0" w:rsidP="00671CC0">
      <w:pPr>
        <w:pStyle w:val="ListParagraph"/>
        <w:numPr>
          <w:ilvl w:val="0"/>
          <w:numId w:val="5"/>
        </w:numPr>
        <w:tabs>
          <w:tab w:val="left" w:pos="0"/>
        </w:tabs>
        <w:spacing w:line="360" w:lineRule="auto"/>
        <w:jc w:val="both"/>
        <w:rPr>
          <w:sz w:val="23"/>
          <w:szCs w:val="23"/>
        </w:rPr>
      </w:pPr>
      <w:r w:rsidRPr="00671CC0">
        <w:rPr>
          <w:sz w:val="23"/>
          <w:szCs w:val="23"/>
        </w:rPr>
        <w:t>sukūrus erdves miesto gyventojams pabūti kartu, stiprės bendruomeniškumas, augs pasitikėjimas vietos valdžios institucijomis ir kt.</w:t>
      </w:r>
    </w:p>
    <w:p w14:paraId="2923B52E" w14:textId="77777777" w:rsidR="00671CC0" w:rsidRDefault="00671CC0" w:rsidP="00EB2F9A">
      <w:pPr>
        <w:tabs>
          <w:tab w:val="left" w:pos="0"/>
        </w:tabs>
        <w:spacing w:line="360" w:lineRule="auto"/>
        <w:ind w:firstLine="709"/>
        <w:jc w:val="both"/>
      </w:pPr>
    </w:p>
    <w:p w14:paraId="3BE25D50" w14:textId="77777777" w:rsidR="00671CC0" w:rsidRPr="00671CC0" w:rsidRDefault="00671CC0" w:rsidP="00C25BD0">
      <w:pPr>
        <w:numPr>
          <w:ilvl w:val="0"/>
          <w:numId w:val="3"/>
        </w:numPr>
        <w:spacing w:line="360" w:lineRule="auto"/>
        <w:jc w:val="both"/>
        <w:rPr>
          <w:b/>
          <w:vanish/>
        </w:rPr>
      </w:pPr>
    </w:p>
    <w:p w14:paraId="1A5F0250" w14:textId="77777777" w:rsidR="005E4165" w:rsidRPr="00C25BD0" w:rsidRDefault="00CE4261" w:rsidP="00C25BD0">
      <w:pPr>
        <w:numPr>
          <w:ilvl w:val="0"/>
          <w:numId w:val="3"/>
        </w:numPr>
        <w:spacing w:line="360" w:lineRule="auto"/>
        <w:jc w:val="both"/>
        <w:rPr>
          <w:b/>
          <w:vanish/>
        </w:rPr>
      </w:pPr>
      <w:r w:rsidRPr="00C25BD0">
        <w:rPr>
          <w:b/>
        </w:rPr>
        <w:t xml:space="preserve">Skaičiavimai, išlaidų sąmatos, finansavimo </w:t>
      </w:r>
      <w:proofErr w:type="spellStart"/>
      <w:r w:rsidRPr="00C25BD0">
        <w:rPr>
          <w:b/>
        </w:rPr>
        <w:t>šaltiniai:</w:t>
      </w:r>
    </w:p>
    <w:p w14:paraId="371FCB03" w14:textId="77777777" w:rsidR="00213F0F" w:rsidRDefault="00213F0F" w:rsidP="00C25BD0">
      <w:pPr>
        <w:pStyle w:val="Default"/>
        <w:spacing w:line="360" w:lineRule="auto"/>
        <w:ind w:firstLine="709"/>
        <w:jc w:val="both"/>
      </w:pPr>
      <w:proofErr w:type="spellEnd"/>
    </w:p>
    <w:p w14:paraId="759C52AC" w14:textId="34726E48" w:rsidR="00E421BD" w:rsidRPr="00C25BD0" w:rsidRDefault="00327D6D" w:rsidP="00C25BD0">
      <w:pPr>
        <w:pStyle w:val="Default"/>
        <w:spacing w:line="360" w:lineRule="auto"/>
        <w:ind w:firstLine="709"/>
        <w:jc w:val="both"/>
      </w:pPr>
      <w:r w:rsidRPr="00C25BD0">
        <w:t>Vadovaujantis</w:t>
      </w:r>
      <w:r w:rsidR="00E421BD" w:rsidRPr="00C25BD0">
        <w:t xml:space="preserve"> </w:t>
      </w:r>
      <w:r w:rsidR="00EB2F9A">
        <w:t>Aprašo</w:t>
      </w:r>
      <w:r w:rsidR="00E421BD" w:rsidRPr="00C25BD0">
        <w:t xml:space="preserve"> 30 punktu „Didžiausia galima projekto finansuojamoji dalis sudaro 92,5 proc. visų tinkamų finansuoti projekto išlaidų, išskyrus Aprašo 31 punkte nurodytas išimtis. Pareiškėjas privalo prisidėti prie projekto finansavimo ne mažiau nei 7,5 proc. visų tinkamų fina</w:t>
      </w:r>
      <w:r w:rsidR="00542F1D">
        <w:t>nsuoti projekto išlaidų...“</w:t>
      </w:r>
    </w:p>
    <w:p w14:paraId="091C7A70" w14:textId="77777777" w:rsidR="00E421BD" w:rsidRDefault="00E421BD" w:rsidP="00156131">
      <w:pPr>
        <w:jc w:val="both"/>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993"/>
        <w:gridCol w:w="1133"/>
        <w:gridCol w:w="1133"/>
        <w:gridCol w:w="1133"/>
        <w:gridCol w:w="1135"/>
        <w:gridCol w:w="1100"/>
      </w:tblGrid>
      <w:tr w:rsidR="00213F0F" w14:paraId="5BEC979E" w14:textId="77777777" w:rsidTr="00887835">
        <w:trPr>
          <w:trHeight w:val="1272"/>
        </w:trPr>
        <w:tc>
          <w:tcPr>
            <w:tcW w:w="918" w:type="pct"/>
            <w:shd w:val="clear" w:color="000000" w:fill="963634"/>
            <w:vAlign w:val="center"/>
            <w:hideMark/>
          </w:tcPr>
          <w:p w14:paraId="1F068AAE" w14:textId="77777777" w:rsidR="00213F0F" w:rsidRPr="00751EAE" w:rsidRDefault="00213F0F" w:rsidP="00887835">
            <w:pPr>
              <w:jc w:val="center"/>
              <w:rPr>
                <w:b/>
                <w:bCs/>
                <w:color w:val="FFFFFF"/>
                <w:sz w:val="20"/>
                <w:szCs w:val="20"/>
              </w:rPr>
            </w:pPr>
            <w:r w:rsidRPr="00751EAE">
              <w:rPr>
                <w:b/>
                <w:bCs/>
                <w:color w:val="FFFFFF"/>
                <w:sz w:val="20"/>
                <w:szCs w:val="20"/>
              </w:rPr>
              <w:lastRenderedPageBreak/>
              <w:t>Projektas</w:t>
            </w:r>
          </w:p>
        </w:tc>
        <w:tc>
          <w:tcPr>
            <w:tcW w:w="719" w:type="pct"/>
            <w:shd w:val="clear" w:color="000000" w:fill="D8E4BC"/>
            <w:vAlign w:val="center"/>
            <w:hideMark/>
          </w:tcPr>
          <w:p w14:paraId="59030250" w14:textId="77777777" w:rsidR="00213F0F" w:rsidRPr="00751EAE" w:rsidRDefault="00213F0F" w:rsidP="00887835">
            <w:pPr>
              <w:jc w:val="center"/>
              <w:rPr>
                <w:b/>
                <w:bCs/>
                <w:color w:val="000000"/>
                <w:sz w:val="20"/>
                <w:szCs w:val="20"/>
              </w:rPr>
            </w:pPr>
            <w:r w:rsidRPr="00751EAE">
              <w:rPr>
                <w:b/>
                <w:bCs/>
                <w:color w:val="000000"/>
                <w:sz w:val="20"/>
                <w:szCs w:val="20"/>
              </w:rPr>
              <w:t>Planuojamas įgyvendinimo laikotarpis</w:t>
            </w:r>
          </w:p>
        </w:tc>
        <w:tc>
          <w:tcPr>
            <w:tcW w:w="504" w:type="pct"/>
            <w:shd w:val="clear" w:color="000000" w:fill="D8E4BC"/>
            <w:vAlign w:val="center"/>
            <w:hideMark/>
          </w:tcPr>
          <w:p w14:paraId="637C8D61" w14:textId="77777777" w:rsidR="00213F0F" w:rsidRPr="00751EAE" w:rsidRDefault="00213F0F" w:rsidP="00887835">
            <w:pPr>
              <w:jc w:val="center"/>
              <w:rPr>
                <w:b/>
                <w:bCs/>
                <w:color w:val="000000"/>
                <w:sz w:val="20"/>
                <w:szCs w:val="20"/>
              </w:rPr>
            </w:pPr>
            <w:r w:rsidRPr="00751EAE">
              <w:rPr>
                <w:b/>
                <w:bCs/>
                <w:color w:val="000000"/>
                <w:sz w:val="20"/>
                <w:szCs w:val="20"/>
              </w:rPr>
              <w:t>Pareiškėjas</w:t>
            </w:r>
          </w:p>
        </w:tc>
        <w:tc>
          <w:tcPr>
            <w:tcW w:w="575" w:type="pct"/>
            <w:shd w:val="clear" w:color="000000" w:fill="D8E4BC"/>
            <w:vAlign w:val="center"/>
            <w:hideMark/>
          </w:tcPr>
          <w:p w14:paraId="3C48A5AB" w14:textId="77777777" w:rsidR="00213F0F" w:rsidRPr="00751EAE" w:rsidRDefault="00213F0F" w:rsidP="00887835">
            <w:pPr>
              <w:jc w:val="center"/>
              <w:rPr>
                <w:b/>
                <w:bCs/>
                <w:color w:val="000000"/>
                <w:sz w:val="20"/>
                <w:szCs w:val="20"/>
              </w:rPr>
            </w:pPr>
            <w:r w:rsidRPr="00751EAE">
              <w:rPr>
                <w:b/>
                <w:bCs/>
                <w:color w:val="000000"/>
                <w:sz w:val="20"/>
                <w:szCs w:val="20"/>
              </w:rPr>
              <w:t>Atsakinga valstybės institucija</w:t>
            </w:r>
          </w:p>
        </w:tc>
        <w:tc>
          <w:tcPr>
            <w:tcW w:w="575" w:type="pct"/>
            <w:shd w:val="clear" w:color="000000" w:fill="C4BD97"/>
            <w:vAlign w:val="center"/>
            <w:hideMark/>
          </w:tcPr>
          <w:p w14:paraId="4A086C62" w14:textId="77777777" w:rsidR="00213F0F" w:rsidRPr="00751EAE" w:rsidRDefault="00213F0F" w:rsidP="00887835">
            <w:pPr>
              <w:jc w:val="center"/>
              <w:rPr>
                <w:b/>
                <w:bCs/>
                <w:sz w:val="20"/>
                <w:szCs w:val="20"/>
              </w:rPr>
            </w:pPr>
            <w:r w:rsidRPr="00751EAE">
              <w:rPr>
                <w:b/>
                <w:bCs/>
                <w:sz w:val="20"/>
                <w:szCs w:val="20"/>
              </w:rPr>
              <w:t>Viso preliminarus lėšų poreikis (EUR):</w:t>
            </w:r>
          </w:p>
        </w:tc>
        <w:tc>
          <w:tcPr>
            <w:tcW w:w="575" w:type="pct"/>
            <w:shd w:val="clear" w:color="000000" w:fill="C4BD97"/>
            <w:vAlign w:val="center"/>
            <w:hideMark/>
          </w:tcPr>
          <w:p w14:paraId="4032CE95" w14:textId="77777777" w:rsidR="00213F0F" w:rsidRPr="00751EAE" w:rsidRDefault="00213F0F" w:rsidP="00887835">
            <w:pPr>
              <w:jc w:val="center"/>
              <w:rPr>
                <w:b/>
                <w:bCs/>
                <w:sz w:val="20"/>
                <w:szCs w:val="20"/>
              </w:rPr>
            </w:pPr>
            <w:r w:rsidRPr="00751EAE">
              <w:rPr>
                <w:b/>
                <w:bCs/>
                <w:sz w:val="20"/>
                <w:szCs w:val="20"/>
              </w:rPr>
              <w:t>ES lėšos (EUR):</w:t>
            </w:r>
          </w:p>
        </w:tc>
        <w:tc>
          <w:tcPr>
            <w:tcW w:w="576" w:type="pct"/>
            <w:shd w:val="clear" w:color="000000" w:fill="C4BD97"/>
            <w:vAlign w:val="center"/>
            <w:hideMark/>
          </w:tcPr>
          <w:p w14:paraId="782C01F1" w14:textId="77777777" w:rsidR="00213F0F" w:rsidRPr="00751EAE" w:rsidRDefault="00213F0F" w:rsidP="00887835">
            <w:pPr>
              <w:jc w:val="center"/>
              <w:rPr>
                <w:b/>
                <w:bCs/>
                <w:sz w:val="20"/>
                <w:szCs w:val="20"/>
              </w:rPr>
            </w:pPr>
            <w:r w:rsidRPr="00751EAE">
              <w:rPr>
                <w:b/>
                <w:bCs/>
                <w:sz w:val="20"/>
                <w:szCs w:val="20"/>
              </w:rPr>
              <w:t>Savivaldybės biudžeto lėšos (EUR):</w:t>
            </w:r>
          </w:p>
        </w:tc>
        <w:tc>
          <w:tcPr>
            <w:tcW w:w="558" w:type="pct"/>
            <w:shd w:val="clear" w:color="000000" w:fill="C4BD97"/>
            <w:vAlign w:val="center"/>
            <w:hideMark/>
          </w:tcPr>
          <w:p w14:paraId="4B537642" w14:textId="77777777" w:rsidR="00213F0F" w:rsidRPr="00751EAE" w:rsidRDefault="00213F0F" w:rsidP="00887835">
            <w:pPr>
              <w:jc w:val="center"/>
              <w:rPr>
                <w:b/>
                <w:bCs/>
                <w:sz w:val="20"/>
                <w:szCs w:val="20"/>
              </w:rPr>
            </w:pPr>
            <w:r w:rsidRPr="00751EAE">
              <w:rPr>
                <w:b/>
                <w:bCs/>
                <w:sz w:val="20"/>
                <w:szCs w:val="20"/>
              </w:rPr>
              <w:t>Valstybės biudžeto lėšos (EUR):</w:t>
            </w:r>
          </w:p>
        </w:tc>
      </w:tr>
      <w:tr w:rsidR="00213F0F" w14:paraId="53747E58" w14:textId="77777777" w:rsidTr="00887835">
        <w:trPr>
          <w:trHeight w:val="1687"/>
        </w:trPr>
        <w:tc>
          <w:tcPr>
            <w:tcW w:w="918" w:type="pct"/>
            <w:shd w:val="clear" w:color="000000" w:fill="DCE6F1"/>
            <w:vAlign w:val="center"/>
            <w:hideMark/>
          </w:tcPr>
          <w:p w14:paraId="1E8179D8" w14:textId="658CA0EA" w:rsidR="00213F0F" w:rsidRPr="00751EAE" w:rsidRDefault="00213F0F" w:rsidP="00887835">
            <w:pPr>
              <w:jc w:val="center"/>
              <w:rPr>
                <w:sz w:val="20"/>
                <w:szCs w:val="20"/>
              </w:rPr>
            </w:pPr>
            <w:r w:rsidRPr="00213F0F">
              <w:rPr>
                <w:sz w:val="20"/>
                <w:szCs w:val="20"/>
              </w:rPr>
              <w:t>Jaunimo sodo sutvarkymas</w:t>
            </w:r>
          </w:p>
        </w:tc>
        <w:tc>
          <w:tcPr>
            <w:tcW w:w="719" w:type="pct"/>
            <w:shd w:val="clear" w:color="auto" w:fill="auto"/>
            <w:noWrap/>
            <w:vAlign w:val="center"/>
            <w:hideMark/>
          </w:tcPr>
          <w:p w14:paraId="682C0718" w14:textId="77777777" w:rsidR="00213F0F" w:rsidRPr="00751EAE" w:rsidRDefault="00213F0F" w:rsidP="00887835">
            <w:pPr>
              <w:jc w:val="center"/>
              <w:rPr>
                <w:color w:val="000000"/>
                <w:sz w:val="20"/>
                <w:szCs w:val="20"/>
              </w:rPr>
            </w:pPr>
            <w:r w:rsidRPr="00751EAE">
              <w:rPr>
                <w:color w:val="000000"/>
                <w:sz w:val="20"/>
                <w:szCs w:val="20"/>
              </w:rPr>
              <w:t>2016-2019</w:t>
            </w:r>
          </w:p>
        </w:tc>
        <w:tc>
          <w:tcPr>
            <w:tcW w:w="504" w:type="pct"/>
            <w:shd w:val="clear" w:color="auto" w:fill="auto"/>
            <w:vAlign w:val="center"/>
            <w:hideMark/>
          </w:tcPr>
          <w:p w14:paraId="7C190353" w14:textId="77777777" w:rsidR="00213F0F" w:rsidRPr="00751EAE" w:rsidRDefault="00213F0F" w:rsidP="00887835">
            <w:pPr>
              <w:jc w:val="center"/>
              <w:rPr>
                <w:color w:val="000000"/>
                <w:sz w:val="20"/>
                <w:szCs w:val="20"/>
              </w:rPr>
            </w:pPr>
            <w:r w:rsidRPr="00751EAE">
              <w:rPr>
                <w:color w:val="000000"/>
                <w:sz w:val="20"/>
                <w:szCs w:val="20"/>
              </w:rPr>
              <w:t>Panevėžio miesto savivaldybės administracija</w:t>
            </w:r>
          </w:p>
        </w:tc>
        <w:tc>
          <w:tcPr>
            <w:tcW w:w="575" w:type="pct"/>
            <w:shd w:val="clear" w:color="000000" w:fill="FFFFFF"/>
            <w:vAlign w:val="center"/>
            <w:hideMark/>
          </w:tcPr>
          <w:p w14:paraId="66A17EA9" w14:textId="77777777" w:rsidR="00213F0F" w:rsidRPr="00751EAE" w:rsidRDefault="00213F0F" w:rsidP="00887835">
            <w:pPr>
              <w:jc w:val="center"/>
              <w:rPr>
                <w:color w:val="000000"/>
                <w:sz w:val="20"/>
                <w:szCs w:val="20"/>
              </w:rPr>
            </w:pPr>
            <w:r w:rsidRPr="00751EAE">
              <w:rPr>
                <w:color w:val="000000"/>
                <w:sz w:val="20"/>
                <w:szCs w:val="20"/>
              </w:rPr>
              <w:t>VRM</w:t>
            </w:r>
          </w:p>
        </w:tc>
        <w:tc>
          <w:tcPr>
            <w:tcW w:w="575" w:type="pct"/>
            <w:shd w:val="clear" w:color="000000" w:fill="D8E4BC"/>
            <w:noWrap/>
            <w:vAlign w:val="center"/>
            <w:hideMark/>
          </w:tcPr>
          <w:p w14:paraId="5C850ECE" w14:textId="045675CD" w:rsidR="00213F0F" w:rsidRPr="00751EAE" w:rsidRDefault="00213F0F" w:rsidP="00213F0F">
            <w:pPr>
              <w:jc w:val="center"/>
              <w:rPr>
                <w:color w:val="000000"/>
                <w:sz w:val="20"/>
                <w:szCs w:val="20"/>
              </w:rPr>
            </w:pPr>
            <w:r>
              <w:rPr>
                <w:color w:val="000000"/>
                <w:sz w:val="20"/>
                <w:szCs w:val="20"/>
              </w:rPr>
              <w:t>941</w:t>
            </w:r>
            <w:r w:rsidRPr="00751EAE">
              <w:rPr>
                <w:color w:val="000000"/>
                <w:sz w:val="20"/>
                <w:szCs w:val="20"/>
              </w:rPr>
              <w:t xml:space="preserve"> </w:t>
            </w:r>
            <w:r>
              <w:rPr>
                <w:color w:val="000000"/>
                <w:sz w:val="20"/>
                <w:szCs w:val="20"/>
              </w:rPr>
              <w:t>265</w:t>
            </w:r>
          </w:p>
        </w:tc>
        <w:tc>
          <w:tcPr>
            <w:tcW w:w="575" w:type="pct"/>
            <w:shd w:val="clear" w:color="000000" w:fill="D8E4BC"/>
            <w:vAlign w:val="center"/>
            <w:hideMark/>
          </w:tcPr>
          <w:p w14:paraId="7795E6E0" w14:textId="33614E05" w:rsidR="00213F0F" w:rsidRPr="00751EAE" w:rsidRDefault="00213F0F" w:rsidP="00213F0F">
            <w:pPr>
              <w:ind w:hanging="34"/>
              <w:jc w:val="center"/>
              <w:rPr>
                <w:color w:val="000000"/>
                <w:sz w:val="20"/>
                <w:szCs w:val="20"/>
              </w:rPr>
            </w:pPr>
            <w:r>
              <w:rPr>
                <w:color w:val="000000"/>
                <w:sz w:val="20"/>
                <w:szCs w:val="20"/>
              </w:rPr>
              <w:t>800 075</w:t>
            </w:r>
          </w:p>
        </w:tc>
        <w:tc>
          <w:tcPr>
            <w:tcW w:w="576" w:type="pct"/>
            <w:shd w:val="clear" w:color="000000" w:fill="D8E4BC"/>
            <w:vAlign w:val="center"/>
            <w:hideMark/>
          </w:tcPr>
          <w:p w14:paraId="4CC70ABF" w14:textId="7E7B5049" w:rsidR="00213F0F" w:rsidRPr="00751EAE" w:rsidRDefault="00213F0F" w:rsidP="00213F0F">
            <w:pPr>
              <w:jc w:val="center"/>
              <w:rPr>
                <w:color w:val="000000"/>
                <w:sz w:val="20"/>
                <w:szCs w:val="20"/>
              </w:rPr>
            </w:pPr>
            <w:r>
              <w:rPr>
                <w:color w:val="000000"/>
                <w:sz w:val="20"/>
                <w:szCs w:val="20"/>
              </w:rPr>
              <w:t>70</w:t>
            </w:r>
            <w:r w:rsidRPr="00751EAE">
              <w:rPr>
                <w:color w:val="000000"/>
                <w:sz w:val="20"/>
                <w:szCs w:val="20"/>
              </w:rPr>
              <w:t xml:space="preserve"> </w:t>
            </w:r>
            <w:r>
              <w:rPr>
                <w:color w:val="000000"/>
                <w:sz w:val="20"/>
                <w:szCs w:val="20"/>
              </w:rPr>
              <w:t>595</w:t>
            </w:r>
          </w:p>
        </w:tc>
        <w:tc>
          <w:tcPr>
            <w:tcW w:w="558" w:type="pct"/>
            <w:shd w:val="clear" w:color="000000" w:fill="D8E4BC"/>
            <w:vAlign w:val="center"/>
            <w:hideMark/>
          </w:tcPr>
          <w:p w14:paraId="0AF42678" w14:textId="1D529C05" w:rsidR="00213F0F" w:rsidRPr="00751EAE" w:rsidRDefault="00213F0F" w:rsidP="00887835">
            <w:pPr>
              <w:jc w:val="center"/>
              <w:rPr>
                <w:color w:val="000000"/>
                <w:sz w:val="20"/>
                <w:szCs w:val="20"/>
              </w:rPr>
            </w:pPr>
            <w:r>
              <w:rPr>
                <w:color w:val="000000"/>
                <w:sz w:val="20"/>
                <w:szCs w:val="20"/>
              </w:rPr>
              <w:t>70</w:t>
            </w:r>
            <w:r w:rsidRPr="00751EAE">
              <w:rPr>
                <w:color w:val="000000"/>
                <w:sz w:val="20"/>
                <w:szCs w:val="20"/>
              </w:rPr>
              <w:t xml:space="preserve"> </w:t>
            </w:r>
            <w:r>
              <w:rPr>
                <w:color w:val="000000"/>
                <w:sz w:val="20"/>
                <w:szCs w:val="20"/>
              </w:rPr>
              <w:t>595</w:t>
            </w:r>
          </w:p>
        </w:tc>
      </w:tr>
    </w:tbl>
    <w:p w14:paraId="32DDB2AE" w14:textId="77777777" w:rsidR="00E421BD" w:rsidRDefault="00E421BD" w:rsidP="00156131">
      <w:pPr>
        <w:jc w:val="both"/>
      </w:pPr>
    </w:p>
    <w:p w14:paraId="7E1C8A29" w14:textId="182F7A18" w:rsidR="008A4728" w:rsidRPr="00C25BD0" w:rsidRDefault="00501AD3" w:rsidP="00C25BD0">
      <w:pPr>
        <w:spacing w:line="360" w:lineRule="auto"/>
        <w:ind w:firstLine="851"/>
        <w:jc w:val="both"/>
      </w:pPr>
      <w:r w:rsidRPr="00C25BD0">
        <w:t>Pagal Aprašo 3</w:t>
      </w:r>
      <w:r w:rsidR="008A4728" w:rsidRPr="00C25BD0">
        <w:t>4</w:t>
      </w:r>
      <w:r w:rsidRPr="00C25BD0">
        <w:t xml:space="preserve"> p. nuostatas </w:t>
      </w:r>
      <w:r w:rsidR="008A4728" w:rsidRPr="00C25BD0">
        <w:t>„Projekto tinkamų finansuoti išlaidų dalis, kurios nepadengia projektui skiriamo finansavimo lėšos, turi būti finansuojama iš projekto vykdytojo arba partnerio lėšų. Pareiškėjas ir (arba) partneris savo iniciatyva ir savo ir (arba) kitų šaltinių lėšomis gali prisidėti prie projekto įgyvendinimo dides</w:t>
      </w:r>
      <w:r w:rsidR="00213F0F">
        <w:t>ne, nei reikalaujama, lėšų suma“</w:t>
      </w:r>
      <w:bookmarkStart w:id="0" w:name="_GoBack"/>
      <w:bookmarkEnd w:id="0"/>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C25BD0">
      <w:pPr>
        <w:spacing w:line="360" w:lineRule="auto"/>
        <w:jc w:val="both"/>
      </w:pPr>
      <w:r w:rsidRPr="00C25BD0">
        <w:t>Nenumatomos</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30D5D5A" w14:textId="77777777" w:rsidR="00E53E75" w:rsidRPr="00B8132B" w:rsidRDefault="00E53E75" w:rsidP="00E53E75">
      <w:pPr>
        <w:spacing w:line="276" w:lineRule="auto"/>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Pr="00B8132B">
        <w:t>Teisės</w:t>
      </w:r>
      <w:r>
        <w:t xml:space="preserve"> ir viešosios tvarkos </w:t>
      </w:r>
      <w:r w:rsidRPr="00B8132B">
        <w:t xml:space="preserve">skyriaus </w:t>
      </w:r>
      <w:r>
        <w:t>vedėjo pavaduotoju</w:t>
      </w:r>
      <w:r w:rsidRPr="00B8132B">
        <w:t>, atliekančiu skyriaus vedėjo funkcijas A. Valkūnu,</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4491C5F0" w14:textId="77777777" w:rsidR="00E53E75" w:rsidRDefault="00E53E75" w:rsidP="00E53E75">
      <w:pPr>
        <w:pStyle w:val="ListParagraph"/>
        <w:ind w:left="0"/>
        <w:jc w:val="both"/>
      </w:pPr>
    </w:p>
    <w:p w14:paraId="27636D6B" w14:textId="77777777" w:rsidR="00E53E75" w:rsidRDefault="00E53E75" w:rsidP="00E53E75">
      <w:pPr>
        <w:jc w:val="both"/>
      </w:pPr>
      <w:r>
        <w:t>Strateginio planavimo, investicijų ir biudžeto skyriaus</w:t>
      </w:r>
      <w:r w:rsidRPr="00556AC1">
        <w:t xml:space="preserve"> </w:t>
      </w:r>
    </w:p>
    <w:p w14:paraId="2C69648F" w14:textId="77777777" w:rsidR="00E53E75" w:rsidRDefault="00E53E75" w:rsidP="00E53E75">
      <w:pPr>
        <w:tabs>
          <w:tab w:val="left" w:pos="7513"/>
        </w:tabs>
        <w:jc w:val="both"/>
      </w:pPr>
      <w:r>
        <w:t>Investicijų projektų poskyrio vyriausiasis specialistas</w:t>
      </w:r>
      <w:r>
        <w:tab/>
        <w:t>Donatas Mickevičius</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9"/>
      <w:pgSz w:w="11907" w:h="16840" w:code="9"/>
      <w:pgMar w:top="851" w:right="708" w:bottom="709" w:left="1560"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2DD44" w14:textId="77777777" w:rsidR="002000F8" w:rsidRDefault="002000F8" w:rsidP="00D610C3">
      <w:r>
        <w:separator/>
      </w:r>
    </w:p>
  </w:endnote>
  <w:endnote w:type="continuationSeparator" w:id="0">
    <w:p w14:paraId="4AA85B14" w14:textId="77777777" w:rsidR="002000F8" w:rsidRDefault="002000F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11F7" w14:textId="77777777" w:rsidR="002000F8" w:rsidRDefault="002000F8" w:rsidP="00D610C3">
      <w:r>
        <w:separator/>
      </w:r>
    </w:p>
  </w:footnote>
  <w:footnote w:type="continuationSeparator" w:id="0">
    <w:p w14:paraId="54A1AAE4" w14:textId="77777777" w:rsidR="002000F8" w:rsidRDefault="002000F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36507F77" w:rsidR="00D610C3" w:rsidRDefault="00D610C3">
        <w:pPr>
          <w:pStyle w:val="Header"/>
          <w:jc w:val="center"/>
        </w:pPr>
        <w:r>
          <w:fldChar w:fldCharType="begin"/>
        </w:r>
        <w:r>
          <w:instrText>PAGE   \* MERGEFORMAT</w:instrText>
        </w:r>
        <w:r>
          <w:fldChar w:fldCharType="separate"/>
        </w:r>
        <w:r w:rsidR="00213F0F">
          <w:rPr>
            <w:noProof/>
          </w:rPr>
          <w:t>3</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E32341A"/>
    <w:multiLevelType w:val="hybridMultilevel"/>
    <w:tmpl w:val="11AC7B26"/>
    <w:lvl w:ilvl="0" w:tplc="E6165C58">
      <w:start w:val="1"/>
      <w:numFmt w:val="bullet"/>
      <w:lvlText w:val=""/>
      <w:lvlJc w:val="left"/>
      <w:pPr>
        <w:ind w:left="1571" w:hanging="360"/>
      </w:pPr>
      <w:rPr>
        <w:rFonts w:ascii="Symbol" w:hAnsi="Symbol"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5DF8"/>
    <w:rsid w:val="00050CB3"/>
    <w:rsid w:val="00050D33"/>
    <w:rsid w:val="000D1CCA"/>
    <w:rsid w:val="000E6FCA"/>
    <w:rsid w:val="000F142F"/>
    <w:rsid w:val="000F6EAA"/>
    <w:rsid w:val="00101EF7"/>
    <w:rsid w:val="00105414"/>
    <w:rsid w:val="00134410"/>
    <w:rsid w:val="00144285"/>
    <w:rsid w:val="00153CDD"/>
    <w:rsid w:val="00153D8F"/>
    <w:rsid w:val="00156131"/>
    <w:rsid w:val="00173464"/>
    <w:rsid w:val="0019105B"/>
    <w:rsid w:val="00194B34"/>
    <w:rsid w:val="001A31DD"/>
    <w:rsid w:val="001A59CF"/>
    <w:rsid w:val="001B1CD5"/>
    <w:rsid w:val="001C60B4"/>
    <w:rsid w:val="001F0F56"/>
    <w:rsid w:val="002000F8"/>
    <w:rsid w:val="0021352E"/>
    <w:rsid w:val="00213F0F"/>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14B0D"/>
    <w:rsid w:val="0046421B"/>
    <w:rsid w:val="004717F3"/>
    <w:rsid w:val="00472A9A"/>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1CC0"/>
    <w:rsid w:val="00673E98"/>
    <w:rsid w:val="006748DD"/>
    <w:rsid w:val="00675968"/>
    <w:rsid w:val="006808AA"/>
    <w:rsid w:val="006A3F4E"/>
    <w:rsid w:val="006D1BEC"/>
    <w:rsid w:val="007010AF"/>
    <w:rsid w:val="00710A07"/>
    <w:rsid w:val="00714A9E"/>
    <w:rsid w:val="007258D5"/>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17308"/>
    <w:rsid w:val="00A359FC"/>
    <w:rsid w:val="00A42799"/>
    <w:rsid w:val="00A57B12"/>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6FD9"/>
    <w:rsid w:val="00D019E3"/>
    <w:rsid w:val="00D0203D"/>
    <w:rsid w:val="00D04B9C"/>
    <w:rsid w:val="00D24BC8"/>
    <w:rsid w:val="00D55973"/>
    <w:rsid w:val="00D610C3"/>
    <w:rsid w:val="00D72E08"/>
    <w:rsid w:val="00D91DC5"/>
    <w:rsid w:val="00DC1ACF"/>
    <w:rsid w:val="00DD1CE9"/>
    <w:rsid w:val="00DE774C"/>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93510489">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583946715">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20679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153B-FD9E-4988-989B-9F768599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4398</Words>
  <Characters>2508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6</cp:revision>
  <cp:lastPrinted>2016-11-07T15:12:00Z</cp:lastPrinted>
  <dcterms:created xsi:type="dcterms:W3CDTF">2016-11-07T14:32:00Z</dcterms:created>
  <dcterms:modified xsi:type="dcterms:W3CDTF">2016-11-07T15:12:00Z</dcterms:modified>
</cp:coreProperties>
</file>