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BodyText3"/>
        <w:rPr>
          <w:bCs/>
          <w:szCs w:val="24"/>
        </w:rPr>
      </w:pPr>
    </w:p>
    <w:p w14:paraId="7A2729CD" w14:textId="20FF7233" w:rsidR="00CE4261" w:rsidRPr="007D7B8A" w:rsidRDefault="00F8746D" w:rsidP="00156131">
      <w:pPr>
        <w:tabs>
          <w:tab w:val="left" w:pos="0"/>
        </w:tabs>
        <w:jc w:val="center"/>
      </w:pPr>
      <w:r>
        <w:t>2016</w:t>
      </w:r>
      <w:r w:rsidR="009B6303">
        <w:t xml:space="preserve"> m. lapkričio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1B26BEC7" w14:textId="0049CBB2" w:rsidR="00034A3B" w:rsidRPr="00C25BD0" w:rsidRDefault="00034A3B" w:rsidP="00034A3B">
      <w:pPr>
        <w:tabs>
          <w:tab w:val="left" w:pos="0"/>
        </w:tabs>
        <w:spacing w:line="360" w:lineRule="auto"/>
        <w:ind w:firstLine="851"/>
        <w:jc w:val="both"/>
      </w:pPr>
      <w:r>
        <w:t>Pakeitimai reikalingi atsižvelgiant į parengtų investicijų projektuose nustatytas bendras projektų vertes.</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77777777" w:rsidR="00034A3B" w:rsidRDefault="00034A3B" w:rsidP="00034A3B">
      <w:pPr>
        <w:spacing w:line="360" w:lineRule="auto"/>
        <w:ind w:firstLine="709"/>
        <w:jc w:val="both"/>
        <w:rPr>
          <w:b/>
        </w:rPr>
      </w:pPr>
      <w:r>
        <w:t>Šiuo metu teikiamas Tarybos sprendimo projektas, kuriame siūloma pritarti Panevėžio miesto integruotos teritorijų vystymo programos</w:t>
      </w:r>
      <w:bookmarkStart w:id="0" w:name="_GoBack"/>
      <w:bookmarkEnd w:id="0"/>
      <w:r>
        <w:t xml:space="preserve">,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neesminiams pakeitimams.</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3CE5D5A2" w:rsidR="00034A3B" w:rsidRDefault="00034A3B" w:rsidP="00034A3B">
      <w:pPr>
        <w:tabs>
          <w:tab w:val="left" w:pos="0"/>
        </w:tabs>
        <w:spacing w:line="360" w:lineRule="auto"/>
        <w:ind w:firstLine="709"/>
        <w:jc w:val="both"/>
      </w:pPr>
      <w:r>
        <w:t>Siekiant sudaryti sąlygas tinkamai ir laiku pateikti</w:t>
      </w:r>
      <w:r w:rsidR="002047BD">
        <w:t xml:space="preserve"> projekto „</w:t>
      </w:r>
      <w:r w:rsidR="002047BD" w:rsidRPr="002047BD">
        <w:t>Nepriklausomybės aikštės ir jos prieigų sutvarkymas</w:t>
      </w:r>
      <w:r w:rsidR="002047BD">
        <w:t xml:space="preserve">“ </w:t>
      </w:r>
      <w:r>
        <w:t xml:space="preserve"> projektin</w:t>
      </w:r>
      <w:r w:rsidR="002047BD">
        <w:t>į</w:t>
      </w:r>
      <w:r>
        <w:t xml:space="preserve"> pasiūlym</w:t>
      </w:r>
      <w:r w:rsidR="002047BD">
        <w:t xml:space="preserve">ą </w:t>
      </w:r>
      <w:r>
        <w:t>ir paraišk</w:t>
      </w:r>
      <w:r w:rsidR="002047BD">
        <w:t>ą</w:t>
      </w:r>
      <w:r>
        <w:t xml:space="preserve"> teikiamas Tarybos sprendimo projektas.</w:t>
      </w:r>
    </w:p>
    <w:p w14:paraId="1A5F0250" w14:textId="4FF04760" w:rsidR="005E4165" w:rsidRPr="00034A3B" w:rsidRDefault="00CE4261" w:rsidP="00034A3B">
      <w:pPr>
        <w:numPr>
          <w:ilvl w:val="0"/>
          <w:numId w:val="3"/>
        </w:numPr>
        <w:spacing w:line="360" w:lineRule="auto"/>
        <w:jc w:val="both"/>
        <w:rPr>
          <w:b/>
        </w:rPr>
      </w:pPr>
      <w:r w:rsidRPr="00C25BD0">
        <w:rPr>
          <w:b/>
        </w:rPr>
        <w:t>Skaičiavimai, išlaidų sąmatos, finansavimo šaltiniai:</w:t>
      </w:r>
    </w:p>
    <w:p w14:paraId="40C17CDB" w14:textId="0524A3D3" w:rsidR="00EE642D" w:rsidRDefault="002047BD" w:rsidP="002047BD">
      <w:pPr>
        <w:tabs>
          <w:tab w:val="left" w:pos="0"/>
        </w:tabs>
        <w:spacing w:line="360" w:lineRule="auto"/>
        <w:ind w:firstLine="709"/>
        <w:jc w:val="both"/>
      </w:pPr>
      <w:r>
        <w:t>Siūloma pakeisti ITVP 3 priedo</w:t>
      </w:r>
      <w:r w:rsidR="00EE642D">
        <w:t xml:space="preserve"> veiksmus:</w:t>
      </w:r>
    </w:p>
    <w:p w14:paraId="283F4A41" w14:textId="04C6CFE4" w:rsidR="00EE642D" w:rsidRDefault="00EE642D" w:rsidP="00EE642D">
      <w:pPr>
        <w:spacing w:line="249" w:lineRule="auto"/>
        <w:ind w:right="15" w:firstLine="708"/>
        <w:jc w:val="both"/>
      </w:pPr>
      <w:r>
        <w:rPr>
          <w:b/>
          <w:color w:val="000000"/>
        </w:rPr>
        <w:t xml:space="preserve">1.2.2v Veiksmas: Nepriklausomybės aikštės ir jos prieigų sutvarkymas </w:t>
      </w:r>
      <w:r>
        <w:rPr>
          <w:color w:val="000000"/>
        </w:rPr>
        <w:t>(Nepriklausomybės aikštės dangos keitimas, apšvietimo rekonstrukcija ir įrengimas, mažosios architektūros elementų įrengimas, viešojo tualeto sutvarkymas, želdynų ir kraštovaizdžio sutvarkymas).</w:t>
      </w:r>
      <w:r>
        <w:rPr>
          <w:b/>
          <w:color w:val="000000"/>
        </w:rPr>
        <w:t xml:space="preserve"> </w:t>
      </w:r>
      <w:r>
        <w:rPr>
          <w:color w:val="000000"/>
        </w:rPr>
        <w:t xml:space="preserve"> </w:t>
      </w:r>
    </w:p>
    <w:p w14:paraId="1F1054BE" w14:textId="77777777" w:rsidR="00EE642D" w:rsidRDefault="00EE642D" w:rsidP="00EE642D">
      <w:pPr>
        <w:keepNext/>
        <w:keepLines/>
        <w:spacing w:line="268" w:lineRule="auto"/>
        <w:ind w:left="703" w:hanging="10"/>
        <w:rPr>
          <w:b/>
          <w:color w:val="000000"/>
        </w:rPr>
      </w:pPr>
      <w:r>
        <w:rPr>
          <w:b/>
          <w:color w:val="000000"/>
        </w:rPr>
        <w:t>1.2.2v</w:t>
      </w:r>
      <w:r>
        <w:rPr>
          <w:color w:val="000000"/>
        </w:rPr>
        <w:t xml:space="preserve"> </w:t>
      </w:r>
      <w:r>
        <w:rPr>
          <w:b/>
          <w:color w:val="000000"/>
        </w:rPr>
        <w:t xml:space="preserve">Veiksmo lėšų poreikis ir finansavimo šaltiniai (eurais). </w:t>
      </w:r>
    </w:p>
    <w:p w14:paraId="47CF3A15" w14:textId="7241337C" w:rsidR="00EE642D" w:rsidRDefault="00EE642D" w:rsidP="00EE642D">
      <w:pPr>
        <w:keepNext/>
        <w:keepLines/>
        <w:spacing w:line="268" w:lineRule="auto"/>
        <w:ind w:hanging="10"/>
      </w:pPr>
      <w:r>
        <w:t>„</w:t>
      </w:r>
    </w:p>
    <w:tbl>
      <w:tblPr>
        <w:tblW w:w="5000" w:type="pct"/>
        <w:tblCellMar>
          <w:left w:w="10" w:type="dxa"/>
          <w:right w:w="10" w:type="dxa"/>
        </w:tblCellMar>
        <w:tblLook w:val="0000" w:firstRow="0" w:lastRow="0" w:firstColumn="0" w:lastColumn="0" w:noHBand="0" w:noVBand="0"/>
      </w:tblPr>
      <w:tblGrid>
        <w:gridCol w:w="1821"/>
        <w:gridCol w:w="1399"/>
        <w:gridCol w:w="1672"/>
        <w:gridCol w:w="1418"/>
        <w:gridCol w:w="1818"/>
        <w:gridCol w:w="1707"/>
      </w:tblGrid>
      <w:tr w:rsidR="00CF70CD" w14:paraId="37A66305" w14:textId="77777777" w:rsidTr="00CF70CD">
        <w:tblPrEx>
          <w:tblCellMar>
            <w:top w:w="0" w:type="dxa"/>
            <w:bottom w:w="0" w:type="dxa"/>
          </w:tblCellMar>
        </w:tblPrEx>
        <w:trPr>
          <w:cantSplit/>
          <w:trHeight w:val="774"/>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08FBF2F" w14:textId="77777777" w:rsidR="00CF70CD" w:rsidRPr="00EE642D" w:rsidRDefault="00CF70CD" w:rsidP="005B2BD5">
            <w:pPr>
              <w:spacing w:line="256" w:lineRule="auto"/>
              <w:rPr>
                <w:sz w:val="22"/>
                <w:szCs w:val="22"/>
              </w:rPr>
            </w:pPr>
            <w:r w:rsidRPr="00EE642D">
              <w:rPr>
                <w:b/>
                <w:color w:val="000000"/>
                <w:sz w:val="22"/>
                <w:szCs w:val="22"/>
              </w:rPr>
              <w:t xml:space="preserve">Iš viso veiksmui įgyvendinti: </w:t>
            </w:r>
          </w:p>
        </w:tc>
        <w:tc>
          <w:tcPr>
            <w:tcW w:w="1561"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A656D3" w14:textId="77777777" w:rsidR="00CF70CD" w:rsidRPr="00EE642D" w:rsidRDefault="00CF70CD" w:rsidP="005B2BD5">
            <w:pPr>
              <w:spacing w:line="256" w:lineRule="auto"/>
              <w:ind w:left="5"/>
              <w:rPr>
                <w:sz w:val="22"/>
                <w:szCs w:val="22"/>
              </w:rPr>
            </w:pPr>
            <w:r w:rsidRPr="00EE642D">
              <w:rPr>
                <w:b/>
                <w:color w:val="000000"/>
                <w:sz w:val="22"/>
                <w:szCs w:val="22"/>
              </w:rPr>
              <w:t xml:space="preserve">Valstybės biudžeto lėšos: </w:t>
            </w:r>
          </w:p>
        </w:tc>
        <w:tc>
          <w:tcPr>
            <w:tcW w:w="164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95DB3F2" w14:textId="77777777" w:rsidR="00CF70CD" w:rsidRPr="00EE642D" w:rsidRDefault="00CF70CD" w:rsidP="005B2BD5">
            <w:pPr>
              <w:spacing w:line="256" w:lineRule="auto"/>
              <w:ind w:left="2"/>
              <w:rPr>
                <w:sz w:val="22"/>
                <w:szCs w:val="22"/>
              </w:rPr>
            </w:pPr>
            <w:r w:rsidRPr="00EE642D">
              <w:rPr>
                <w:b/>
                <w:color w:val="000000"/>
                <w:sz w:val="22"/>
                <w:szCs w:val="22"/>
              </w:rPr>
              <w:t xml:space="preserve">Savivaldybės biudžeto lėšos: </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D4B952A" w14:textId="77777777" w:rsidR="00CF70CD" w:rsidRPr="00EE642D" w:rsidRDefault="00CF70CD" w:rsidP="005B2BD5">
            <w:pPr>
              <w:spacing w:line="256" w:lineRule="auto"/>
              <w:ind w:left="4"/>
              <w:rPr>
                <w:sz w:val="22"/>
                <w:szCs w:val="22"/>
              </w:rPr>
            </w:pPr>
            <w:r w:rsidRPr="00EE642D">
              <w:rPr>
                <w:b/>
                <w:color w:val="000000"/>
                <w:sz w:val="22"/>
                <w:szCs w:val="22"/>
              </w:rPr>
              <w:t xml:space="preserve">ES lėšos: </w:t>
            </w:r>
          </w:p>
        </w:tc>
      </w:tr>
      <w:tr w:rsidR="00CF70CD" w14:paraId="5C4F10A7" w14:textId="77777777" w:rsidTr="00CF70CD">
        <w:tblPrEx>
          <w:tblCellMar>
            <w:top w:w="0" w:type="dxa"/>
            <w:bottom w:w="0" w:type="dxa"/>
          </w:tblCellMar>
        </w:tblPrEx>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5318CD7" w14:textId="77777777" w:rsidR="00CF70CD" w:rsidRPr="00EE642D" w:rsidRDefault="00CF70CD" w:rsidP="005B2BD5">
            <w:pPr>
              <w:spacing w:line="256" w:lineRule="auto"/>
              <w:ind w:firstLine="62"/>
              <w:rPr>
                <w:color w:val="000000"/>
                <w:sz w:val="22"/>
                <w:szCs w:val="22"/>
              </w:rPr>
            </w:pP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8F4B54C" w14:textId="77777777" w:rsidR="00CF70CD" w:rsidRPr="00EE642D" w:rsidRDefault="00CF70CD" w:rsidP="005B2BD5">
            <w:pPr>
              <w:spacing w:line="256" w:lineRule="auto"/>
              <w:ind w:left="5"/>
              <w:rPr>
                <w:color w:val="000000"/>
                <w:sz w:val="22"/>
                <w:szCs w:val="22"/>
              </w:rPr>
            </w:pPr>
            <w:r w:rsidRPr="00EE642D">
              <w:rPr>
                <w:color w:val="000000"/>
                <w:sz w:val="22"/>
                <w:szCs w:val="22"/>
              </w:rPr>
              <w:t xml:space="preserve">Iš viso: </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EDC105B"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jų </w:t>
            </w:r>
          </w:p>
          <w:p w14:paraId="1B6C548B" w14:textId="77777777" w:rsidR="00CF70CD" w:rsidRPr="00EE642D" w:rsidRDefault="00CF70CD" w:rsidP="005B2BD5">
            <w:pPr>
              <w:spacing w:line="256" w:lineRule="auto"/>
              <w:ind w:left="2"/>
              <w:rPr>
                <w:color w:val="000000"/>
                <w:sz w:val="22"/>
                <w:szCs w:val="22"/>
              </w:rPr>
            </w:pPr>
            <w:r w:rsidRPr="00EE642D">
              <w:rPr>
                <w:color w:val="000000"/>
                <w:sz w:val="22"/>
                <w:szCs w:val="22"/>
              </w:rPr>
              <w:t>bendrasis finansavimas:</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F4180A"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viso: </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04AEC4F" w14:textId="77777777" w:rsidR="00CF70CD" w:rsidRPr="00EE642D" w:rsidRDefault="00CF70CD" w:rsidP="005B2BD5">
            <w:pPr>
              <w:spacing w:line="256" w:lineRule="auto"/>
              <w:ind w:left="4"/>
              <w:rPr>
                <w:color w:val="000000"/>
                <w:sz w:val="22"/>
                <w:szCs w:val="22"/>
              </w:rPr>
            </w:pPr>
            <w:r w:rsidRPr="00EE642D">
              <w:rPr>
                <w:color w:val="000000"/>
                <w:sz w:val="22"/>
                <w:szCs w:val="22"/>
              </w:rPr>
              <w:t>iš jų bendrasis finansavimas:</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12C652" w14:textId="77777777" w:rsidR="00CF70CD" w:rsidRPr="00EE642D" w:rsidRDefault="00CF70CD" w:rsidP="005B2BD5">
            <w:pPr>
              <w:spacing w:line="256" w:lineRule="auto"/>
              <w:ind w:left="4" w:firstLine="62"/>
              <w:rPr>
                <w:color w:val="000000"/>
                <w:sz w:val="22"/>
                <w:szCs w:val="22"/>
              </w:rPr>
            </w:pPr>
          </w:p>
        </w:tc>
      </w:tr>
      <w:tr w:rsidR="00CF70CD" w14:paraId="74CEE17E" w14:textId="77777777" w:rsidTr="00CF70CD">
        <w:tblPrEx>
          <w:tblCellMar>
            <w:top w:w="0" w:type="dxa"/>
            <w:bottom w:w="0" w:type="dxa"/>
          </w:tblCellMar>
        </w:tblPrEx>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03EC0D7" w14:textId="3A1AC33D" w:rsidR="00CF70CD" w:rsidRPr="00EE642D" w:rsidRDefault="00CF70CD" w:rsidP="00EE642D">
            <w:pPr>
              <w:spacing w:line="256" w:lineRule="auto"/>
              <w:jc w:val="center"/>
              <w:rPr>
                <w:color w:val="000000"/>
                <w:sz w:val="22"/>
                <w:szCs w:val="22"/>
              </w:rPr>
            </w:pPr>
            <w:r w:rsidRPr="00EE642D">
              <w:rPr>
                <w:color w:val="000000"/>
                <w:sz w:val="22"/>
                <w:szCs w:val="22"/>
              </w:rPr>
              <w:lastRenderedPageBreak/>
              <w:t>637</w:t>
            </w:r>
            <w:r>
              <w:rPr>
                <w:color w:val="000000"/>
                <w:sz w:val="22"/>
                <w:szCs w:val="22"/>
              </w:rPr>
              <w:t xml:space="preserve"> </w:t>
            </w:r>
            <w:r w:rsidRPr="00EE642D">
              <w:rPr>
                <w:color w:val="000000"/>
                <w:sz w:val="22"/>
                <w:szCs w:val="22"/>
              </w:rPr>
              <w:t>164,03</w:t>
            </w: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278E0B4" w14:textId="77777777" w:rsidR="00CF70CD" w:rsidRPr="00EE642D" w:rsidRDefault="00CF70CD" w:rsidP="005B2BD5">
            <w:pPr>
              <w:spacing w:line="256" w:lineRule="auto"/>
              <w:ind w:left="5"/>
              <w:jc w:val="center"/>
              <w:rPr>
                <w:color w:val="000000"/>
                <w:sz w:val="22"/>
                <w:szCs w:val="22"/>
              </w:rPr>
            </w:pPr>
            <w:r w:rsidRPr="00EE642D">
              <w:rPr>
                <w:color w:val="000000"/>
                <w:sz w:val="22"/>
                <w:szCs w:val="22"/>
              </w:rPr>
              <w:t>47 787,30</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251491C"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36E8A58"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BE1D46"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47 787,30</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7C9D3CA"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541 589,43</w:t>
            </w:r>
          </w:p>
        </w:tc>
      </w:tr>
    </w:tbl>
    <w:p w14:paraId="347CAAEB" w14:textId="6B8C9315" w:rsidR="00EE642D" w:rsidRDefault="00EE642D" w:rsidP="00EE642D">
      <w:pPr>
        <w:tabs>
          <w:tab w:val="left" w:pos="0"/>
        </w:tabs>
        <w:spacing w:line="360" w:lineRule="auto"/>
        <w:jc w:val="both"/>
      </w:pPr>
      <w:r>
        <w:t>„</w:t>
      </w:r>
    </w:p>
    <w:p w14:paraId="0AF38352" w14:textId="3B01897A" w:rsidR="00EE642D" w:rsidRDefault="00EE642D" w:rsidP="00EE642D">
      <w:pPr>
        <w:tabs>
          <w:tab w:val="left" w:pos="0"/>
        </w:tabs>
        <w:spacing w:line="360" w:lineRule="auto"/>
        <w:jc w:val="both"/>
      </w:pPr>
      <w:r>
        <w:t>taip:</w:t>
      </w:r>
    </w:p>
    <w:p w14:paraId="0B56A129" w14:textId="4A611B5A" w:rsidR="00EE642D" w:rsidRDefault="00EE642D" w:rsidP="00EE642D">
      <w:pPr>
        <w:tabs>
          <w:tab w:val="left" w:pos="662"/>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83"/>
        <w:gridCol w:w="1302"/>
        <w:gridCol w:w="1574"/>
        <w:gridCol w:w="1302"/>
        <w:gridCol w:w="1576"/>
        <w:gridCol w:w="1998"/>
      </w:tblGrid>
      <w:tr w:rsidR="00EE642D" w14:paraId="31FBBCA0" w14:textId="77777777" w:rsidTr="005B2BD5">
        <w:trPr>
          <w:trHeight w:val="774"/>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5715BBE" w14:textId="77777777" w:rsidR="00EE642D" w:rsidRDefault="00EE642D" w:rsidP="005B2BD5">
            <w:pPr>
              <w:spacing w:line="256" w:lineRule="auto"/>
            </w:pPr>
            <w:r>
              <w:rPr>
                <w:b/>
                <w:color w:val="000000"/>
              </w:rPr>
              <w:t xml:space="preserve">Iš viso veiksmui įgyvendinti: </w:t>
            </w:r>
          </w:p>
        </w:tc>
        <w:tc>
          <w:tcPr>
            <w:tcW w:w="1462"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8D94431" w14:textId="77777777" w:rsidR="00EE642D" w:rsidRDefault="00EE642D" w:rsidP="005B2BD5">
            <w:pPr>
              <w:spacing w:line="256" w:lineRule="auto"/>
              <w:ind w:left="5"/>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19E02D" w14:textId="77777777" w:rsidR="00EE642D" w:rsidRDefault="00EE642D" w:rsidP="005B2BD5">
            <w:pPr>
              <w:spacing w:line="256" w:lineRule="auto"/>
              <w:ind w:left="2"/>
            </w:pPr>
            <w:r>
              <w:rPr>
                <w:b/>
                <w:color w:val="000000"/>
              </w:rPr>
              <w:t xml:space="preserve">Savivaldybės biudžeto lėšos: </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B9BFB1" w14:textId="77777777" w:rsidR="00EE642D" w:rsidRDefault="00EE642D" w:rsidP="005B2BD5">
            <w:pPr>
              <w:spacing w:line="256" w:lineRule="auto"/>
              <w:ind w:left="4"/>
            </w:pPr>
            <w:r>
              <w:rPr>
                <w:b/>
                <w:color w:val="000000"/>
              </w:rPr>
              <w:t xml:space="preserve">ES lėšos: </w:t>
            </w:r>
          </w:p>
        </w:tc>
      </w:tr>
      <w:tr w:rsidR="00EE642D" w14:paraId="39C5250C" w14:textId="77777777" w:rsidTr="005B2BD5">
        <w:trPr>
          <w:trHeight w:val="547"/>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1801002" w14:textId="77777777" w:rsidR="00EE642D" w:rsidRDefault="00EE642D" w:rsidP="005B2BD5">
            <w:pPr>
              <w:spacing w:line="256" w:lineRule="auto"/>
              <w:ind w:firstLine="62"/>
              <w:rPr>
                <w:color w:val="000000"/>
              </w:rPr>
            </w:pP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8F2D3F3" w14:textId="77777777" w:rsidR="00EE642D" w:rsidRDefault="00EE642D" w:rsidP="005B2BD5">
            <w:pPr>
              <w:spacing w:line="256" w:lineRule="auto"/>
              <w:ind w:left="5"/>
              <w:rPr>
                <w:color w:val="000000"/>
              </w:rPr>
            </w:pPr>
            <w:r>
              <w:rPr>
                <w:color w:val="000000"/>
              </w:rPr>
              <w:t xml:space="preserve">Iš viso: </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B9E619" w14:textId="77777777" w:rsidR="00EE642D" w:rsidRDefault="00EE642D" w:rsidP="005B2BD5">
            <w:pPr>
              <w:spacing w:line="256" w:lineRule="auto"/>
              <w:ind w:left="2"/>
              <w:rPr>
                <w:color w:val="000000"/>
              </w:rPr>
            </w:pPr>
            <w:r>
              <w:rPr>
                <w:color w:val="000000"/>
              </w:rPr>
              <w:t xml:space="preserve">iš jų </w:t>
            </w:r>
          </w:p>
          <w:p w14:paraId="44BD183C" w14:textId="77777777" w:rsidR="00EE642D" w:rsidRDefault="00EE642D" w:rsidP="005B2BD5">
            <w:pPr>
              <w:spacing w:line="256" w:lineRule="auto"/>
              <w:ind w:left="2"/>
              <w:rPr>
                <w:color w:val="000000"/>
              </w:rPr>
            </w:pPr>
            <w:r>
              <w:rPr>
                <w:color w:val="000000"/>
              </w:rPr>
              <w:t>bendrasis finansavimas:</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5796C2" w14:textId="77777777" w:rsidR="00EE642D" w:rsidRDefault="00EE642D" w:rsidP="005B2BD5">
            <w:pPr>
              <w:spacing w:line="256" w:lineRule="auto"/>
              <w:ind w:left="2"/>
              <w:rPr>
                <w:color w:val="000000"/>
              </w:rPr>
            </w:pPr>
            <w:r>
              <w:rPr>
                <w:color w:val="000000"/>
              </w:rPr>
              <w:t xml:space="preserve">Iš viso: </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C3F459A" w14:textId="77777777" w:rsidR="00EE642D" w:rsidRDefault="00EE642D" w:rsidP="005B2BD5">
            <w:pPr>
              <w:spacing w:line="256" w:lineRule="auto"/>
              <w:ind w:left="4"/>
              <w:rPr>
                <w:color w:val="000000"/>
              </w:rPr>
            </w:pPr>
            <w:r>
              <w:rPr>
                <w:color w:val="000000"/>
              </w:rPr>
              <w:t>iš jų bendrasis finansavimas:</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5DF678" w14:textId="77777777" w:rsidR="00EE642D" w:rsidRDefault="00EE642D" w:rsidP="005B2BD5">
            <w:pPr>
              <w:spacing w:line="256" w:lineRule="auto"/>
              <w:ind w:left="4" w:firstLine="62"/>
              <w:rPr>
                <w:color w:val="000000"/>
              </w:rPr>
            </w:pPr>
          </w:p>
        </w:tc>
      </w:tr>
      <w:tr w:rsidR="00EE642D" w14:paraId="24BAF548" w14:textId="77777777" w:rsidTr="005B2BD5">
        <w:trPr>
          <w:trHeight w:val="475"/>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B2B13D3" w14:textId="77777777" w:rsidR="00EE642D" w:rsidRDefault="00EE642D" w:rsidP="005B2BD5">
            <w:pPr>
              <w:spacing w:line="256" w:lineRule="auto"/>
              <w:jc w:val="center"/>
              <w:rPr>
                <w:color w:val="000000"/>
              </w:rPr>
            </w:pPr>
            <w:r>
              <w:rPr>
                <w:color w:val="000000"/>
              </w:rPr>
              <w:t>916 016</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EA47705" w14:textId="77777777" w:rsidR="00EE642D" w:rsidRDefault="00EE642D" w:rsidP="005B2BD5">
            <w:pPr>
              <w:spacing w:line="256" w:lineRule="auto"/>
              <w:ind w:left="5"/>
              <w:jc w:val="center"/>
              <w:rPr>
                <w:color w:val="000000"/>
              </w:rPr>
            </w:pPr>
            <w:r>
              <w:rPr>
                <w:color w:val="000000"/>
              </w:rPr>
              <w:t>68 701</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76CDD7" w14:textId="77777777" w:rsidR="00EE642D" w:rsidRDefault="00EE642D" w:rsidP="005B2BD5">
            <w:pPr>
              <w:spacing w:line="256" w:lineRule="auto"/>
              <w:ind w:left="2"/>
              <w:jc w:val="center"/>
              <w:rPr>
                <w:color w:val="000000"/>
              </w:rPr>
            </w:pPr>
            <w:r>
              <w:rPr>
                <w:color w:val="000000"/>
              </w:rPr>
              <w:t>68 701</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6C36E79" w14:textId="77777777" w:rsidR="00EE642D" w:rsidRDefault="00EE642D" w:rsidP="005B2BD5">
            <w:pPr>
              <w:spacing w:line="256" w:lineRule="auto"/>
              <w:ind w:left="2"/>
              <w:jc w:val="center"/>
              <w:rPr>
                <w:color w:val="000000"/>
              </w:rPr>
            </w:pPr>
            <w:r>
              <w:rPr>
                <w:color w:val="000000"/>
              </w:rPr>
              <w:t>68 702</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71E8BC" w14:textId="77777777" w:rsidR="00EE642D" w:rsidRDefault="00EE642D" w:rsidP="005B2BD5">
            <w:pPr>
              <w:spacing w:line="256" w:lineRule="auto"/>
              <w:ind w:left="4"/>
              <w:jc w:val="center"/>
              <w:rPr>
                <w:color w:val="000000"/>
              </w:rPr>
            </w:pPr>
            <w:r>
              <w:rPr>
                <w:color w:val="000000"/>
              </w:rPr>
              <w:t>68 702</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6FA206D" w14:textId="77777777" w:rsidR="00EE642D" w:rsidRDefault="00EE642D" w:rsidP="005B2BD5">
            <w:pPr>
              <w:spacing w:line="256" w:lineRule="auto"/>
              <w:ind w:left="4"/>
              <w:jc w:val="center"/>
              <w:rPr>
                <w:color w:val="000000"/>
              </w:rPr>
            </w:pPr>
            <w:r>
              <w:rPr>
                <w:color w:val="000000"/>
              </w:rPr>
              <w:t>778 613</w:t>
            </w:r>
          </w:p>
        </w:tc>
      </w:tr>
    </w:tbl>
    <w:p w14:paraId="7288002C" w14:textId="792DFB9D" w:rsidR="00EE642D" w:rsidRDefault="00EE642D" w:rsidP="00EE642D">
      <w:pPr>
        <w:tabs>
          <w:tab w:val="left" w:pos="0"/>
        </w:tabs>
        <w:spacing w:line="360" w:lineRule="auto"/>
        <w:jc w:val="both"/>
      </w:pPr>
      <w:r>
        <w:t>„</w:t>
      </w:r>
    </w:p>
    <w:p w14:paraId="4E7EC310" w14:textId="77777777" w:rsidR="00EE642D" w:rsidRDefault="00EE642D" w:rsidP="00EE642D">
      <w:pPr>
        <w:spacing w:line="256" w:lineRule="auto"/>
        <w:ind w:firstLine="709"/>
        <w:jc w:val="both"/>
      </w:pPr>
      <w:r>
        <w:rPr>
          <w:b/>
          <w:color w:val="000000"/>
        </w:rPr>
        <w:t>2.1.3v Veiksmas: Nevėžio upės ir pakrančių sutvarkymas (atkarpa nuo Stoties g. tilto iki Nemuno g. tilto)</w:t>
      </w:r>
      <w:r>
        <w:rPr>
          <w:b/>
          <w:i/>
          <w:color w:val="000000"/>
        </w:rPr>
        <w:t xml:space="preserve"> </w:t>
      </w:r>
      <w:r>
        <w:rPr>
          <w:color w:val="000000"/>
        </w:rPr>
        <w:t>(pakrančių, apšvietimo sistemos rekonstrukcija ir plėtra, kitų viešųjų erdvių infrastruktūros ir mažosios architektūros elementų įrengimas ar atnaujinimas).</w:t>
      </w:r>
    </w:p>
    <w:p w14:paraId="6A87ED42" w14:textId="77777777" w:rsidR="00EE642D" w:rsidRDefault="00EE642D" w:rsidP="00EE642D">
      <w:pPr>
        <w:keepNext/>
        <w:keepLines/>
        <w:spacing w:line="268" w:lineRule="auto"/>
        <w:ind w:left="703" w:hanging="10"/>
        <w:rPr>
          <w:b/>
          <w:color w:val="000000"/>
        </w:rPr>
      </w:pPr>
      <w:r>
        <w:rPr>
          <w:b/>
          <w:color w:val="000000"/>
        </w:rPr>
        <w:t xml:space="preserve">2.1.3v Veiksmo lėšų poreikis ir finansavimo šaltiniai (eurais). </w:t>
      </w:r>
    </w:p>
    <w:p w14:paraId="0A63168D" w14:textId="47BC56B9" w:rsidR="00EE642D" w:rsidRPr="00CF70CD" w:rsidRDefault="00EE642D" w:rsidP="00EE642D">
      <w:pPr>
        <w:keepNext/>
        <w:keepLines/>
        <w:spacing w:line="268" w:lineRule="auto"/>
        <w:rPr>
          <w:color w:val="000000"/>
        </w:rPr>
      </w:pPr>
      <w:r w:rsidRPr="00CF70CD">
        <w:rPr>
          <w:color w:val="000000"/>
        </w:rPr>
        <w:t>„</w:t>
      </w:r>
    </w:p>
    <w:tbl>
      <w:tblPr>
        <w:tblW w:w="4953" w:type="pct"/>
        <w:tblCellMar>
          <w:left w:w="10" w:type="dxa"/>
          <w:right w:w="10" w:type="dxa"/>
        </w:tblCellMar>
        <w:tblLook w:val="0000" w:firstRow="0" w:lastRow="0" w:firstColumn="0" w:lastColumn="0" w:noHBand="0" w:noVBand="0"/>
      </w:tblPr>
      <w:tblGrid>
        <w:gridCol w:w="2126"/>
        <w:gridCol w:w="1169"/>
        <w:gridCol w:w="1536"/>
        <w:gridCol w:w="1277"/>
        <w:gridCol w:w="1754"/>
        <w:gridCol w:w="1883"/>
      </w:tblGrid>
      <w:tr w:rsidR="00CF70CD" w14:paraId="7EB400E4" w14:textId="77777777" w:rsidTr="00CF70CD">
        <w:tblPrEx>
          <w:tblCellMar>
            <w:top w:w="0" w:type="dxa"/>
            <w:bottom w:w="0" w:type="dxa"/>
          </w:tblCellMar>
        </w:tblPrEx>
        <w:trPr>
          <w:trHeight w:val="57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7A1B508" w14:textId="77777777" w:rsidR="00CF70CD" w:rsidRDefault="00CF70CD" w:rsidP="005B2BD5">
            <w:pPr>
              <w:spacing w:line="256" w:lineRule="auto"/>
            </w:pPr>
            <w:r>
              <w:rPr>
                <w:b/>
                <w:color w:val="000000"/>
              </w:rPr>
              <w:t xml:space="preserve">Iš viso veiksmui įgyvendinti: </w:t>
            </w:r>
          </w:p>
        </w:tc>
        <w:tc>
          <w:tcPr>
            <w:tcW w:w="1388"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1AADB4F" w14:textId="77777777" w:rsidR="00CF70CD" w:rsidRDefault="00CF70CD" w:rsidP="005B2BD5">
            <w:pPr>
              <w:spacing w:line="256" w:lineRule="auto"/>
              <w:ind w:left="4"/>
            </w:pPr>
            <w:r>
              <w:rPr>
                <w:b/>
                <w:color w:val="000000"/>
              </w:rPr>
              <w:t xml:space="preserve">Valstybės biudžeto lėšos: </w:t>
            </w:r>
          </w:p>
        </w:tc>
        <w:tc>
          <w:tcPr>
            <w:tcW w:w="155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AC32A7" w14:textId="77777777" w:rsidR="00CF70CD" w:rsidRDefault="00CF70CD" w:rsidP="005B2BD5">
            <w:pPr>
              <w:spacing w:line="256" w:lineRule="auto"/>
              <w:ind w:left="5"/>
            </w:pPr>
            <w:r>
              <w:rPr>
                <w:b/>
                <w:color w:val="000000"/>
              </w:rPr>
              <w:t xml:space="preserve">Savivaldybės biudžeto lėšos: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4A6666C" w14:textId="77777777" w:rsidR="00CF70CD" w:rsidRDefault="00CF70CD" w:rsidP="005B2BD5">
            <w:pPr>
              <w:spacing w:line="256" w:lineRule="auto"/>
              <w:ind w:left="2"/>
            </w:pPr>
            <w:r>
              <w:rPr>
                <w:b/>
                <w:color w:val="000000"/>
              </w:rPr>
              <w:t xml:space="preserve">ES lėšos: </w:t>
            </w:r>
          </w:p>
        </w:tc>
      </w:tr>
      <w:tr w:rsidR="00CF70CD" w14:paraId="28CD5C30" w14:textId="77777777" w:rsidTr="00CF70CD">
        <w:tblPrEx>
          <w:tblCellMar>
            <w:top w:w="0" w:type="dxa"/>
            <w:bottom w:w="0" w:type="dxa"/>
          </w:tblCellMar>
        </w:tblPrEx>
        <w:trPr>
          <w:trHeight w:val="1124"/>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A932BDA" w14:textId="77777777" w:rsidR="00CF70CD" w:rsidRDefault="00CF70CD" w:rsidP="005B2BD5">
            <w:pPr>
              <w:spacing w:line="256" w:lineRule="auto"/>
              <w:ind w:firstLine="62"/>
              <w:rPr>
                <w:color w:val="000000"/>
              </w:rPr>
            </w:pP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B064227" w14:textId="77777777" w:rsidR="00CF70CD" w:rsidRDefault="00CF70CD" w:rsidP="005B2BD5">
            <w:pPr>
              <w:spacing w:line="256" w:lineRule="auto"/>
              <w:ind w:left="4"/>
              <w:rPr>
                <w:color w:val="000000"/>
              </w:rPr>
            </w:pPr>
            <w:r>
              <w:rPr>
                <w:color w:val="000000"/>
              </w:rPr>
              <w:t xml:space="preserve">Iš viso: </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24CAF4" w14:textId="77777777" w:rsidR="00CF70CD" w:rsidRDefault="00CF70CD" w:rsidP="005B2BD5">
            <w:pPr>
              <w:spacing w:line="256" w:lineRule="auto"/>
              <w:ind w:left="4"/>
              <w:rPr>
                <w:color w:val="000000"/>
              </w:rPr>
            </w:pPr>
            <w:r>
              <w:rPr>
                <w:color w:val="000000"/>
              </w:rPr>
              <w:t xml:space="preserve">iš jų bendrasis finansavimas: </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08AC4FD" w14:textId="77777777" w:rsidR="00CF70CD" w:rsidRDefault="00CF70CD" w:rsidP="005B2BD5">
            <w:pPr>
              <w:spacing w:line="256" w:lineRule="auto"/>
              <w:ind w:left="5"/>
              <w:rPr>
                <w:color w:val="000000"/>
              </w:rPr>
            </w:pPr>
            <w:r>
              <w:rPr>
                <w:color w:val="000000"/>
              </w:rPr>
              <w:t xml:space="preserve">Iš viso: </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6B3E94A" w14:textId="77777777" w:rsidR="00CF70CD" w:rsidRDefault="00CF70CD" w:rsidP="005B2BD5">
            <w:pPr>
              <w:spacing w:line="256" w:lineRule="auto"/>
              <w:ind w:left="4"/>
              <w:rPr>
                <w:color w:val="000000"/>
              </w:rPr>
            </w:pPr>
            <w:r>
              <w:rPr>
                <w:color w:val="000000"/>
              </w:rPr>
              <w:t xml:space="preserve">iš jų bendrasis finansavimas: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B50E0D0" w14:textId="77777777" w:rsidR="00CF70CD" w:rsidRDefault="00CF70CD" w:rsidP="005B2BD5">
            <w:pPr>
              <w:spacing w:line="256" w:lineRule="auto"/>
              <w:ind w:left="2" w:firstLine="62"/>
              <w:rPr>
                <w:color w:val="000000"/>
              </w:rPr>
            </w:pPr>
          </w:p>
        </w:tc>
      </w:tr>
      <w:tr w:rsidR="00CF70CD" w14:paraId="02EA2120" w14:textId="77777777" w:rsidTr="00CF70CD">
        <w:tblPrEx>
          <w:tblCellMar>
            <w:top w:w="0" w:type="dxa"/>
            <w:bottom w:w="0" w:type="dxa"/>
          </w:tblCellMar>
        </w:tblPrEx>
        <w:trPr>
          <w:trHeight w:val="33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95661FF" w14:textId="77777777" w:rsidR="00CF70CD" w:rsidRDefault="00CF70CD" w:rsidP="005B2BD5">
            <w:pPr>
              <w:spacing w:line="256" w:lineRule="auto"/>
              <w:jc w:val="center"/>
              <w:rPr>
                <w:color w:val="000000"/>
              </w:rPr>
            </w:pPr>
            <w:r>
              <w:rPr>
                <w:color w:val="000000"/>
              </w:rPr>
              <w:t>941 265</w:t>
            </w: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1FA5532" w14:textId="77777777" w:rsidR="00CF70CD" w:rsidRDefault="00CF70CD" w:rsidP="005B2BD5">
            <w:pPr>
              <w:spacing w:line="256" w:lineRule="auto"/>
              <w:ind w:left="4"/>
              <w:jc w:val="center"/>
              <w:rPr>
                <w:color w:val="000000"/>
              </w:rPr>
            </w:pPr>
            <w:r>
              <w:rPr>
                <w:color w:val="000000"/>
              </w:rPr>
              <w:t>70 595</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BA325AB" w14:textId="77777777" w:rsidR="00CF70CD" w:rsidRDefault="00CF70CD" w:rsidP="005B2BD5">
            <w:pPr>
              <w:spacing w:line="256" w:lineRule="auto"/>
              <w:ind w:left="4"/>
              <w:jc w:val="center"/>
              <w:rPr>
                <w:color w:val="000000"/>
              </w:rPr>
            </w:pPr>
            <w:r>
              <w:rPr>
                <w:color w:val="000000"/>
              </w:rPr>
              <w:t>70 595</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CE90E66" w14:textId="77777777" w:rsidR="00CF70CD" w:rsidRDefault="00CF70CD" w:rsidP="005B2BD5">
            <w:pPr>
              <w:spacing w:line="256" w:lineRule="auto"/>
              <w:ind w:left="5"/>
              <w:jc w:val="center"/>
              <w:rPr>
                <w:color w:val="000000"/>
              </w:rPr>
            </w:pPr>
            <w:r>
              <w:rPr>
                <w:color w:val="000000"/>
              </w:rPr>
              <w:t>70 595</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3DA53DE" w14:textId="77777777" w:rsidR="00CF70CD" w:rsidRDefault="00CF70CD" w:rsidP="005B2BD5">
            <w:pPr>
              <w:spacing w:line="256" w:lineRule="auto"/>
              <w:ind w:left="4"/>
              <w:jc w:val="center"/>
              <w:rPr>
                <w:color w:val="000000"/>
              </w:rPr>
            </w:pPr>
            <w:r>
              <w:rPr>
                <w:color w:val="000000"/>
              </w:rPr>
              <w:t>70 595</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73FBAB3" w14:textId="77777777" w:rsidR="00CF70CD" w:rsidRDefault="00CF70CD" w:rsidP="005B2BD5">
            <w:pPr>
              <w:spacing w:line="256" w:lineRule="auto"/>
              <w:ind w:left="2"/>
              <w:jc w:val="center"/>
              <w:rPr>
                <w:color w:val="000000"/>
              </w:rPr>
            </w:pPr>
            <w:r>
              <w:rPr>
                <w:color w:val="000000"/>
              </w:rPr>
              <w:t>800 075</w:t>
            </w:r>
          </w:p>
        </w:tc>
      </w:tr>
    </w:tbl>
    <w:p w14:paraId="52C5B103" w14:textId="6B056FA9" w:rsidR="00EE642D" w:rsidRDefault="00CF70CD" w:rsidP="00EE642D">
      <w:pPr>
        <w:tabs>
          <w:tab w:val="left" w:pos="0"/>
        </w:tabs>
        <w:spacing w:line="360" w:lineRule="auto"/>
        <w:jc w:val="both"/>
      </w:pPr>
      <w:r>
        <w:t xml:space="preserve"> </w:t>
      </w:r>
      <w:r w:rsidR="00EE642D">
        <w:t>„</w:t>
      </w:r>
    </w:p>
    <w:p w14:paraId="6F9F2773" w14:textId="77777777" w:rsidR="00CF70CD" w:rsidRDefault="002047BD" w:rsidP="00CF70CD">
      <w:pPr>
        <w:tabs>
          <w:tab w:val="left" w:pos="0"/>
        </w:tabs>
        <w:spacing w:line="360" w:lineRule="auto"/>
        <w:jc w:val="both"/>
      </w:pPr>
      <w:r>
        <w:t>taip:</w:t>
      </w:r>
    </w:p>
    <w:p w14:paraId="6E68814A" w14:textId="47B96BDA" w:rsidR="002047BD" w:rsidRPr="00EE642D" w:rsidRDefault="002047BD" w:rsidP="00CF70CD">
      <w:pPr>
        <w:tabs>
          <w:tab w:val="left" w:pos="0"/>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96"/>
        <w:gridCol w:w="1300"/>
        <w:gridCol w:w="1578"/>
        <w:gridCol w:w="1300"/>
        <w:gridCol w:w="1578"/>
        <w:gridCol w:w="1985"/>
      </w:tblGrid>
      <w:tr w:rsidR="002047BD" w14:paraId="26327594" w14:textId="77777777" w:rsidTr="00154B83">
        <w:trPr>
          <w:trHeight w:val="57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A34F163" w14:textId="77777777" w:rsidR="002047BD" w:rsidRDefault="002047BD" w:rsidP="00154B83">
            <w:pPr>
              <w:keepNext/>
              <w:keepLines/>
              <w:spacing w:line="256" w:lineRule="auto"/>
            </w:pPr>
            <w:r>
              <w:rPr>
                <w:b/>
                <w:color w:val="000000"/>
              </w:rPr>
              <w:t xml:space="preserve">Iš viso veiksmui įgyvendinti: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C1D4666" w14:textId="77777777" w:rsidR="002047BD" w:rsidRDefault="002047BD" w:rsidP="00154B83">
            <w:pPr>
              <w:keepNext/>
              <w:keepLines/>
              <w:spacing w:line="256" w:lineRule="auto"/>
              <w:ind w:left="4"/>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A226BF5" w14:textId="77777777" w:rsidR="002047BD" w:rsidRDefault="002047BD" w:rsidP="00154B83">
            <w:pPr>
              <w:keepNext/>
              <w:keepLines/>
              <w:spacing w:line="256" w:lineRule="auto"/>
              <w:ind w:left="5"/>
            </w:pPr>
            <w:r>
              <w:rPr>
                <w:b/>
                <w:color w:val="000000"/>
              </w:rPr>
              <w:t xml:space="preserve">Savivaldybės biudžeto lėšos: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59452A0" w14:textId="77777777" w:rsidR="002047BD" w:rsidRDefault="002047BD" w:rsidP="00154B83">
            <w:pPr>
              <w:keepNext/>
              <w:keepLines/>
              <w:spacing w:line="256" w:lineRule="auto"/>
              <w:ind w:left="2"/>
            </w:pPr>
            <w:r>
              <w:rPr>
                <w:b/>
                <w:color w:val="000000"/>
              </w:rPr>
              <w:t xml:space="preserve">ES lėšos: </w:t>
            </w:r>
          </w:p>
        </w:tc>
      </w:tr>
      <w:tr w:rsidR="002047BD" w14:paraId="0523C8A3" w14:textId="77777777" w:rsidTr="00154B83">
        <w:trPr>
          <w:trHeight w:val="595"/>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8D5841B" w14:textId="77777777" w:rsidR="002047BD" w:rsidRDefault="002047BD" w:rsidP="00154B83">
            <w:pPr>
              <w:keepNext/>
              <w:keepLines/>
              <w:spacing w:line="256" w:lineRule="auto"/>
              <w:ind w:firstLine="62"/>
              <w:rPr>
                <w:color w:val="000000"/>
              </w:rPr>
            </w:pP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39FBBE" w14:textId="77777777" w:rsidR="002047BD" w:rsidRDefault="002047BD" w:rsidP="00154B83">
            <w:pPr>
              <w:keepNext/>
              <w:keepLines/>
              <w:spacing w:line="256" w:lineRule="auto"/>
              <w:ind w:left="4"/>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7B6C4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F5F235" w14:textId="77777777" w:rsidR="002047BD" w:rsidRDefault="002047BD" w:rsidP="00154B83">
            <w:pPr>
              <w:keepNext/>
              <w:keepLines/>
              <w:spacing w:line="256" w:lineRule="auto"/>
              <w:ind w:left="5"/>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8598C0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5DF243" w14:textId="77777777" w:rsidR="002047BD" w:rsidRDefault="002047BD" w:rsidP="00154B83">
            <w:pPr>
              <w:keepNext/>
              <w:keepLines/>
              <w:spacing w:line="256" w:lineRule="auto"/>
              <w:ind w:left="2" w:firstLine="62"/>
              <w:rPr>
                <w:color w:val="000000"/>
              </w:rPr>
            </w:pPr>
          </w:p>
        </w:tc>
      </w:tr>
      <w:tr w:rsidR="002047BD" w14:paraId="14F84CDF" w14:textId="77777777" w:rsidTr="00154B83">
        <w:trPr>
          <w:trHeight w:val="33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8D4D5F4" w14:textId="77777777" w:rsidR="002047BD" w:rsidRDefault="002047BD" w:rsidP="00154B83">
            <w:pPr>
              <w:keepNext/>
              <w:keepLines/>
              <w:spacing w:line="256" w:lineRule="auto"/>
              <w:jc w:val="center"/>
              <w:rPr>
                <w:color w:val="000000"/>
              </w:rPr>
            </w:pPr>
            <w:r>
              <w:rPr>
                <w:color w:val="000000"/>
              </w:rPr>
              <w:t>662 413</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820C915"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CCF037F"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CC5E2F2" w14:textId="77777777" w:rsidR="002047BD" w:rsidRDefault="002047BD" w:rsidP="00154B83">
            <w:pPr>
              <w:keepNext/>
              <w:keepLines/>
              <w:spacing w:line="256" w:lineRule="auto"/>
              <w:ind w:left="5"/>
              <w:jc w:val="center"/>
              <w:rPr>
                <w:color w:val="000000"/>
              </w:rPr>
            </w:pPr>
            <w:r w:rsidRPr="00380421">
              <w:rPr>
                <w:color w:val="000000"/>
              </w:rPr>
              <w:t>49 68</w:t>
            </w:r>
            <w:r>
              <w:rPr>
                <w:color w:val="000000"/>
              </w:rPr>
              <w:t>2</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A04683"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2</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BDFF4E" w14:textId="77777777" w:rsidR="002047BD" w:rsidRPr="00E864BC" w:rsidRDefault="002047BD" w:rsidP="002047BD">
            <w:pPr>
              <w:pStyle w:val="ListParagraph"/>
              <w:keepNext/>
              <w:keepLines/>
              <w:numPr>
                <w:ilvl w:val="0"/>
                <w:numId w:val="11"/>
              </w:numPr>
              <w:spacing w:line="256" w:lineRule="auto"/>
              <w:jc w:val="center"/>
              <w:rPr>
                <w:color w:val="000000"/>
              </w:rPr>
            </w:pPr>
            <w:r>
              <w:rPr>
                <w:sz w:val="22"/>
              </w:rPr>
              <w:t>05</w:t>
            </w:r>
            <w:r w:rsidRPr="00E864BC">
              <w:rPr>
                <w:sz w:val="22"/>
              </w:rPr>
              <w:t>1</w:t>
            </w:r>
          </w:p>
        </w:tc>
      </w:tr>
    </w:tbl>
    <w:p w14:paraId="14A9D278" w14:textId="77777777" w:rsidR="002047BD" w:rsidRDefault="002047BD" w:rsidP="002047BD">
      <w:pPr>
        <w:tabs>
          <w:tab w:val="left" w:pos="662"/>
        </w:tabs>
        <w:spacing w:line="360" w:lineRule="auto"/>
        <w:jc w:val="both"/>
      </w:pPr>
      <w:r>
        <w:t>„</w:t>
      </w:r>
    </w:p>
    <w:p w14:paraId="51FBF5B2" w14:textId="77777777" w:rsidR="002047BD" w:rsidRDefault="002047BD" w:rsidP="002047BD">
      <w:pPr>
        <w:tabs>
          <w:tab w:val="left" w:pos="662"/>
        </w:tabs>
        <w:spacing w:line="360" w:lineRule="auto"/>
        <w:jc w:val="both"/>
      </w:pPr>
      <w:r>
        <w:tab/>
        <w:t>Pakeitimai reikalingi atsižvelgiant į investicijų projektuose nustatytas bendras projektų vertes:</w:t>
      </w:r>
    </w:p>
    <w:p w14:paraId="4A0D9F08" w14:textId="77777777" w:rsidR="002047BD" w:rsidRDefault="002047BD" w:rsidP="002047BD">
      <w:pPr>
        <w:pStyle w:val="ListParagraph"/>
        <w:numPr>
          <w:ilvl w:val="0"/>
          <w:numId w:val="10"/>
        </w:numPr>
        <w:tabs>
          <w:tab w:val="left" w:pos="662"/>
        </w:tabs>
        <w:spacing w:line="360" w:lineRule="auto"/>
        <w:jc w:val="both"/>
      </w:pPr>
      <w:r>
        <w:t>investicijų projekte „</w:t>
      </w:r>
      <w:r w:rsidRPr="00496ED2">
        <w:t>Nevėžio upės ir pakrančių sutvarkymas (atkarpa nuo Stoties g. tilto iki Nemuno g. tilto)</w:t>
      </w:r>
      <w:r>
        <w:t>“ bendrą projekto vertę (</w:t>
      </w:r>
      <w:r w:rsidRPr="00AE66AA">
        <w:t>662 413 Eur</w:t>
      </w:r>
      <w:r>
        <w:t xml:space="preserve">.), lyginant su ITVP numatytų lėšų poreikiu (941 265 Eur.) sumažėjo 278 852 Eur.  </w:t>
      </w:r>
    </w:p>
    <w:p w14:paraId="079AC8EE" w14:textId="77777777" w:rsidR="002047BD" w:rsidRDefault="002047BD" w:rsidP="002047BD">
      <w:pPr>
        <w:pStyle w:val="ListParagraph"/>
        <w:numPr>
          <w:ilvl w:val="0"/>
          <w:numId w:val="10"/>
        </w:numPr>
        <w:tabs>
          <w:tab w:val="left" w:pos="662"/>
        </w:tabs>
        <w:spacing w:line="360" w:lineRule="auto"/>
        <w:jc w:val="both"/>
      </w:pPr>
      <w:r>
        <w:t>rengiamame investicijų projekte „</w:t>
      </w:r>
      <w:r w:rsidRPr="00E864BC">
        <w:t>Nepriklausomybės aikštės ir jos prieigų sutvarkymas</w:t>
      </w:r>
      <w:r>
        <w:t xml:space="preserve">“ numatytą bendrą projekto vertę (916 016 Eur.) lyginant su ITVP numatytų lėšų poreikiu (637 164,03 Eur.) atitinkamai padidėjo 278 852 Eur.  </w:t>
      </w:r>
    </w:p>
    <w:p w14:paraId="581B0FD3" w14:textId="77777777" w:rsidR="002047BD" w:rsidRPr="00380421" w:rsidRDefault="002047BD" w:rsidP="002047BD">
      <w:pPr>
        <w:tabs>
          <w:tab w:val="left" w:pos="662"/>
        </w:tabs>
        <w:spacing w:line="360" w:lineRule="auto"/>
        <w:jc w:val="both"/>
      </w:pPr>
      <w:r>
        <w:tab/>
        <w:t>Atitinkamai prašome pakeisti ITVP 2 priede nurodytus susijusių priemonių lėšų poreikį.</w:t>
      </w:r>
    </w:p>
    <w:p w14:paraId="522F9A09" w14:textId="77777777" w:rsidR="00C25BD0" w:rsidRPr="00C25BD0" w:rsidRDefault="00CE4261" w:rsidP="00C25BD0">
      <w:pPr>
        <w:numPr>
          <w:ilvl w:val="0"/>
          <w:numId w:val="3"/>
        </w:numPr>
        <w:spacing w:line="360" w:lineRule="auto"/>
        <w:jc w:val="both"/>
        <w:rPr>
          <w:b/>
        </w:rPr>
      </w:pPr>
      <w:r w:rsidRPr="00C25BD0">
        <w:rPr>
          <w:b/>
        </w:rPr>
        <w:lastRenderedPageBreak/>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2047BD">
      <w:pPr>
        <w:spacing w:line="276" w:lineRule="auto"/>
        <w:ind w:firstLine="709"/>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9"/>
      <w:pgSz w:w="11907" w:h="16840" w:code="9"/>
      <w:pgMar w:top="851" w:right="708" w:bottom="709" w:left="1560"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4D16B" w14:textId="77777777" w:rsidR="00A14A7F" w:rsidRDefault="00A14A7F" w:rsidP="00D610C3">
      <w:r>
        <w:separator/>
      </w:r>
    </w:p>
  </w:endnote>
  <w:endnote w:type="continuationSeparator" w:id="0">
    <w:p w14:paraId="2F882898" w14:textId="77777777" w:rsidR="00A14A7F" w:rsidRDefault="00A14A7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38C40" w14:textId="77777777" w:rsidR="00A14A7F" w:rsidRDefault="00A14A7F" w:rsidP="00D610C3">
      <w:r>
        <w:separator/>
      </w:r>
    </w:p>
  </w:footnote>
  <w:footnote w:type="continuationSeparator" w:id="0">
    <w:p w14:paraId="59119523" w14:textId="77777777" w:rsidR="00A14A7F" w:rsidRDefault="00A14A7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36507F77" w:rsidR="00D610C3" w:rsidRDefault="00D610C3">
        <w:pPr>
          <w:pStyle w:val="Header"/>
          <w:jc w:val="center"/>
        </w:pPr>
        <w:r>
          <w:fldChar w:fldCharType="begin"/>
        </w:r>
        <w:r>
          <w:instrText>PAGE   \* MERGEFORMAT</w:instrText>
        </w:r>
        <w:r>
          <w:fldChar w:fldCharType="separate"/>
        </w:r>
        <w:r w:rsidR="00CF70CD">
          <w:rPr>
            <w:noProof/>
          </w:rPr>
          <w:t>2</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4"/>
  </w:num>
  <w:num w:numId="8">
    <w:abstractNumId w:val="11"/>
  </w:num>
  <w:num w:numId="9">
    <w:abstractNumId w:val="9"/>
  </w:num>
  <w:num w:numId="10">
    <w:abstractNumId w:val="1"/>
  </w:num>
  <w:num w:numId="11">
    <w:abstractNumId w:val="3"/>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4A3B"/>
    <w:rsid w:val="00035DF8"/>
    <w:rsid w:val="00050CB3"/>
    <w:rsid w:val="00050D33"/>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047BD"/>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14A7F"/>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E642D"/>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3C41-944B-4EA8-90CE-E221DD27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3201</Words>
  <Characters>1826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3</cp:revision>
  <cp:lastPrinted>2016-11-07T15:09:00Z</cp:lastPrinted>
  <dcterms:created xsi:type="dcterms:W3CDTF">2016-11-08T09:34:00Z</dcterms:created>
  <dcterms:modified xsi:type="dcterms:W3CDTF">2016-11-10T07:00:00Z</dcterms:modified>
</cp:coreProperties>
</file>