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01" w:rsidRDefault="00935601" w:rsidP="0096323D">
      <w:pPr>
        <w:pStyle w:val="Pavadinimas"/>
        <w:jc w:val="right"/>
        <w:rPr>
          <w:sz w:val="24"/>
          <w:szCs w:val="24"/>
        </w:rPr>
      </w:pPr>
    </w:p>
    <w:p w:rsidR="00935601" w:rsidRDefault="00AF7F8C" w:rsidP="007841CE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7C08">
        <w:rPr>
          <w:sz w:val="24"/>
          <w:szCs w:val="24"/>
        </w:rPr>
        <w:t xml:space="preserve"> </w:t>
      </w:r>
    </w:p>
    <w:p w:rsidR="00935601" w:rsidRDefault="00935601" w:rsidP="007841CE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72108">
        <w:rPr>
          <w:sz w:val="24"/>
          <w:szCs w:val="24"/>
        </w:rPr>
        <w:t xml:space="preserve"> </w:t>
      </w:r>
    </w:p>
    <w:p w:rsidR="00935601" w:rsidRDefault="00935601" w:rsidP="007841CE">
      <w:pPr>
        <w:ind w:left="4320" w:firstLine="720"/>
        <w:jc w:val="both"/>
        <w:rPr>
          <w:sz w:val="24"/>
          <w:szCs w:val="24"/>
        </w:rPr>
      </w:pPr>
    </w:p>
    <w:p w:rsidR="007841CE" w:rsidRPr="006A0DED" w:rsidRDefault="00935601" w:rsidP="007841CE">
      <w:pPr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841CE" w:rsidRPr="006A0DED">
        <w:rPr>
          <w:sz w:val="24"/>
          <w:szCs w:val="24"/>
        </w:rPr>
        <w:t>PATVIRTINTA</w:t>
      </w:r>
    </w:p>
    <w:p w:rsidR="007841CE" w:rsidRDefault="007841CE" w:rsidP="007841CE">
      <w:pPr>
        <w:jc w:val="both"/>
        <w:rPr>
          <w:sz w:val="24"/>
          <w:szCs w:val="24"/>
        </w:rPr>
      </w:pPr>
      <w:r w:rsidRPr="006A0DED">
        <w:rPr>
          <w:sz w:val="24"/>
          <w:szCs w:val="24"/>
        </w:rPr>
        <w:tab/>
      </w:r>
      <w:r w:rsidRPr="006A0DED">
        <w:rPr>
          <w:sz w:val="24"/>
          <w:szCs w:val="24"/>
        </w:rPr>
        <w:tab/>
      </w:r>
      <w:r w:rsidRPr="006A0DED">
        <w:rPr>
          <w:sz w:val="24"/>
          <w:szCs w:val="24"/>
        </w:rPr>
        <w:tab/>
      </w:r>
      <w:r w:rsidRPr="006A0DED">
        <w:rPr>
          <w:sz w:val="24"/>
          <w:szCs w:val="24"/>
        </w:rPr>
        <w:tab/>
        <w:t>Panevėžio miesto savivaldybės tarybos</w:t>
      </w:r>
      <w:r w:rsidRPr="006A0DED">
        <w:rPr>
          <w:sz w:val="24"/>
          <w:szCs w:val="24"/>
        </w:rPr>
        <w:tab/>
      </w:r>
      <w:r w:rsidRPr="006A0DED">
        <w:rPr>
          <w:sz w:val="24"/>
          <w:szCs w:val="24"/>
        </w:rPr>
        <w:tab/>
      </w:r>
      <w:r w:rsidRPr="006A0DED">
        <w:rPr>
          <w:sz w:val="24"/>
          <w:szCs w:val="24"/>
        </w:rPr>
        <w:tab/>
      </w:r>
      <w:r w:rsidRPr="006A0DED">
        <w:rPr>
          <w:sz w:val="24"/>
          <w:szCs w:val="24"/>
        </w:rPr>
        <w:tab/>
      </w:r>
      <w:r w:rsidRPr="006A0DED">
        <w:rPr>
          <w:sz w:val="24"/>
          <w:szCs w:val="24"/>
        </w:rPr>
        <w:tab/>
      </w:r>
      <w:r w:rsidR="003416BF">
        <w:rPr>
          <w:sz w:val="24"/>
          <w:szCs w:val="24"/>
        </w:rPr>
        <w:t>2016</w:t>
      </w:r>
      <w:r w:rsidRPr="006A0DED">
        <w:rPr>
          <w:sz w:val="24"/>
          <w:szCs w:val="24"/>
        </w:rPr>
        <w:t xml:space="preserve"> m.</w:t>
      </w:r>
      <w:r w:rsidR="00A2438F" w:rsidRPr="006A0DED">
        <w:rPr>
          <w:sz w:val="24"/>
          <w:szCs w:val="24"/>
        </w:rPr>
        <w:t xml:space="preserve"> </w:t>
      </w:r>
      <w:r w:rsidR="00EB7C08">
        <w:rPr>
          <w:sz w:val="24"/>
          <w:szCs w:val="24"/>
        </w:rPr>
        <w:t xml:space="preserve">kovo  </w:t>
      </w:r>
      <w:r w:rsidR="008D72D1">
        <w:rPr>
          <w:sz w:val="24"/>
          <w:szCs w:val="24"/>
        </w:rPr>
        <w:t>29</w:t>
      </w:r>
      <w:r w:rsidR="00715907">
        <w:rPr>
          <w:sz w:val="24"/>
          <w:szCs w:val="24"/>
        </w:rPr>
        <w:t xml:space="preserve">  </w:t>
      </w:r>
      <w:r w:rsidR="00A2438F" w:rsidRPr="006A0DED">
        <w:rPr>
          <w:sz w:val="24"/>
          <w:szCs w:val="24"/>
        </w:rPr>
        <w:t>d</w:t>
      </w:r>
      <w:r w:rsidRPr="006A0DED">
        <w:rPr>
          <w:sz w:val="24"/>
          <w:szCs w:val="24"/>
        </w:rPr>
        <w:t>. sprendimu Nr.</w:t>
      </w:r>
      <w:r w:rsidR="008D72D1">
        <w:rPr>
          <w:sz w:val="24"/>
          <w:szCs w:val="24"/>
        </w:rPr>
        <w:t>1-77</w:t>
      </w:r>
    </w:p>
    <w:p w:rsidR="0074110C" w:rsidRPr="006A0DED" w:rsidRDefault="0074110C" w:rsidP="007841CE">
      <w:pPr>
        <w:jc w:val="both"/>
        <w:rPr>
          <w:sz w:val="24"/>
          <w:szCs w:val="24"/>
        </w:rPr>
      </w:pPr>
    </w:p>
    <w:p w:rsidR="0074110C" w:rsidRPr="0010790C" w:rsidRDefault="0074110C" w:rsidP="0074110C">
      <w:pPr>
        <w:jc w:val="center"/>
        <w:rPr>
          <w:b/>
          <w:sz w:val="28"/>
          <w:szCs w:val="28"/>
        </w:rPr>
      </w:pPr>
      <w:r w:rsidRPr="0010790C">
        <w:rPr>
          <w:b/>
          <w:sz w:val="28"/>
          <w:szCs w:val="28"/>
        </w:rPr>
        <w:t>Lyginamasis variantas</w:t>
      </w:r>
    </w:p>
    <w:p w:rsidR="007841CE" w:rsidRDefault="007841CE" w:rsidP="0074110C">
      <w:pPr>
        <w:jc w:val="center"/>
        <w:rPr>
          <w:sz w:val="24"/>
          <w:szCs w:val="24"/>
        </w:rPr>
      </w:pPr>
    </w:p>
    <w:p w:rsidR="007841CE" w:rsidRPr="006A0DED" w:rsidRDefault="007841CE" w:rsidP="007841CE">
      <w:pPr>
        <w:jc w:val="both"/>
        <w:rPr>
          <w:sz w:val="24"/>
          <w:szCs w:val="24"/>
        </w:rPr>
      </w:pPr>
    </w:p>
    <w:p w:rsidR="007841CE" w:rsidRPr="006A0DED" w:rsidRDefault="007841CE" w:rsidP="007841CE">
      <w:pPr>
        <w:jc w:val="center"/>
        <w:rPr>
          <w:b/>
          <w:sz w:val="24"/>
          <w:szCs w:val="24"/>
        </w:rPr>
      </w:pPr>
      <w:r w:rsidRPr="006A0DED">
        <w:rPr>
          <w:b/>
          <w:sz w:val="24"/>
          <w:szCs w:val="24"/>
        </w:rPr>
        <w:t>MOKINIO KREPŠELIO</w:t>
      </w:r>
      <w:r w:rsidR="00615142" w:rsidRPr="006A0DED">
        <w:rPr>
          <w:b/>
          <w:sz w:val="24"/>
          <w:szCs w:val="24"/>
        </w:rPr>
        <w:t xml:space="preserve"> LĖŠŲ</w:t>
      </w:r>
      <w:r w:rsidR="00455860" w:rsidRPr="006A0DED">
        <w:rPr>
          <w:b/>
          <w:sz w:val="24"/>
          <w:szCs w:val="24"/>
        </w:rPr>
        <w:t xml:space="preserve"> PASKIRSTYMO</w:t>
      </w:r>
      <w:r w:rsidR="00D146A2" w:rsidRPr="006A0DED">
        <w:rPr>
          <w:b/>
          <w:sz w:val="24"/>
          <w:szCs w:val="24"/>
        </w:rPr>
        <w:t xml:space="preserve"> IR NAUDOJIMO</w:t>
      </w:r>
      <w:r w:rsidR="00BB73F0" w:rsidRPr="006A0DED">
        <w:rPr>
          <w:b/>
          <w:sz w:val="24"/>
          <w:szCs w:val="24"/>
        </w:rPr>
        <w:t xml:space="preserve"> TVARKOS APRAŠAS</w:t>
      </w:r>
    </w:p>
    <w:p w:rsidR="007841CE" w:rsidRPr="006A0DED" w:rsidRDefault="007841CE" w:rsidP="007841C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EB7C08" w:rsidRDefault="007841CE" w:rsidP="007841CE">
      <w:pPr>
        <w:jc w:val="center"/>
        <w:rPr>
          <w:b/>
          <w:sz w:val="24"/>
          <w:szCs w:val="24"/>
        </w:rPr>
      </w:pPr>
      <w:r w:rsidRPr="006A0DED">
        <w:rPr>
          <w:b/>
          <w:sz w:val="24"/>
          <w:szCs w:val="24"/>
        </w:rPr>
        <w:t>I</w:t>
      </w:r>
      <w:r w:rsidR="00EB7C08">
        <w:rPr>
          <w:b/>
          <w:sz w:val="24"/>
          <w:szCs w:val="24"/>
        </w:rPr>
        <w:t xml:space="preserve"> SKYRIUS</w:t>
      </w:r>
    </w:p>
    <w:p w:rsidR="007841CE" w:rsidRPr="006A0DED" w:rsidRDefault="007841CE" w:rsidP="007841CE">
      <w:pPr>
        <w:jc w:val="center"/>
        <w:rPr>
          <w:b/>
          <w:sz w:val="24"/>
          <w:szCs w:val="24"/>
        </w:rPr>
      </w:pPr>
      <w:r w:rsidRPr="006A0DED">
        <w:rPr>
          <w:b/>
          <w:sz w:val="24"/>
          <w:szCs w:val="24"/>
        </w:rPr>
        <w:t xml:space="preserve"> BENDROSIOS NUOSTATOS</w:t>
      </w:r>
    </w:p>
    <w:p w:rsidR="007841CE" w:rsidRPr="006A0DED" w:rsidRDefault="007841CE" w:rsidP="007841CE">
      <w:pPr>
        <w:jc w:val="center"/>
        <w:rPr>
          <w:b/>
          <w:sz w:val="24"/>
          <w:szCs w:val="24"/>
        </w:rPr>
      </w:pPr>
    </w:p>
    <w:p w:rsidR="00B37FE1" w:rsidRDefault="006660D4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 w:rsidRPr="006A0DED">
        <w:rPr>
          <w:sz w:val="24"/>
          <w:szCs w:val="24"/>
        </w:rPr>
        <w:t>1.</w:t>
      </w:r>
      <w:r w:rsidR="00AD0DCA">
        <w:rPr>
          <w:sz w:val="24"/>
          <w:szCs w:val="24"/>
        </w:rPr>
        <w:t xml:space="preserve"> </w:t>
      </w:r>
      <w:r w:rsidR="00BC47A8" w:rsidRPr="006A0DED">
        <w:rPr>
          <w:sz w:val="24"/>
          <w:szCs w:val="24"/>
        </w:rPr>
        <w:t xml:space="preserve">Mokinio krepšelio lėšų paskirstymo ir naudojimo tvarkos aprašas (toliau – </w:t>
      </w:r>
      <w:r w:rsidR="00BC47A8">
        <w:rPr>
          <w:sz w:val="24"/>
          <w:szCs w:val="24"/>
        </w:rPr>
        <w:t>A</w:t>
      </w:r>
      <w:r w:rsidR="00BC47A8" w:rsidRPr="006A0DED">
        <w:rPr>
          <w:sz w:val="24"/>
          <w:szCs w:val="24"/>
        </w:rPr>
        <w:t xml:space="preserve">prašas) reglamentuoja </w:t>
      </w:r>
      <w:r w:rsidR="00BC47A8">
        <w:rPr>
          <w:sz w:val="24"/>
          <w:szCs w:val="24"/>
        </w:rPr>
        <w:t xml:space="preserve">Panevėžio miestui skirtų </w:t>
      </w:r>
      <w:r w:rsidR="00BC47A8" w:rsidRPr="006A0DED">
        <w:rPr>
          <w:sz w:val="24"/>
          <w:szCs w:val="24"/>
        </w:rPr>
        <w:t>mo</w:t>
      </w:r>
      <w:r w:rsidR="00BC47A8">
        <w:rPr>
          <w:sz w:val="24"/>
          <w:szCs w:val="24"/>
        </w:rPr>
        <w:t xml:space="preserve">kinio krepšelio lėšų </w:t>
      </w:r>
      <w:r w:rsidR="00BC47A8" w:rsidRPr="00DF499B">
        <w:rPr>
          <w:sz w:val="24"/>
          <w:szCs w:val="24"/>
        </w:rPr>
        <w:t>planavimo,</w:t>
      </w:r>
      <w:r w:rsidR="00BC47A8">
        <w:rPr>
          <w:sz w:val="24"/>
          <w:szCs w:val="24"/>
        </w:rPr>
        <w:t xml:space="preserve"> paskirstymo principus ir naudojimo tvarką. Aprašas taikomas</w:t>
      </w:r>
      <w:r w:rsidR="00BC47A8" w:rsidRPr="006A0DED">
        <w:rPr>
          <w:sz w:val="24"/>
          <w:szCs w:val="24"/>
        </w:rPr>
        <w:t xml:space="preserve"> </w:t>
      </w:r>
      <w:r w:rsidR="00BC47A8">
        <w:rPr>
          <w:sz w:val="24"/>
          <w:szCs w:val="24"/>
        </w:rPr>
        <w:t>Panevėžio miesto s</w:t>
      </w:r>
      <w:r w:rsidR="00BC47A8" w:rsidRPr="006A0DED">
        <w:rPr>
          <w:sz w:val="24"/>
          <w:szCs w:val="24"/>
        </w:rPr>
        <w:t>avivaldybės</w:t>
      </w:r>
      <w:r w:rsidR="00BC47A8">
        <w:rPr>
          <w:sz w:val="24"/>
          <w:szCs w:val="24"/>
        </w:rPr>
        <w:t xml:space="preserve"> </w:t>
      </w:r>
      <w:r w:rsidR="00BC47A8" w:rsidRPr="006A0DED">
        <w:rPr>
          <w:sz w:val="24"/>
          <w:szCs w:val="24"/>
        </w:rPr>
        <w:t>ir nevalstybinėms mokykloms, teikiančioms bendrąjį ugdymą, ikimokyklinį ir priešmokyklinį ugdymą (</w:t>
      </w:r>
      <w:r w:rsidR="00BC47A8" w:rsidRPr="004C6DB4">
        <w:rPr>
          <w:sz w:val="24"/>
          <w:szCs w:val="24"/>
        </w:rPr>
        <w:t>toliau – mokyklos),</w:t>
      </w:r>
      <w:r w:rsidR="00BC47A8" w:rsidRPr="006A0DED">
        <w:rPr>
          <w:sz w:val="24"/>
          <w:szCs w:val="24"/>
        </w:rPr>
        <w:t xml:space="preserve"> </w:t>
      </w:r>
      <w:r w:rsidR="004C6DB4">
        <w:rPr>
          <w:sz w:val="24"/>
          <w:szCs w:val="24"/>
        </w:rPr>
        <w:t>Panevėžio</w:t>
      </w:r>
      <w:r w:rsidR="004C6DB4" w:rsidRPr="006A0DED">
        <w:rPr>
          <w:sz w:val="24"/>
          <w:szCs w:val="24"/>
        </w:rPr>
        <w:t xml:space="preserve"> </w:t>
      </w:r>
      <w:r w:rsidR="004C6DB4">
        <w:rPr>
          <w:sz w:val="24"/>
          <w:szCs w:val="24"/>
        </w:rPr>
        <w:t>p</w:t>
      </w:r>
      <w:r w:rsidR="00BC47A8" w:rsidRPr="006A0DED">
        <w:rPr>
          <w:sz w:val="24"/>
          <w:szCs w:val="24"/>
        </w:rPr>
        <w:t>edagoginei</w:t>
      </w:r>
      <w:r w:rsidR="00BC47A8">
        <w:rPr>
          <w:sz w:val="24"/>
          <w:szCs w:val="24"/>
        </w:rPr>
        <w:t>-</w:t>
      </w:r>
      <w:r w:rsidR="00BC47A8" w:rsidRPr="006A0DED">
        <w:rPr>
          <w:sz w:val="24"/>
          <w:szCs w:val="24"/>
        </w:rPr>
        <w:t>psichologinei tarnybai</w:t>
      </w:r>
      <w:r w:rsidR="00BC47A8">
        <w:rPr>
          <w:sz w:val="24"/>
          <w:szCs w:val="24"/>
        </w:rPr>
        <w:t>,</w:t>
      </w:r>
      <w:r w:rsidR="00BC47A8" w:rsidRPr="006A0DED">
        <w:rPr>
          <w:sz w:val="24"/>
          <w:szCs w:val="24"/>
        </w:rPr>
        <w:t xml:space="preserve"> neformaliojo</w:t>
      </w:r>
      <w:r w:rsidR="00BC47A8">
        <w:rPr>
          <w:sz w:val="24"/>
          <w:szCs w:val="24"/>
        </w:rPr>
        <w:t xml:space="preserve"> vaikų</w:t>
      </w:r>
      <w:r w:rsidR="00BC47A8" w:rsidRPr="006A0DED">
        <w:rPr>
          <w:sz w:val="24"/>
          <w:szCs w:val="24"/>
        </w:rPr>
        <w:t xml:space="preserve"> švietimo mokykloms</w:t>
      </w:r>
      <w:r w:rsidR="00BC47A8">
        <w:rPr>
          <w:sz w:val="24"/>
          <w:szCs w:val="24"/>
        </w:rPr>
        <w:t xml:space="preserve">, formalųjį švietimą papildančio ugdymo mokykloms, kitiems švietimo teikėjams ir </w:t>
      </w:r>
      <w:r w:rsidR="004C6DB4">
        <w:rPr>
          <w:sz w:val="24"/>
          <w:szCs w:val="24"/>
        </w:rPr>
        <w:t>Panevėžio miesto s</w:t>
      </w:r>
      <w:r w:rsidR="00BC47A8">
        <w:rPr>
          <w:sz w:val="24"/>
          <w:szCs w:val="24"/>
        </w:rPr>
        <w:t>avivaldybės administracijai</w:t>
      </w:r>
      <w:r w:rsidR="00B37FE1">
        <w:rPr>
          <w:sz w:val="24"/>
          <w:szCs w:val="24"/>
        </w:rPr>
        <w:t>.</w:t>
      </w:r>
      <w:r w:rsidR="004C6DB4">
        <w:rPr>
          <w:sz w:val="24"/>
          <w:szCs w:val="24"/>
        </w:rPr>
        <w:t xml:space="preserve"> </w:t>
      </w:r>
    </w:p>
    <w:p w:rsidR="007841CE" w:rsidRPr="006A0DED" w:rsidRDefault="007841CE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 w:rsidRPr="006A0DED">
        <w:rPr>
          <w:sz w:val="24"/>
          <w:szCs w:val="24"/>
        </w:rPr>
        <w:t>2.</w:t>
      </w:r>
      <w:r w:rsidR="00AD0DCA">
        <w:rPr>
          <w:sz w:val="24"/>
          <w:szCs w:val="24"/>
        </w:rPr>
        <w:t xml:space="preserve"> </w:t>
      </w:r>
      <w:r w:rsidRPr="006A0DED">
        <w:rPr>
          <w:sz w:val="24"/>
          <w:szCs w:val="24"/>
        </w:rPr>
        <w:t>Mokinio krepšeli</w:t>
      </w:r>
      <w:r w:rsidR="00802F69" w:rsidRPr="006A0DED">
        <w:rPr>
          <w:sz w:val="24"/>
          <w:szCs w:val="24"/>
        </w:rPr>
        <w:t>o lėšos skiriamos v</w:t>
      </w:r>
      <w:r w:rsidR="00AB1BBA">
        <w:rPr>
          <w:sz w:val="24"/>
          <w:szCs w:val="24"/>
        </w:rPr>
        <w:t>ienam sutartiniam mokiniui vienerių</w:t>
      </w:r>
      <w:r w:rsidR="00802F69" w:rsidRPr="006A0DED">
        <w:rPr>
          <w:sz w:val="24"/>
          <w:szCs w:val="24"/>
        </w:rPr>
        <w:t xml:space="preserve"> metų mokymo reikmėms.</w:t>
      </w:r>
      <w:r w:rsidR="00BC47A8">
        <w:rPr>
          <w:sz w:val="24"/>
          <w:szCs w:val="24"/>
        </w:rPr>
        <w:t xml:space="preserve"> Savivaldybei skirtos lėšos – tai atitinkamiems metams Panevėžio miesto savivaldybei </w:t>
      </w:r>
      <w:r w:rsidR="004C6DB4">
        <w:rPr>
          <w:sz w:val="24"/>
          <w:szCs w:val="24"/>
        </w:rPr>
        <w:t>(toliau – Savivaldybė)</w:t>
      </w:r>
      <w:r w:rsidR="004C6DB4" w:rsidRPr="006A0DED">
        <w:rPr>
          <w:sz w:val="24"/>
          <w:szCs w:val="24"/>
        </w:rPr>
        <w:t xml:space="preserve"> </w:t>
      </w:r>
      <w:r w:rsidR="00BC47A8">
        <w:rPr>
          <w:sz w:val="24"/>
          <w:szCs w:val="24"/>
        </w:rPr>
        <w:t>skirtos mokinio krepšelio lėšos.</w:t>
      </w:r>
    </w:p>
    <w:p w:rsidR="007841CE" w:rsidRDefault="00AB1BBA" w:rsidP="00CF3462">
      <w:pPr>
        <w:spacing w:line="276" w:lineRule="auto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ab/>
        <w:t>3. Apraše vartojamos sąvokos atitinka Lietuvos Respublikos švietimo įstatyme ir Mokinio krepšelio lėšų apskaičiavimo ir paskirstymo metodikoje, patvirtintoje Lietuvos Respublikos Vyriausybės nutarimu (toliau – Metodika), vartojamas sąvokas.</w:t>
      </w:r>
    </w:p>
    <w:p w:rsidR="00AB1BBA" w:rsidRPr="006A0DED" w:rsidRDefault="00AB1BBA" w:rsidP="00CF3462">
      <w:pPr>
        <w:spacing w:line="276" w:lineRule="auto"/>
        <w:ind w:right="126"/>
        <w:jc w:val="both"/>
        <w:rPr>
          <w:sz w:val="24"/>
          <w:szCs w:val="24"/>
        </w:rPr>
      </w:pPr>
    </w:p>
    <w:p w:rsidR="00EB7C08" w:rsidRDefault="007841CE" w:rsidP="00CF3462">
      <w:pPr>
        <w:spacing w:line="276" w:lineRule="auto"/>
        <w:ind w:right="126"/>
        <w:jc w:val="center"/>
        <w:rPr>
          <w:b/>
          <w:sz w:val="24"/>
          <w:szCs w:val="24"/>
        </w:rPr>
      </w:pPr>
      <w:r w:rsidRPr="006A0DED">
        <w:rPr>
          <w:b/>
          <w:sz w:val="24"/>
          <w:szCs w:val="24"/>
        </w:rPr>
        <w:t>II</w:t>
      </w:r>
      <w:r w:rsidR="00EB7C08">
        <w:rPr>
          <w:b/>
          <w:sz w:val="24"/>
          <w:szCs w:val="24"/>
        </w:rPr>
        <w:t xml:space="preserve"> SKYRIUS</w:t>
      </w:r>
    </w:p>
    <w:p w:rsidR="007841CE" w:rsidRPr="006A0DED" w:rsidRDefault="007841CE" w:rsidP="00CF3462">
      <w:pPr>
        <w:spacing w:line="276" w:lineRule="auto"/>
        <w:ind w:right="126"/>
        <w:jc w:val="center"/>
        <w:rPr>
          <w:b/>
          <w:sz w:val="24"/>
          <w:szCs w:val="24"/>
        </w:rPr>
      </w:pPr>
      <w:r w:rsidRPr="006A0DED">
        <w:rPr>
          <w:b/>
          <w:sz w:val="24"/>
          <w:szCs w:val="24"/>
        </w:rPr>
        <w:t>MOKINIO KREPŠELIO</w:t>
      </w:r>
      <w:r w:rsidR="0026243E" w:rsidRPr="006A0DED">
        <w:rPr>
          <w:b/>
          <w:sz w:val="24"/>
          <w:szCs w:val="24"/>
        </w:rPr>
        <w:t xml:space="preserve"> LĖŠŲ</w:t>
      </w:r>
      <w:r w:rsidRPr="006A0DED">
        <w:rPr>
          <w:b/>
          <w:sz w:val="24"/>
          <w:szCs w:val="24"/>
        </w:rPr>
        <w:t xml:space="preserve"> PASKIRSTYMAS</w:t>
      </w:r>
      <w:r w:rsidR="00A95791" w:rsidRPr="006A0DED">
        <w:rPr>
          <w:b/>
          <w:sz w:val="24"/>
          <w:szCs w:val="24"/>
        </w:rPr>
        <w:t xml:space="preserve"> IR NAUDOJIMAS</w:t>
      </w:r>
    </w:p>
    <w:p w:rsidR="007841CE" w:rsidRPr="006A0DED" w:rsidRDefault="007841CE" w:rsidP="00CF3462">
      <w:pPr>
        <w:spacing w:line="276" w:lineRule="auto"/>
        <w:ind w:right="126"/>
        <w:jc w:val="both"/>
        <w:rPr>
          <w:sz w:val="24"/>
          <w:szCs w:val="24"/>
        </w:rPr>
      </w:pPr>
    </w:p>
    <w:p w:rsidR="00402796" w:rsidRDefault="00C3183B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02796">
        <w:rPr>
          <w:sz w:val="24"/>
          <w:szCs w:val="24"/>
        </w:rPr>
        <w:t xml:space="preserve">. </w:t>
      </w:r>
      <w:r w:rsidR="00BC47A8">
        <w:rPr>
          <w:sz w:val="24"/>
          <w:szCs w:val="24"/>
        </w:rPr>
        <w:t xml:space="preserve">Skaičiuojant mokinio krepšelio lėšas ateinantiems biudžetiniams metams, mokinių skaičius fiksuojamas pagal Savivaldybės </w:t>
      </w:r>
      <w:r w:rsidR="00223DB8">
        <w:rPr>
          <w:sz w:val="24"/>
          <w:szCs w:val="24"/>
        </w:rPr>
        <w:t>m</w:t>
      </w:r>
      <w:r w:rsidR="00BC47A8">
        <w:rPr>
          <w:sz w:val="24"/>
          <w:szCs w:val="24"/>
        </w:rPr>
        <w:t>okinių duomenų bazės einamųjų metų rugsėjo 1 dienos duomenis.</w:t>
      </w:r>
    </w:p>
    <w:p w:rsidR="00402796" w:rsidRPr="006A0DED" w:rsidRDefault="00C3183B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02796">
        <w:rPr>
          <w:sz w:val="24"/>
          <w:szCs w:val="24"/>
        </w:rPr>
        <w:t xml:space="preserve">. Panevėžio </w:t>
      </w:r>
      <w:r w:rsidR="00223DB8">
        <w:rPr>
          <w:sz w:val="24"/>
          <w:szCs w:val="24"/>
        </w:rPr>
        <w:t>s</w:t>
      </w:r>
      <w:r w:rsidR="00402796">
        <w:rPr>
          <w:sz w:val="24"/>
          <w:szCs w:val="24"/>
        </w:rPr>
        <w:t>uaugusiųjų</w:t>
      </w:r>
      <w:r w:rsidR="008D72D1">
        <w:rPr>
          <w:sz w:val="24"/>
          <w:szCs w:val="24"/>
        </w:rPr>
        <w:t xml:space="preserve"> </w:t>
      </w:r>
      <w:r w:rsidR="008D72D1">
        <w:rPr>
          <w:b/>
          <w:sz w:val="24"/>
          <w:szCs w:val="24"/>
        </w:rPr>
        <w:t>ir jaunimo</w:t>
      </w:r>
      <w:r w:rsidR="00402796">
        <w:rPr>
          <w:sz w:val="24"/>
          <w:szCs w:val="24"/>
        </w:rPr>
        <w:t xml:space="preserve"> mokymo centro skyriaus Pataisos namuose mokinio krepšelio lėšos skaičiuojamos pagal vidutinį metinį mokinių skaičių.</w:t>
      </w:r>
    </w:p>
    <w:p w:rsidR="0054717D" w:rsidRDefault="00C3183B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841CE" w:rsidRPr="006A0DED">
        <w:rPr>
          <w:sz w:val="24"/>
          <w:szCs w:val="24"/>
        </w:rPr>
        <w:t>.</w:t>
      </w:r>
      <w:r w:rsidR="0054717D">
        <w:rPr>
          <w:sz w:val="24"/>
          <w:szCs w:val="24"/>
        </w:rPr>
        <w:t xml:space="preserve"> </w:t>
      </w:r>
      <w:r w:rsidR="007841CE" w:rsidRPr="006A0DED">
        <w:rPr>
          <w:sz w:val="24"/>
          <w:szCs w:val="24"/>
        </w:rPr>
        <w:t>Vadovaujantis</w:t>
      </w:r>
      <w:r w:rsidR="00B7360F" w:rsidRPr="006A0DED">
        <w:rPr>
          <w:sz w:val="24"/>
          <w:szCs w:val="24"/>
        </w:rPr>
        <w:t xml:space="preserve"> galiojančia</w:t>
      </w:r>
      <w:r w:rsidR="007841CE" w:rsidRPr="006A0DED">
        <w:rPr>
          <w:sz w:val="24"/>
          <w:szCs w:val="24"/>
        </w:rPr>
        <w:t xml:space="preserve"> </w:t>
      </w:r>
      <w:r w:rsidR="00FE1519">
        <w:rPr>
          <w:sz w:val="24"/>
          <w:szCs w:val="24"/>
        </w:rPr>
        <w:t>M</w:t>
      </w:r>
      <w:r w:rsidR="00F00972">
        <w:rPr>
          <w:sz w:val="24"/>
          <w:szCs w:val="24"/>
        </w:rPr>
        <w:t>etodika</w:t>
      </w:r>
      <w:r w:rsidR="007841CE" w:rsidRPr="006A0DED">
        <w:rPr>
          <w:sz w:val="24"/>
          <w:szCs w:val="24"/>
        </w:rPr>
        <w:t>, apskaičiuojamas</w:t>
      </w:r>
      <w:r w:rsidR="00C0490D" w:rsidRPr="006A0DED">
        <w:rPr>
          <w:sz w:val="24"/>
          <w:szCs w:val="24"/>
        </w:rPr>
        <w:t xml:space="preserve"> kiekvienos švietimo įstaigos sutartinių</w:t>
      </w:r>
      <w:r w:rsidR="007841CE" w:rsidRPr="006A0DED">
        <w:rPr>
          <w:sz w:val="24"/>
          <w:szCs w:val="24"/>
        </w:rPr>
        <w:t xml:space="preserve"> mokini</w:t>
      </w:r>
      <w:r w:rsidR="00142287" w:rsidRPr="006A0DED">
        <w:rPr>
          <w:sz w:val="24"/>
          <w:szCs w:val="24"/>
        </w:rPr>
        <w:t>ų</w:t>
      </w:r>
      <w:r w:rsidR="007841CE" w:rsidRPr="006A0DED">
        <w:rPr>
          <w:sz w:val="24"/>
          <w:szCs w:val="24"/>
        </w:rPr>
        <w:t xml:space="preserve"> skaičius.</w:t>
      </w:r>
      <w:r w:rsidR="0026243E" w:rsidRPr="006A0DED">
        <w:rPr>
          <w:sz w:val="24"/>
          <w:szCs w:val="24"/>
        </w:rPr>
        <w:t xml:space="preserve"> </w:t>
      </w:r>
    </w:p>
    <w:p w:rsidR="0026243E" w:rsidRDefault="0054717D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6243E" w:rsidRPr="006A0DE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44F0D">
        <w:rPr>
          <w:sz w:val="24"/>
          <w:szCs w:val="24"/>
        </w:rPr>
        <w:t>Vienam sutartiniam mokiniui pagal Metodiką skiriama vienoda lėšų suma –</w:t>
      </w:r>
      <w:r w:rsidR="00342032">
        <w:rPr>
          <w:sz w:val="24"/>
          <w:szCs w:val="24"/>
        </w:rPr>
        <w:t xml:space="preserve"> </w:t>
      </w:r>
      <w:r w:rsidR="00044F0D">
        <w:rPr>
          <w:sz w:val="24"/>
          <w:szCs w:val="24"/>
        </w:rPr>
        <w:t xml:space="preserve">mokinio krepšelis, kuris </w:t>
      </w:r>
      <w:r w:rsidR="0026243E" w:rsidRPr="006A0DED">
        <w:rPr>
          <w:sz w:val="24"/>
          <w:szCs w:val="24"/>
        </w:rPr>
        <w:t xml:space="preserve">kiekvienais metais nustatomas Lietuvos Respublikos </w:t>
      </w:r>
      <w:r w:rsidR="004076C2" w:rsidRPr="006A0DED">
        <w:rPr>
          <w:sz w:val="24"/>
          <w:szCs w:val="24"/>
        </w:rPr>
        <w:t>v</w:t>
      </w:r>
      <w:r w:rsidR="0026243E" w:rsidRPr="006A0DED">
        <w:rPr>
          <w:sz w:val="24"/>
          <w:szCs w:val="24"/>
        </w:rPr>
        <w:t xml:space="preserve">alstybės biudžeto ir savivaldybių biudžetų finansinių rodiklių patvirtinimo </w:t>
      </w:r>
      <w:r w:rsidR="0026243E" w:rsidRPr="004151A2">
        <w:rPr>
          <w:sz w:val="24"/>
          <w:szCs w:val="24"/>
        </w:rPr>
        <w:t>įstatymu.</w:t>
      </w:r>
      <w:r w:rsidR="0026243E" w:rsidRPr="006A0DED">
        <w:rPr>
          <w:sz w:val="24"/>
          <w:szCs w:val="24"/>
        </w:rPr>
        <w:t xml:space="preserve"> </w:t>
      </w:r>
    </w:p>
    <w:p w:rsidR="0054717D" w:rsidRDefault="0054717D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D633D0">
        <w:rPr>
          <w:sz w:val="24"/>
          <w:szCs w:val="24"/>
        </w:rPr>
        <w:t xml:space="preserve"> </w:t>
      </w:r>
      <w:r w:rsidR="00044F0D">
        <w:rPr>
          <w:sz w:val="24"/>
          <w:szCs w:val="24"/>
        </w:rPr>
        <w:t xml:space="preserve">Savivaldybės </w:t>
      </w:r>
      <w:r w:rsidR="00C3183B">
        <w:rPr>
          <w:sz w:val="24"/>
          <w:szCs w:val="24"/>
        </w:rPr>
        <w:t>mokinio krepšelio lėšos ap</w:t>
      </w:r>
      <w:r w:rsidR="00B70CEC">
        <w:rPr>
          <w:sz w:val="24"/>
          <w:szCs w:val="24"/>
        </w:rPr>
        <w:t>skaičiuojamos</w:t>
      </w:r>
      <w:r w:rsidR="00C3183B">
        <w:rPr>
          <w:sz w:val="24"/>
          <w:szCs w:val="24"/>
        </w:rPr>
        <w:t xml:space="preserve"> įstaigų</w:t>
      </w:r>
      <w:r w:rsidR="00044F0D">
        <w:rPr>
          <w:sz w:val="24"/>
          <w:szCs w:val="24"/>
        </w:rPr>
        <w:t xml:space="preserve"> sutartinių mokinių skaičių</w:t>
      </w:r>
      <w:r w:rsidR="00C3183B">
        <w:rPr>
          <w:sz w:val="24"/>
          <w:szCs w:val="24"/>
        </w:rPr>
        <w:t xml:space="preserve"> dauginant</w:t>
      </w:r>
      <w:r w:rsidR="00044F0D">
        <w:rPr>
          <w:sz w:val="24"/>
          <w:szCs w:val="24"/>
        </w:rPr>
        <w:t xml:space="preserve"> iš mokinio krepšelio dydžio. Su nevalstybinėmis mokyklomis sudaromos mokinio krepšelio skyrimo ir naudojimo sutartys.</w:t>
      </w:r>
    </w:p>
    <w:p w:rsidR="00471BB0" w:rsidRDefault="00471BB0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>
        <w:rPr>
          <w:sz w:val="24"/>
          <w:szCs w:val="24"/>
        </w:rPr>
        <w:t>9. Mokyklos, teikdamos programų sąmatų projektus ateinantiems biudžetiniams metams, apskaičiuoja mokinio krepšelio lėšas, priklausančias pagal Metodiką, ir faktišką mokinio krepšelio lėšų poreikį.</w:t>
      </w:r>
    </w:p>
    <w:p w:rsidR="00471BB0" w:rsidRDefault="00471BB0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Švietimo įstaigos mokinio krepšelio lėšų poreikį apskaičiuoja pagal patvirtintus darbuotojų, kuriems darbo užmokestis mokamas iš mokinio krepšelio lėšų, etatų ir pedagogų tarifinius sąrašus, įvertina lėšų poreikį mokinių mokymui namuose </w:t>
      </w:r>
      <w:r w:rsidR="00223DB8">
        <w:rPr>
          <w:sz w:val="24"/>
          <w:szCs w:val="24"/>
        </w:rPr>
        <w:t>ir</w:t>
      </w:r>
      <w:r>
        <w:rPr>
          <w:sz w:val="24"/>
          <w:szCs w:val="24"/>
        </w:rPr>
        <w:t xml:space="preserve"> kitas su darbo santykiais susijusias išmokas. Kitoms mokymo reikmė</w:t>
      </w:r>
      <w:r w:rsidR="00631812">
        <w:rPr>
          <w:sz w:val="24"/>
          <w:szCs w:val="24"/>
        </w:rPr>
        <w:t>ms lėšos apskaičiuojamos pagal M</w:t>
      </w:r>
      <w:r>
        <w:rPr>
          <w:sz w:val="24"/>
          <w:szCs w:val="24"/>
        </w:rPr>
        <w:t>etodikos 2 priedo 2 punktą.</w:t>
      </w:r>
    </w:p>
    <w:p w:rsidR="00471BB0" w:rsidRDefault="00471BB0" w:rsidP="00935601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4B3F5F">
        <w:rPr>
          <w:strike/>
          <w:sz w:val="24"/>
          <w:szCs w:val="24"/>
        </w:rPr>
        <w:t>Įstaigoms, teikiančioms neformalųjį vaikų švietimą pagal formaliojo švietimo programas papildančius ir mokinių saviraiškos poreikius tenkinančius šių programų modulius</w:t>
      </w:r>
      <w:r w:rsidR="004B3F5F">
        <w:rPr>
          <w:sz w:val="24"/>
          <w:szCs w:val="24"/>
        </w:rPr>
        <w:t xml:space="preserve">  </w:t>
      </w:r>
      <w:r w:rsidR="004B3F5F" w:rsidRPr="004B3F5F">
        <w:rPr>
          <w:b/>
          <w:sz w:val="24"/>
          <w:szCs w:val="24"/>
        </w:rPr>
        <w:t>Neformaliojo vaikų švietimo mokykloms formalųjį švietimą papildančio ugdymo programoms finansuoti</w:t>
      </w:r>
      <w:r>
        <w:rPr>
          <w:sz w:val="24"/>
          <w:szCs w:val="24"/>
        </w:rPr>
        <w:t xml:space="preserve"> lėšos apskaičiuojamos vadovaujantis Metodikoje nustatyta lėšų skyrimo suma pagal fiksuotą spalio 1 d. neformaliojo švietimo įstaigų, kurių savininko teises ir pareigas įgyvendina Panevėžio miesto savivaldybės taryba</w:t>
      </w:r>
      <w:r w:rsidR="00223DB8">
        <w:rPr>
          <w:sz w:val="24"/>
          <w:szCs w:val="24"/>
        </w:rPr>
        <w:t xml:space="preserve"> (toliau – Savivaldybės taryba</w:t>
      </w:r>
      <w:r w:rsidR="004C6DB4">
        <w:rPr>
          <w:sz w:val="24"/>
          <w:szCs w:val="24"/>
        </w:rPr>
        <w:t>)</w:t>
      </w:r>
      <w:r>
        <w:rPr>
          <w:sz w:val="24"/>
          <w:szCs w:val="24"/>
        </w:rPr>
        <w:t xml:space="preserve">, mokinių skaičių. Šios įstaigos iki spalio 10 d. pateikia </w:t>
      </w:r>
      <w:r w:rsidR="00223DB8">
        <w:rPr>
          <w:sz w:val="24"/>
          <w:szCs w:val="24"/>
        </w:rPr>
        <w:t xml:space="preserve">Savivaldybės administracijos </w:t>
      </w:r>
      <w:r w:rsidRPr="00967DE5">
        <w:rPr>
          <w:strike/>
          <w:sz w:val="24"/>
          <w:szCs w:val="24"/>
        </w:rPr>
        <w:t>Finansų</w:t>
      </w:r>
      <w:r>
        <w:rPr>
          <w:sz w:val="24"/>
          <w:szCs w:val="24"/>
        </w:rPr>
        <w:t xml:space="preserve"> </w:t>
      </w:r>
      <w:r w:rsidR="00967DE5" w:rsidRPr="00967DE5">
        <w:rPr>
          <w:b/>
          <w:sz w:val="24"/>
          <w:szCs w:val="24"/>
        </w:rPr>
        <w:t>Strateginio planavimo, investicijų</w:t>
      </w:r>
      <w:r w:rsidR="00967DE5">
        <w:rPr>
          <w:sz w:val="24"/>
          <w:szCs w:val="24"/>
        </w:rPr>
        <w:t xml:space="preserve"> </w:t>
      </w:r>
      <w:r>
        <w:rPr>
          <w:sz w:val="24"/>
          <w:szCs w:val="24"/>
        </w:rPr>
        <w:t>ir biudžeto skyriui raštus, kuriuose nurodo, kiek mokinių lanko šias mokyklas spalio 1 d.</w:t>
      </w:r>
    </w:p>
    <w:p w:rsidR="00C3183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3183B" w:rsidRPr="000A09FF">
        <w:rPr>
          <w:sz w:val="24"/>
          <w:szCs w:val="24"/>
        </w:rPr>
        <w:t>.</w:t>
      </w:r>
      <w:r w:rsidR="00C3183B">
        <w:rPr>
          <w:sz w:val="24"/>
          <w:szCs w:val="24"/>
        </w:rPr>
        <w:t xml:space="preserve"> Savivaldybės skirstomos mokinio krepšelio dalies lėšos skiriamos:</w:t>
      </w:r>
    </w:p>
    <w:p w:rsidR="00C3183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3183B" w:rsidRPr="006A0DED">
        <w:rPr>
          <w:sz w:val="24"/>
          <w:szCs w:val="24"/>
        </w:rPr>
        <w:t>.1.</w:t>
      </w:r>
      <w:r w:rsidR="00C3183B">
        <w:rPr>
          <w:sz w:val="24"/>
          <w:szCs w:val="24"/>
        </w:rPr>
        <w:t xml:space="preserve"> </w:t>
      </w:r>
      <w:r w:rsidR="00C3183B" w:rsidRPr="006A0DED">
        <w:rPr>
          <w:sz w:val="24"/>
          <w:szCs w:val="24"/>
        </w:rPr>
        <w:t>pedagoginei</w:t>
      </w:r>
      <w:r w:rsidR="00B37FE1">
        <w:rPr>
          <w:sz w:val="24"/>
          <w:szCs w:val="24"/>
        </w:rPr>
        <w:t>-</w:t>
      </w:r>
      <w:r w:rsidR="00C3183B" w:rsidRPr="006A0DED">
        <w:rPr>
          <w:sz w:val="24"/>
          <w:szCs w:val="24"/>
        </w:rPr>
        <w:t>psichologinei pagalbai organizuoti (P</w:t>
      </w:r>
      <w:r w:rsidR="00B358E9">
        <w:rPr>
          <w:sz w:val="24"/>
          <w:szCs w:val="24"/>
        </w:rPr>
        <w:t>edagoginės</w:t>
      </w:r>
      <w:r w:rsidR="00223DB8">
        <w:rPr>
          <w:sz w:val="24"/>
          <w:szCs w:val="24"/>
        </w:rPr>
        <w:t>-</w:t>
      </w:r>
      <w:r w:rsidR="00C3183B" w:rsidRPr="006A0DED">
        <w:rPr>
          <w:sz w:val="24"/>
          <w:szCs w:val="24"/>
        </w:rPr>
        <w:t xml:space="preserve">psichologinės tarnybos etatams, finansuojamiems iš mokinio krepšelio lėšų, </w:t>
      </w:r>
      <w:r w:rsidR="00C3183B">
        <w:rPr>
          <w:sz w:val="24"/>
          <w:szCs w:val="24"/>
        </w:rPr>
        <w:t>darbo užmokesčiui, socialinio draudimo įmokoms,</w:t>
      </w:r>
      <w:r w:rsidR="00C3183B" w:rsidRPr="00EA3F41">
        <w:rPr>
          <w:sz w:val="24"/>
          <w:szCs w:val="24"/>
        </w:rPr>
        <w:t xml:space="preserve"> </w:t>
      </w:r>
      <w:r w:rsidR="00C3183B">
        <w:rPr>
          <w:sz w:val="24"/>
          <w:szCs w:val="24"/>
        </w:rPr>
        <w:t>išeitinėms ir kitoms su darbo santykiais susijusioms išmokoms bei kompensacijoms mokėti</w:t>
      </w:r>
      <w:r w:rsidR="00C3183B" w:rsidRPr="006A0DED">
        <w:rPr>
          <w:sz w:val="24"/>
          <w:szCs w:val="24"/>
        </w:rPr>
        <w:t>);</w:t>
      </w:r>
    </w:p>
    <w:p w:rsidR="00C3183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3183B" w:rsidRPr="006A0DED">
        <w:rPr>
          <w:sz w:val="24"/>
          <w:szCs w:val="24"/>
        </w:rPr>
        <w:t>.2.</w:t>
      </w:r>
      <w:r w:rsidR="00C3183B">
        <w:rPr>
          <w:sz w:val="24"/>
          <w:szCs w:val="24"/>
        </w:rPr>
        <w:t xml:space="preserve"> </w:t>
      </w:r>
      <w:r w:rsidR="00C3183B" w:rsidRPr="006A0DED">
        <w:rPr>
          <w:sz w:val="24"/>
          <w:szCs w:val="24"/>
        </w:rPr>
        <w:t>brandos egzaminams organizuoti ir vykdyti;</w:t>
      </w:r>
    </w:p>
    <w:p w:rsidR="00C3183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3183B">
        <w:rPr>
          <w:sz w:val="24"/>
          <w:szCs w:val="24"/>
        </w:rPr>
        <w:t>.3</w:t>
      </w:r>
      <w:r w:rsidR="00C3183B" w:rsidRPr="006A0DED">
        <w:rPr>
          <w:sz w:val="24"/>
          <w:szCs w:val="24"/>
        </w:rPr>
        <w:t>.</w:t>
      </w:r>
      <w:r w:rsidR="004A5793">
        <w:rPr>
          <w:sz w:val="24"/>
          <w:szCs w:val="24"/>
        </w:rPr>
        <w:t xml:space="preserve"> </w:t>
      </w:r>
      <w:r w:rsidR="00C3183B" w:rsidRPr="006A0DED">
        <w:rPr>
          <w:sz w:val="24"/>
          <w:szCs w:val="24"/>
        </w:rPr>
        <w:t>profesinės linkmės moduliams</w:t>
      </w:r>
      <w:r w:rsidR="00C3183B">
        <w:rPr>
          <w:sz w:val="24"/>
          <w:szCs w:val="24"/>
        </w:rPr>
        <w:t>, vykdomiems pagal Profesinės linkmės ugdymo modulio aprašą</w:t>
      </w:r>
      <w:r w:rsidR="00B37FE1">
        <w:rPr>
          <w:sz w:val="24"/>
          <w:szCs w:val="24"/>
        </w:rPr>
        <w:t>,</w:t>
      </w:r>
      <w:r w:rsidR="00C3183B" w:rsidRPr="006A0DED">
        <w:rPr>
          <w:sz w:val="24"/>
          <w:szCs w:val="24"/>
        </w:rPr>
        <w:t xml:space="preserve"> finansuoti;</w:t>
      </w:r>
    </w:p>
    <w:p w:rsidR="00C3183B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C3183B">
        <w:rPr>
          <w:sz w:val="24"/>
          <w:szCs w:val="24"/>
        </w:rPr>
        <w:t>.4</w:t>
      </w:r>
      <w:r w:rsidR="00C3183B" w:rsidRPr="006A0DED">
        <w:rPr>
          <w:sz w:val="24"/>
          <w:szCs w:val="24"/>
        </w:rPr>
        <w:t>.</w:t>
      </w:r>
      <w:r w:rsidR="00C3183B">
        <w:rPr>
          <w:sz w:val="24"/>
          <w:szCs w:val="24"/>
        </w:rPr>
        <w:t xml:space="preserve"> </w:t>
      </w:r>
      <w:r w:rsidR="00C3183B" w:rsidRPr="00F17257">
        <w:rPr>
          <w:strike/>
          <w:sz w:val="24"/>
          <w:szCs w:val="24"/>
        </w:rPr>
        <w:t>formaliojo švietimo programas papildantiems ir mokinių saviraiškos poreikius tenkinantiems šių programų moduliams</w:t>
      </w:r>
      <w:r w:rsidR="00C3183B">
        <w:rPr>
          <w:sz w:val="24"/>
          <w:szCs w:val="24"/>
        </w:rPr>
        <w:t xml:space="preserve"> </w:t>
      </w:r>
      <w:r w:rsidR="00F17257">
        <w:rPr>
          <w:sz w:val="24"/>
          <w:szCs w:val="24"/>
        </w:rPr>
        <w:t xml:space="preserve"> </w:t>
      </w:r>
      <w:r w:rsidR="00F17257" w:rsidRPr="00F17257">
        <w:rPr>
          <w:b/>
          <w:sz w:val="24"/>
          <w:szCs w:val="24"/>
        </w:rPr>
        <w:t>formalųjį švietimą papildančio ugdymo programoms finansuoti</w:t>
      </w:r>
      <w:r w:rsidR="00F17257">
        <w:rPr>
          <w:sz w:val="24"/>
          <w:szCs w:val="24"/>
        </w:rPr>
        <w:t xml:space="preserve"> </w:t>
      </w:r>
      <w:r w:rsidR="004A5793">
        <w:rPr>
          <w:sz w:val="24"/>
          <w:szCs w:val="24"/>
        </w:rPr>
        <w:t>neformaliojo vaikų švietimo mokyklose</w:t>
      </w:r>
      <w:r w:rsidR="00342032">
        <w:rPr>
          <w:sz w:val="24"/>
          <w:szCs w:val="24"/>
        </w:rPr>
        <w:t>;</w:t>
      </w:r>
    </w:p>
    <w:p w:rsidR="00351BBF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342032">
        <w:rPr>
          <w:sz w:val="24"/>
          <w:szCs w:val="24"/>
        </w:rPr>
        <w:t>.5</w:t>
      </w:r>
      <w:r w:rsidR="00351BBF">
        <w:rPr>
          <w:sz w:val="24"/>
          <w:szCs w:val="24"/>
        </w:rPr>
        <w:t xml:space="preserve">. </w:t>
      </w:r>
      <w:r w:rsidR="001E7CB3">
        <w:rPr>
          <w:sz w:val="24"/>
          <w:szCs w:val="24"/>
        </w:rPr>
        <w:t>pedagoginių darbuotojų tarifinių atlygių koeficientų skirtumams išlyginti mokyklose, priemokoms už laikinai nesančių darbuotojų funkcijų (pareigų) arba papildomų darbų atlikimą (jeigu dėl papildomo darbo nesulygstama darbo sutartyje)</w:t>
      </w:r>
      <w:r w:rsidR="00724AA8">
        <w:rPr>
          <w:sz w:val="24"/>
          <w:szCs w:val="24"/>
        </w:rPr>
        <w:t>;</w:t>
      </w:r>
    </w:p>
    <w:p w:rsidR="00C3183B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342032">
        <w:rPr>
          <w:sz w:val="24"/>
          <w:szCs w:val="24"/>
        </w:rPr>
        <w:t>.6</w:t>
      </w:r>
      <w:r w:rsidR="00C3183B" w:rsidRPr="006A0DED">
        <w:rPr>
          <w:sz w:val="24"/>
          <w:szCs w:val="24"/>
        </w:rPr>
        <w:t>.</w:t>
      </w:r>
      <w:r w:rsidR="00C3183B">
        <w:rPr>
          <w:sz w:val="24"/>
          <w:szCs w:val="24"/>
        </w:rPr>
        <w:t xml:space="preserve"> </w:t>
      </w:r>
      <w:r w:rsidR="00C3183B" w:rsidRPr="006A0DED">
        <w:rPr>
          <w:sz w:val="24"/>
          <w:szCs w:val="24"/>
        </w:rPr>
        <w:t>bendrojo ugdymo, ikimokyklinio ir priešmokyklinio ugdymo prieinamumui užtikrinti</w:t>
      </w:r>
      <w:r w:rsidR="00C3183B">
        <w:rPr>
          <w:sz w:val="24"/>
          <w:szCs w:val="24"/>
        </w:rPr>
        <w:t>, ikimokyklinio ir priešmokyklinio ugdymo formų įvairovei įgyvendinti;</w:t>
      </w:r>
    </w:p>
    <w:p w:rsidR="00C3183B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342032">
        <w:rPr>
          <w:sz w:val="24"/>
          <w:szCs w:val="24"/>
        </w:rPr>
        <w:t>.7</w:t>
      </w:r>
      <w:r w:rsidR="00C3183B">
        <w:rPr>
          <w:sz w:val="24"/>
          <w:szCs w:val="24"/>
        </w:rPr>
        <w:t xml:space="preserve">. mažiau pasirenkamų užsienio kalbų (prancūzų, vokiečių ir kitų) mokymuisi </w:t>
      </w:r>
      <w:r w:rsidR="00223DB8">
        <w:rPr>
          <w:sz w:val="24"/>
          <w:szCs w:val="24"/>
        </w:rPr>
        <w:t xml:space="preserve">finansuoti </w:t>
      </w:r>
      <w:r w:rsidR="00C3183B">
        <w:rPr>
          <w:sz w:val="24"/>
          <w:szCs w:val="24"/>
        </w:rPr>
        <w:t>mobiliose grupėse, mažesnėse už numatytąsias švietimo ir mokslo ministro tvirtinamuose bendruosiuose pradinio, pagrindinio ir vidurinio ugdymo programų planuose.</w:t>
      </w:r>
    </w:p>
    <w:p w:rsidR="00724AA8" w:rsidRPr="00967DE5" w:rsidRDefault="00471BB0" w:rsidP="00CF3462">
      <w:pPr>
        <w:spacing w:line="276" w:lineRule="auto"/>
        <w:ind w:right="126" w:firstLine="1296"/>
        <w:jc w:val="both"/>
        <w:rPr>
          <w:b/>
          <w:sz w:val="24"/>
          <w:szCs w:val="24"/>
        </w:rPr>
      </w:pPr>
      <w:r w:rsidRPr="008D72D1">
        <w:rPr>
          <w:strike/>
          <w:sz w:val="24"/>
          <w:szCs w:val="24"/>
        </w:rPr>
        <w:t xml:space="preserve">13. </w:t>
      </w:r>
      <w:r w:rsidR="00342032" w:rsidRPr="008D72D1">
        <w:rPr>
          <w:strike/>
          <w:sz w:val="24"/>
          <w:szCs w:val="24"/>
        </w:rPr>
        <w:t xml:space="preserve">Neformaliojo vaikų švietimo (toliau – NVŠ) programoms (išskyrus ikimokyklinio, priešmokyklinio ir formaliojo švietimo programas papildančius ir mokinių saviraiškos poreikius tenkinančius šių programų modulius vaikų neformaliojo švietimo mokyklose ir mokyklas, teikiančias bendrąjį ugdymą) finansuoti </w:t>
      </w:r>
      <w:r w:rsidR="00724AA8" w:rsidRPr="008D72D1">
        <w:rPr>
          <w:strike/>
          <w:sz w:val="24"/>
          <w:szCs w:val="24"/>
        </w:rPr>
        <w:t>lėšos a</w:t>
      </w:r>
      <w:r w:rsidR="009A5E76" w:rsidRPr="008D72D1">
        <w:rPr>
          <w:strike/>
          <w:sz w:val="24"/>
          <w:szCs w:val="24"/>
        </w:rPr>
        <w:t>p</w:t>
      </w:r>
      <w:r w:rsidR="00724AA8" w:rsidRPr="008D72D1">
        <w:rPr>
          <w:strike/>
          <w:sz w:val="24"/>
          <w:szCs w:val="24"/>
        </w:rPr>
        <w:t xml:space="preserve">skaičiuojamos iš mokyklų atitinkamiems metams skirtų mokinio krepšelio lėšų, skaičiuojant vienam mokiniui, besimokančiam pagal bendrojo ugdymo programą, pagal Metodikos 2 priedo 1.5 papunktyje nurodytą dydį. </w:t>
      </w:r>
      <w:r w:rsidR="008D72D1">
        <w:rPr>
          <w:strike/>
          <w:sz w:val="24"/>
          <w:szCs w:val="24"/>
        </w:rPr>
        <w:t xml:space="preserve"> </w:t>
      </w:r>
      <w:r w:rsidR="008D72D1" w:rsidRPr="00967DE5">
        <w:rPr>
          <w:b/>
          <w:sz w:val="24"/>
          <w:szCs w:val="24"/>
        </w:rPr>
        <w:t>Neformaliojo vaikų švietimo programoms</w:t>
      </w:r>
      <w:r w:rsidR="00782F33" w:rsidRPr="00967DE5">
        <w:rPr>
          <w:b/>
          <w:sz w:val="24"/>
          <w:szCs w:val="24"/>
        </w:rPr>
        <w:t xml:space="preserve"> (toliau – NVŠ)</w:t>
      </w:r>
      <w:r w:rsidR="008D72D1" w:rsidRPr="00967DE5">
        <w:rPr>
          <w:b/>
          <w:sz w:val="24"/>
          <w:szCs w:val="24"/>
        </w:rPr>
        <w:t xml:space="preserve">, išskyrus ikimokyklinio, priešmokyklinio ir formalųjį švietimą papildančio ugdymo programas, lėšos skiriamos iš valstybės biudžeto ir / arba </w:t>
      </w:r>
      <w:r w:rsidR="00782F33" w:rsidRPr="00967DE5">
        <w:rPr>
          <w:b/>
          <w:sz w:val="24"/>
          <w:szCs w:val="24"/>
        </w:rPr>
        <w:t>Europos Sąjungos finansinės paramos ir bendrojo finansavimo lėšų.</w:t>
      </w:r>
    </w:p>
    <w:p w:rsidR="00724AA8" w:rsidRPr="006A0DED" w:rsidRDefault="007B0C08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Lėšos </w:t>
      </w:r>
      <w:r w:rsidR="00B358E9">
        <w:rPr>
          <w:sz w:val="24"/>
          <w:szCs w:val="24"/>
        </w:rPr>
        <w:t>NVŠ programoms finansuoti</w:t>
      </w:r>
      <w:r>
        <w:rPr>
          <w:sz w:val="24"/>
          <w:szCs w:val="24"/>
        </w:rPr>
        <w:t xml:space="preserve"> naudojamos vadovaujantis kita Savivaldybės tarybos nustatyta tvarka.</w:t>
      </w:r>
    </w:p>
    <w:p w:rsidR="00C3183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C3183B" w:rsidRPr="006A0DED">
        <w:rPr>
          <w:sz w:val="24"/>
          <w:szCs w:val="24"/>
        </w:rPr>
        <w:t xml:space="preserve">. </w:t>
      </w:r>
      <w:r w:rsidR="00C3183B">
        <w:rPr>
          <w:sz w:val="24"/>
          <w:szCs w:val="24"/>
        </w:rPr>
        <w:t>A</w:t>
      </w:r>
      <w:r w:rsidR="00C3183B" w:rsidRPr="006A0DED">
        <w:rPr>
          <w:sz w:val="24"/>
          <w:szCs w:val="24"/>
        </w:rPr>
        <w:t>prašo</w:t>
      </w:r>
      <w:r>
        <w:rPr>
          <w:sz w:val="24"/>
          <w:szCs w:val="24"/>
        </w:rPr>
        <w:t xml:space="preserve"> 12</w:t>
      </w:r>
      <w:r w:rsidR="00C3183B" w:rsidRPr="006A0DED">
        <w:rPr>
          <w:sz w:val="24"/>
          <w:szCs w:val="24"/>
        </w:rPr>
        <w:t xml:space="preserve">.1 </w:t>
      </w:r>
      <w:r w:rsidR="00C3183B">
        <w:rPr>
          <w:sz w:val="24"/>
          <w:szCs w:val="24"/>
        </w:rPr>
        <w:t>papunktyje nurodytai mokymo reikmei</w:t>
      </w:r>
      <w:r w:rsidR="00C3183B" w:rsidRPr="006A0DED">
        <w:rPr>
          <w:sz w:val="24"/>
          <w:szCs w:val="24"/>
        </w:rPr>
        <w:t xml:space="preserve"> tenkinti </w:t>
      </w:r>
      <w:r w:rsidR="00C3183B" w:rsidRPr="00754436">
        <w:rPr>
          <w:sz w:val="24"/>
          <w:szCs w:val="24"/>
        </w:rPr>
        <w:t>Savivaldybė</w:t>
      </w:r>
      <w:r w:rsidR="00C3183B" w:rsidRPr="006A0DED">
        <w:rPr>
          <w:sz w:val="24"/>
          <w:szCs w:val="24"/>
        </w:rPr>
        <w:t xml:space="preserve"> skiria ne mažiau kaip 80 procentų, </w:t>
      </w:r>
      <w:r w:rsidR="009B0FE4">
        <w:rPr>
          <w:sz w:val="24"/>
          <w:szCs w:val="24"/>
        </w:rPr>
        <w:t>A</w:t>
      </w:r>
      <w:r w:rsidR="009B0FE4" w:rsidRPr="006A0DED">
        <w:rPr>
          <w:sz w:val="24"/>
          <w:szCs w:val="24"/>
        </w:rPr>
        <w:t xml:space="preserve">prašo </w:t>
      </w:r>
      <w:r w:rsidR="009B0FE4">
        <w:rPr>
          <w:sz w:val="24"/>
          <w:szCs w:val="24"/>
        </w:rPr>
        <w:t>12.4</w:t>
      </w:r>
      <w:r w:rsidR="009B0FE4" w:rsidRPr="006A0DED">
        <w:rPr>
          <w:sz w:val="24"/>
          <w:szCs w:val="24"/>
        </w:rPr>
        <w:t xml:space="preserve"> </w:t>
      </w:r>
      <w:r w:rsidR="009B0FE4">
        <w:rPr>
          <w:sz w:val="24"/>
          <w:szCs w:val="24"/>
        </w:rPr>
        <w:t>pa</w:t>
      </w:r>
      <w:r w:rsidR="009B0FE4" w:rsidRPr="006A0DED">
        <w:rPr>
          <w:sz w:val="24"/>
          <w:szCs w:val="24"/>
        </w:rPr>
        <w:t>p</w:t>
      </w:r>
      <w:r w:rsidR="009B0FE4">
        <w:rPr>
          <w:sz w:val="24"/>
          <w:szCs w:val="24"/>
        </w:rPr>
        <w:t>unktyje minimai</w:t>
      </w:r>
      <w:r w:rsidR="00C3183B">
        <w:rPr>
          <w:sz w:val="24"/>
          <w:szCs w:val="24"/>
        </w:rPr>
        <w:t xml:space="preserve"> mokymo reikmei</w:t>
      </w:r>
      <w:r w:rsidR="00C3183B" w:rsidRPr="006A0DED">
        <w:rPr>
          <w:sz w:val="24"/>
          <w:szCs w:val="24"/>
        </w:rPr>
        <w:t xml:space="preserve"> te</w:t>
      </w:r>
      <w:r w:rsidR="00C3183B">
        <w:rPr>
          <w:sz w:val="24"/>
          <w:szCs w:val="24"/>
        </w:rPr>
        <w:t xml:space="preserve">nkinti </w:t>
      </w:r>
      <w:r w:rsidR="00B37FE1">
        <w:rPr>
          <w:sz w:val="24"/>
          <w:szCs w:val="24"/>
        </w:rPr>
        <w:t xml:space="preserve">– ne mažiau kaip 100 procentų </w:t>
      </w:r>
      <w:r w:rsidR="00C3183B">
        <w:rPr>
          <w:sz w:val="24"/>
          <w:szCs w:val="24"/>
        </w:rPr>
        <w:t>galiojančioje M</w:t>
      </w:r>
      <w:r w:rsidR="00C3183B" w:rsidRPr="006A0DED">
        <w:rPr>
          <w:sz w:val="24"/>
          <w:szCs w:val="24"/>
        </w:rPr>
        <w:t xml:space="preserve">etodikoje </w:t>
      </w:r>
      <w:r w:rsidR="00C3183B">
        <w:rPr>
          <w:sz w:val="24"/>
          <w:szCs w:val="24"/>
        </w:rPr>
        <w:t>nurodytos</w:t>
      </w:r>
      <w:r w:rsidR="00C3183B" w:rsidRPr="006A0DED">
        <w:rPr>
          <w:sz w:val="24"/>
          <w:szCs w:val="24"/>
        </w:rPr>
        <w:t xml:space="preserve"> reko</w:t>
      </w:r>
      <w:r w:rsidR="00C3183B">
        <w:rPr>
          <w:sz w:val="24"/>
          <w:szCs w:val="24"/>
        </w:rPr>
        <w:t>menduojamos mokinio krepšelio lėšų sumos</w:t>
      </w:r>
      <w:r w:rsidR="00C3183B" w:rsidRPr="006A0DED">
        <w:rPr>
          <w:sz w:val="24"/>
          <w:szCs w:val="24"/>
        </w:rPr>
        <w:t>.</w:t>
      </w:r>
      <w:r w:rsidR="00342032">
        <w:rPr>
          <w:sz w:val="24"/>
          <w:szCs w:val="24"/>
        </w:rPr>
        <w:t xml:space="preserve"> Aprašo 12.2, 12.3, 12.5</w:t>
      </w:r>
      <w:r>
        <w:rPr>
          <w:sz w:val="24"/>
          <w:szCs w:val="24"/>
        </w:rPr>
        <w:t>–12</w:t>
      </w:r>
      <w:r w:rsidR="00342032">
        <w:rPr>
          <w:sz w:val="24"/>
          <w:szCs w:val="24"/>
        </w:rPr>
        <w:t>.7</w:t>
      </w:r>
      <w:r w:rsidR="00160AB0">
        <w:rPr>
          <w:sz w:val="24"/>
          <w:szCs w:val="24"/>
        </w:rPr>
        <w:t xml:space="preserve"> papunkčiuose nurodytoms mokymo reikmėms Savivaldybė skiria lėšų pagal poreikį.</w:t>
      </w:r>
    </w:p>
    <w:p w:rsidR="00C3183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="00342032" w:rsidRPr="004B63EA">
        <w:rPr>
          <w:strike/>
          <w:sz w:val="24"/>
          <w:szCs w:val="24"/>
        </w:rPr>
        <w:t>Formaliojo švietimo programas papildantiems ir mokinių saviraiškos poreikius tenkinantiems šių programų moduliams</w:t>
      </w:r>
      <w:r w:rsidR="00342032">
        <w:rPr>
          <w:sz w:val="24"/>
          <w:szCs w:val="24"/>
        </w:rPr>
        <w:t xml:space="preserve"> </w:t>
      </w:r>
      <w:r w:rsidR="004B63EA">
        <w:rPr>
          <w:sz w:val="24"/>
          <w:szCs w:val="24"/>
        </w:rPr>
        <w:t xml:space="preserve"> </w:t>
      </w:r>
      <w:r w:rsidR="004B63EA">
        <w:rPr>
          <w:b/>
          <w:sz w:val="24"/>
          <w:szCs w:val="24"/>
        </w:rPr>
        <w:t xml:space="preserve">Formalųjį švietimą papildančio ugdymo programoms finansuoti </w:t>
      </w:r>
      <w:r w:rsidR="00342032">
        <w:rPr>
          <w:sz w:val="24"/>
          <w:szCs w:val="24"/>
        </w:rPr>
        <w:t xml:space="preserve">neformaliojo vaikų švietimo mokyklose </w:t>
      </w:r>
      <w:r>
        <w:rPr>
          <w:sz w:val="24"/>
          <w:szCs w:val="24"/>
        </w:rPr>
        <w:t>(12</w:t>
      </w:r>
      <w:r w:rsidR="00C3183B">
        <w:rPr>
          <w:sz w:val="24"/>
          <w:szCs w:val="24"/>
        </w:rPr>
        <w:t>.4</w:t>
      </w:r>
      <w:r w:rsidR="00C3183B" w:rsidRPr="006A0DED">
        <w:rPr>
          <w:sz w:val="24"/>
          <w:szCs w:val="24"/>
        </w:rPr>
        <w:t xml:space="preserve"> </w:t>
      </w:r>
      <w:r w:rsidR="00C3183B">
        <w:rPr>
          <w:sz w:val="24"/>
          <w:szCs w:val="24"/>
        </w:rPr>
        <w:t>pa</w:t>
      </w:r>
      <w:r w:rsidR="00C3183B" w:rsidRPr="006A0DED">
        <w:rPr>
          <w:sz w:val="24"/>
          <w:szCs w:val="24"/>
        </w:rPr>
        <w:t>p</w:t>
      </w:r>
      <w:r w:rsidR="00C3183B">
        <w:rPr>
          <w:sz w:val="24"/>
          <w:szCs w:val="24"/>
        </w:rPr>
        <w:t>unktis</w:t>
      </w:r>
      <w:r w:rsidR="00C3183B" w:rsidRPr="006A0DED">
        <w:rPr>
          <w:sz w:val="24"/>
          <w:szCs w:val="24"/>
        </w:rPr>
        <w:t xml:space="preserve">) mokinio krepšelio lėšos skiriamos </w:t>
      </w:r>
      <w:r w:rsidR="00C3183B" w:rsidRPr="00935601">
        <w:rPr>
          <w:sz w:val="24"/>
          <w:szCs w:val="24"/>
        </w:rPr>
        <w:t>Panevėžio miesto įstaigoms</w:t>
      </w:r>
      <w:r w:rsidR="00C3183B" w:rsidRPr="006A0DED">
        <w:rPr>
          <w:sz w:val="24"/>
          <w:szCs w:val="24"/>
        </w:rPr>
        <w:t xml:space="preserve">: Muzikos mokyklai, Dailės mokyklai, Kūno kultūros ir sporto centrui, Futbolo akademijai, ,,Žemynos“ </w:t>
      </w:r>
      <w:r w:rsidR="00C3183B">
        <w:rPr>
          <w:sz w:val="24"/>
          <w:szCs w:val="24"/>
        </w:rPr>
        <w:t>progimnazijos</w:t>
      </w:r>
      <w:r w:rsidR="00C3183B" w:rsidRPr="006A0DED">
        <w:rPr>
          <w:sz w:val="24"/>
          <w:szCs w:val="24"/>
        </w:rPr>
        <w:t xml:space="preserve"> baseinui. Mokinio krepšelio lėšos </w:t>
      </w:r>
      <w:r w:rsidR="00C3183B">
        <w:rPr>
          <w:sz w:val="24"/>
          <w:szCs w:val="24"/>
        </w:rPr>
        <w:t>ap</w:t>
      </w:r>
      <w:r w:rsidR="00C3183B" w:rsidRPr="006A0DED">
        <w:rPr>
          <w:sz w:val="24"/>
          <w:szCs w:val="24"/>
        </w:rPr>
        <w:t>skaičiuojamos</w:t>
      </w:r>
      <w:r w:rsidR="00C3183B">
        <w:rPr>
          <w:sz w:val="24"/>
          <w:szCs w:val="24"/>
        </w:rPr>
        <w:t xml:space="preserve"> vadovaujantis Metodikoje nustatyta lėšų skyrimo suma</w:t>
      </w:r>
      <w:r w:rsidR="00C3183B" w:rsidRPr="006A0DED">
        <w:rPr>
          <w:sz w:val="24"/>
          <w:szCs w:val="24"/>
        </w:rPr>
        <w:t xml:space="preserve"> pagal</w:t>
      </w:r>
      <w:r w:rsidR="00C3183B">
        <w:rPr>
          <w:sz w:val="24"/>
          <w:szCs w:val="24"/>
        </w:rPr>
        <w:t xml:space="preserve"> fiksuotą</w:t>
      </w:r>
      <w:r w:rsidR="00C3183B" w:rsidRPr="006A0DED">
        <w:rPr>
          <w:sz w:val="24"/>
          <w:szCs w:val="24"/>
        </w:rPr>
        <w:t xml:space="preserve"> </w:t>
      </w:r>
      <w:r w:rsidR="00C3183B">
        <w:rPr>
          <w:sz w:val="24"/>
          <w:szCs w:val="24"/>
        </w:rPr>
        <w:t xml:space="preserve">spalio 1 d. </w:t>
      </w:r>
      <w:r w:rsidR="00342032" w:rsidRPr="00935601">
        <w:rPr>
          <w:sz w:val="24"/>
          <w:szCs w:val="24"/>
        </w:rPr>
        <w:t>minėtų</w:t>
      </w:r>
      <w:r w:rsidR="00C3183B" w:rsidRPr="00935601">
        <w:rPr>
          <w:sz w:val="24"/>
          <w:szCs w:val="24"/>
        </w:rPr>
        <w:t xml:space="preserve"> įstaigų</w:t>
      </w:r>
      <w:r w:rsidR="00C3183B">
        <w:rPr>
          <w:sz w:val="24"/>
          <w:szCs w:val="24"/>
        </w:rPr>
        <w:t xml:space="preserve"> mokinių skaičių</w:t>
      </w:r>
      <w:r w:rsidR="00C3183B" w:rsidRPr="006A0DED">
        <w:rPr>
          <w:sz w:val="24"/>
          <w:szCs w:val="24"/>
        </w:rPr>
        <w:t>.</w:t>
      </w:r>
    </w:p>
    <w:p w:rsidR="00B26B4B" w:rsidRPr="006A0DED" w:rsidRDefault="00471BB0" w:rsidP="00CF3462">
      <w:pPr>
        <w:spacing w:line="276" w:lineRule="auto"/>
        <w:ind w:right="126" w:firstLine="1260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EF62A5" w:rsidRPr="006A0DED">
        <w:rPr>
          <w:sz w:val="24"/>
          <w:szCs w:val="24"/>
        </w:rPr>
        <w:t>.</w:t>
      </w:r>
      <w:r w:rsidR="00AF7F8C">
        <w:rPr>
          <w:sz w:val="24"/>
          <w:szCs w:val="24"/>
        </w:rPr>
        <w:t xml:space="preserve"> </w:t>
      </w:r>
      <w:r w:rsidR="00D633D0" w:rsidRPr="00AF7F8C">
        <w:rPr>
          <w:sz w:val="24"/>
          <w:szCs w:val="24"/>
        </w:rPr>
        <w:t>Savivaldybė</w:t>
      </w:r>
      <w:r w:rsidR="00D633D0">
        <w:rPr>
          <w:sz w:val="24"/>
          <w:szCs w:val="24"/>
        </w:rPr>
        <w:t xml:space="preserve"> 94</w:t>
      </w:r>
      <w:r w:rsidR="00EF62A5" w:rsidRPr="006A0DED">
        <w:rPr>
          <w:sz w:val="24"/>
          <w:szCs w:val="24"/>
        </w:rPr>
        <w:t xml:space="preserve"> procentus atitinkamiems metams jai skirtų mokinio krepšelio lėšų paskirsto proporcinga</w:t>
      </w:r>
      <w:r w:rsidR="00BB73F0" w:rsidRPr="006A0DED">
        <w:rPr>
          <w:sz w:val="24"/>
          <w:szCs w:val="24"/>
        </w:rPr>
        <w:t xml:space="preserve">i kiekvienai mokyklai pagal </w:t>
      </w:r>
      <w:r w:rsidR="00D633D0">
        <w:rPr>
          <w:sz w:val="24"/>
          <w:szCs w:val="24"/>
        </w:rPr>
        <w:t>A</w:t>
      </w:r>
      <w:r w:rsidR="00BB73F0" w:rsidRPr="006A0DED">
        <w:rPr>
          <w:sz w:val="24"/>
          <w:szCs w:val="24"/>
        </w:rPr>
        <w:t>prašo</w:t>
      </w:r>
      <w:r w:rsidR="00EF62A5" w:rsidRPr="006A0DED">
        <w:rPr>
          <w:sz w:val="24"/>
          <w:szCs w:val="24"/>
        </w:rPr>
        <w:t xml:space="preserve"> </w:t>
      </w:r>
      <w:r w:rsidR="00D633D0">
        <w:rPr>
          <w:sz w:val="24"/>
          <w:szCs w:val="24"/>
        </w:rPr>
        <w:t>8</w:t>
      </w:r>
      <w:r w:rsidR="00EF62A5" w:rsidRPr="006A0DED">
        <w:rPr>
          <w:sz w:val="24"/>
          <w:szCs w:val="24"/>
        </w:rPr>
        <w:t xml:space="preserve"> punktą apskaičiuotam mokinio krepšelio lėšų poreikiui. </w:t>
      </w:r>
    </w:p>
    <w:p w:rsidR="00AE5A43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AE5A43" w:rsidRPr="006A0DED">
        <w:rPr>
          <w:sz w:val="24"/>
          <w:szCs w:val="24"/>
        </w:rPr>
        <w:t>.</w:t>
      </w:r>
      <w:r w:rsidR="00D633D0">
        <w:rPr>
          <w:sz w:val="24"/>
          <w:szCs w:val="24"/>
        </w:rPr>
        <w:t xml:space="preserve"> </w:t>
      </w:r>
      <w:r w:rsidR="00AE5A43" w:rsidRPr="006A0DED">
        <w:rPr>
          <w:sz w:val="24"/>
          <w:szCs w:val="24"/>
        </w:rPr>
        <w:t>Mokyklos skirtas mokinio krepšelio lėšas naudoja šioms mo</w:t>
      </w:r>
      <w:r w:rsidR="006E7BDB" w:rsidRPr="006A0DED">
        <w:rPr>
          <w:sz w:val="24"/>
          <w:szCs w:val="24"/>
        </w:rPr>
        <w:t>k</w:t>
      </w:r>
      <w:r w:rsidR="00AE5A43" w:rsidRPr="006A0DED">
        <w:rPr>
          <w:sz w:val="24"/>
          <w:szCs w:val="24"/>
        </w:rPr>
        <w:t>ymo reikmėms tenkinti:</w:t>
      </w:r>
    </w:p>
    <w:p w:rsidR="00865F2C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AE5A43" w:rsidRPr="006A0DED">
        <w:rPr>
          <w:sz w:val="24"/>
          <w:szCs w:val="24"/>
        </w:rPr>
        <w:t>.1.</w:t>
      </w:r>
      <w:r w:rsidR="009A5E76">
        <w:rPr>
          <w:sz w:val="24"/>
          <w:szCs w:val="24"/>
        </w:rPr>
        <w:t xml:space="preserve"> D</w:t>
      </w:r>
      <w:r w:rsidR="006E7BDB" w:rsidRPr="006A0DED">
        <w:rPr>
          <w:sz w:val="24"/>
          <w:szCs w:val="24"/>
        </w:rPr>
        <w:t>arbo užmokesčiui pagal ugdymo planą</w:t>
      </w:r>
      <w:r w:rsidR="007D5016" w:rsidRPr="006A0DED">
        <w:rPr>
          <w:sz w:val="24"/>
          <w:szCs w:val="24"/>
        </w:rPr>
        <w:t xml:space="preserve"> (ir už ikimokyklinio ir priešmokyklinio ugdymo valandas, finansuojamas iš mokinio krepšelio lėšų</w:t>
      </w:r>
      <w:r w:rsidR="00865F2C">
        <w:rPr>
          <w:sz w:val="24"/>
          <w:szCs w:val="24"/>
        </w:rPr>
        <w:t>, sumokėti</w:t>
      </w:r>
      <w:r w:rsidR="007D5016" w:rsidRPr="006A0DED">
        <w:rPr>
          <w:sz w:val="24"/>
          <w:szCs w:val="24"/>
        </w:rPr>
        <w:t>)</w:t>
      </w:r>
      <w:r w:rsidR="006E7BDB" w:rsidRPr="006A0DED">
        <w:rPr>
          <w:sz w:val="24"/>
          <w:szCs w:val="24"/>
        </w:rPr>
        <w:t>, mokyklos ugdymo procesui organizuoti ir valdyti</w:t>
      </w:r>
      <w:r w:rsidR="00801431">
        <w:rPr>
          <w:sz w:val="24"/>
          <w:szCs w:val="24"/>
        </w:rPr>
        <w:t xml:space="preserve"> </w:t>
      </w:r>
      <w:r w:rsidR="00801431">
        <w:rPr>
          <w:b/>
          <w:sz w:val="24"/>
          <w:szCs w:val="24"/>
        </w:rPr>
        <w:t>(ne daugiau kaip 10 procentų lėšų, skirtų ugdymo planui įgyvendinti)</w:t>
      </w:r>
      <w:r w:rsidR="006E7BDB" w:rsidRPr="006A0DED">
        <w:rPr>
          <w:sz w:val="24"/>
          <w:szCs w:val="24"/>
        </w:rPr>
        <w:t>, mokyklos bibliotekos darbuotojams išlaikyti,</w:t>
      </w:r>
      <w:r w:rsidR="00865F2C">
        <w:rPr>
          <w:sz w:val="24"/>
          <w:szCs w:val="24"/>
        </w:rPr>
        <w:t xml:space="preserve"> priemokoms už laikinai nesančių darbuotojų funkcijų (pareigų) arba papildomų darbų atlikimą (jeigu dėl papildomo darbo nesulygstama darbo sutartyje),</w:t>
      </w:r>
      <w:r w:rsidR="007D5016" w:rsidRPr="006A0DED">
        <w:rPr>
          <w:sz w:val="24"/>
          <w:szCs w:val="24"/>
        </w:rPr>
        <w:t xml:space="preserve"> taip pat darbo užmokesčiui ir paslaugoms</w:t>
      </w:r>
      <w:r w:rsidR="00865F2C">
        <w:rPr>
          <w:sz w:val="24"/>
          <w:szCs w:val="24"/>
        </w:rPr>
        <w:t>, susijusioms su psichologine, specialiąja pedagogine, specialiąja ir socialine pedagogine pagalba.</w:t>
      </w:r>
      <w:r w:rsidR="00A36ED4">
        <w:rPr>
          <w:sz w:val="24"/>
          <w:szCs w:val="24"/>
        </w:rPr>
        <w:t xml:space="preserve"> </w:t>
      </w:r>
    </w:p>
    <w:p w:rsidR="00AE5A43" w:rsidRPr="006A0DED" w:rsidRDefault="00865F2C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D633D0">
        <w:rPr>
          <w:sz w:val="24"/>
          <w:szCs w:val="24"/>
        </w:rPr>
        <w:t xml:space="preserve">š </w:t>
      </w:r>
      <w:r w:rsidR="00D633D0" w:rsidRPr="00406246">
        <w:rPr>
          <w:sz w:val="24"/>
          <w:szCs w:val="24"/>
        </w:rPr>
        <w:t xml:space="preserve">šiame </w:t>
      </w:r>
      <w:r w:rsidR="00A36ED4" w:rsidRPr="00406246">
        <w:rPr>
          <w:sz w:val="24"/>
          <w:szCs w:val="24"/>
        </w:rPr>
        <w:t>pa</w:t>
      </w:r>
      <w:r w:rsidR="00D633D0" w:rsidRPr="00406246">
        <w:rPr>
          <w:sz w:val="24"/>
          <w:szCs w:val="24"/>
        </w:rPr>
        <w:t>punkt</w:t>
      </w:r>
      <w:r w:rsidR="00A36ED4" w:rsidRPr="00406246">
        <w:rPr>
          <w:sz w:val="24"/>
          <w:szCs w:val="24"/>
        </w:rPr>
        <w:t>yj</w:t>
      </w:r>
      <w:r w:rsidR="00D633D0" w:rsidRPr="00406246">
        <w:rPr>
          <w:sz w:val="24"/>
          <w:szCs w:val="24"/>
        </w:rPr>
        <w:t>e</w:t>
      </w:r>
      <w:r w:rsidR="001633DA" w:rsidRPr="006A0DED">
        <w:rPr>
          <w:sz w:val="24"/>
          <w:szCs w:val="24"/>
        </w:rPr>
        <w:t xml:space="preserve"> </w:t>
      </w:r>
      <w:r w:rsidR="00A36ED4">
        <w:rPr>
          <w:sz w:val="24"/>
          <w:szCs w:val="24"/>
        </w:rPr>
        <w:t>išvardytų</w:t>
      </w:r>
      <w:r w:rsidR="00D633D0">
        <w:rPr>
          <w:sz w:val="24"/>
          <w:szCs w:val="24"/>
        </w:rPr>
        <w:t xml:space="preserve"> mokinio krepšelio lėšų </w:t>
      </w:r>
      <w:r w:rsidR="00406246">
        <w:rPr>
          <w:sz w:val="24"/>
          <w:szCs w:val="24"/>
        </w:rPr>
        <w:t xml:space="preserve">gali būti </w:t>
      </w:r>
      <w:r w:rsidR="00D633D0">
        <w:rPr>
          <w:sz w:val="24"/>
          <w:szCs w:val="24"/>
        </w:rPr>
        <w:t>mokama</w:t>
      </w:r>
      <w:r w:rsidR="001633DA" w:rsidRPr="006A0DED">
        <w:rPr>
          <w:sz w:val="24"/>
          <w:szCs w:val="24"/>
        </w:rPr>
        <w:t xml:space="preserve"> už darbą darbuotojams, nurodytiems </w:t>
      </w:r>
      <w:r>
        <w:rPr>
          <w:sz w:val="24"/>
          <w:szCs w:val="24"/>
        </w:rPr>
        <w:t>Metodikos 12.1 papunktyje</w:t>
      </w:r>
      <w:r w:rsidR="009A5E76">
        <w:rPr>
          <w:sz w:val="24"/>
          <w:szCs w:val="24"/>
        </w:rPr>
        <w:t>.</w:t>
      </w:r>
    </w:p>
    <w:p w:rsidR="006E7BD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6E7BDB" w:rsidRPr="006A0DED">
        <w:rPr>
          <w:sz w:val="24"/>
          <w:szCs w:val="24"/>
        </w:rPr>
        <w:t>.2.</w:t>
      </w:r>
      <w:r w:rsidR="007A4B79">
        <w:rPr>
          <w:sz w:val="24"/>
          <w:szCs w:val="24"/>
        </w:rPr>
        <w:t xml:space="preserve"> </w:t>
      </w:r>
      <w:r w:rsidR="009A5E76">
        <w:rPr>
          <w:sz w:val="24"/>
          <w:szCs w:val="24"/>
        </w:rPr>
        <w:t>V</w:t>
      </w:r>
      <w:r w:rsidR="006E7BDB" w:rsidRPr="006A0DED">
        <w:rPr>
          <w:sz w:val="24"/>
          <w:szCs w:val="24"/>
        </w:rPr>
        <w:t>adovėliams ir kitoms mokymo priemonėms</w:t>
      </w:r>
      <w:r w:rsidR="009A5E76">
        <w:rPr>
          <w:sz w:val="24"/>
          <w:szCs w:val="24"/>
        </w:rPr>
        <w:t>.</w:t>
      </w:r>
    </w:p>
    <w:p w:rsidR="006E7BD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6E7BDB" w:rsidRPr="006A0DED">
        <w:rPr>
          <w:sz w:val="24"/>
          <w:szCs w:val="24"/>
        </w:rPr>
        <w:t>.3.</w:t>
      </w:r>
      <w:r w:rsidR="007A4B79">
        <w:rPr>
          <w:sz w:val="24"/>
          <w:szCs w:val="24"/>
        </w:rPr>
        <w:t xml:space="preserve"> </w:t>
      </w:r>
      <w:r w:rsidR="009A5E76">
        <w:rPr>
          <w:sz w:val="24"/>
          <w:szCs w:val="24"/>
        </w:rPr>
        <w:t>M</w:t>
      </w:r>
      <w:r w:rsidR="006E7BDB" w:rsidRPr="006A0DED">
        <w:rPr>
          <w:sz w:val="24"/>
          <w:szCs w:val="24"/>
        </w:rPr>
        <w:t>okinių pažintinei veiklai ir profesiniam orientavimui</w:t>
      </w:r>
      <w:r w:rsidR="009A5E76">
        <w:rPr>
          <w:sz w:val="24"/>
          <w:szCs w:val="24"/>
        </w:rPr>
        <w:t>.</w:t>
      </w:r>
    </w:p>
    <w:p w:rsidR="006E7BDB" w:rsidRPr="006A0DED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6E7BDB" w:rsidRPr="006A0DED">
        <w:rPr>
          <w:sz w:val="24"/>
          <w:szCs w:val="24"/>
        </w:rPr>
        <w:t>.4.</w:t>
      </w:r>
      <w:r w:rsidR="007A4B79">
        <w:rPr>
          <w:sz w:val="24"/>
          <w:szCs w:val="24"/>
        </w:rPr>
        <w:t xml:space="preserve"> </w:t>
      </w:r>
      <w:r w:rsidR="009A5E76">
        <w:rPr>
          <w:sz w:val="24"/>
          <w:szCs w:val="24"/>
        </w:rPr>
        <w:t>M</w:t>
      </w:r>
      <w:r w:rsidR="006E7BDB" w:rsidRPr="006A0DED">
        <w:rPr>
          <w:sz w:val="24"/>
          <w:szCs w:val="24"/>
        </w:rPr>
        <w:t>okytojų ir kitų ugdymo procese dalyvaujančių asmenų kvalifikacijai tobulinti</w:t>
      </w:r>
      <w:r w:rsidR="009A5E76">
        <w:rPr>
          <w:sz w:val="24"/>
          <w:szCs w:val="24"/>
        </w:rPr>
        <w:t>.</w:t>
      </w:r>
    </w:p>
    <w:p w:rsidR="006E7BDB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6E7BDB" w:rsidRPr="006A0DED">
        <w:rPr>
          <w:sz w:val="24"/>
          <w:szCs w:val="24"/>
        </w:rPr>
        <w:t>.5.</w:t>
      </w:r>
      <w:r w:rsidR="007A4B79">
        <w:rPr>
          <w:sz w:val="24"/>
          <w:szCs w:val="24"/>
        </w:rPr>
        <w:t xml:space="preserve"> </w:t>
      </w:r>
      <w:r w:rsidR="009A5E76">
        <w:rPr>
          <w:sz w:val="24"/>
          <w:szCs w:val="24"/>
        </w:rPr>
        <w:t>I</w:t>
      </w:r>
      <w:r w:rsidR="006E7BDB" w:rsidRPr="006A0DED">
        <w:rPr>
          <w:sz w:val="24"/>
          <w:szCs w:val="24"/>
        </w:rPr>
        <w:t>nformacinėms ir komunikacinėms technologijoms (IKT) diegti ir naudoti</w:t>
      </w:r>
      <w:r w:rsidR="00E860A6" w:rsidRPr="006A0DED">
        <w:rPr>
          <w:sz w:val="24"/>
          <w:szCs w:val="24"/>
        </w:rPr>
        <w:t xml:space="preserve"> (internetui diegti ir naudoti, duomenų bazėms, elektroniniams dienynams tvarkyti, </w:t>
      </w:r>
      <w:r w:rsidR="00AF7F8C">
        <w:rPr>
          <w:sz w:val="24"/>
          <w:szCs w:val="24"/>
        </w:rPr>
        <w:t>su</w:t>
      </w:r>
      <w:r w:rsidR="00E860A6" w:rsidRPr="006A0DED">
        <w:rPr>
          <w:sz w:val="24"/>
          <w:szCs w:val="24"/>
        </w:rPr>
        <w:t xml:space="preserve">mokėti už darbą IKT </w:t>
      </w:r>
      <w:r w:rsidR="009B0FE4">
        <w:rPr>
          <w:sz w:val="24"/>
          <w:szCs w:val="24"/>
        </w:rPr>
        <w:t>prižiūrin</w:t>
      </w:r>
      <w:r w:rsidR="00E860A6" w:rsidRPr="006A0DED">
        <w:rPr>
          <w:sz w:val="24"/>
          <w:szCs w:val="24"/>
        </w:rPr>
        <w:t>tiems darbuotojams ir kitoms</w:t>
      </w:r>
      <w:r w:rsidR="001B05D9">
        <w:rPr>
          <w:sz w:val="24"/>
          <w:szCs w:val="24"/>
        </w:rPr>
        <w:t xml:space="preserve"> išlaidoms, susijusioms su IKT)</w:t>
      </w:r>
      <w:r w:rsidR="009A5E76">
        <w:rPr>
          <w:sz w:val="24"/>
          <w:szCs w:val="24"/>
        </w:rPr>
        <w:t>.</w:t>
      </w:r>
    </w:p>
    <w:p w:rsidR="001B05D9" w:rsidRDefault="00471BB0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1B05D9">
        <w:rPr>
          <w:sz w:val="24"/>
          <w:szCs w:val="24"/>
        </w:rPr>
        <w:t xml:space="preserve">.6. </w:t>
      </w:r>
      <w:r w:rsidR="009A5E76">
        <w:rPr>
          <w:sz w:val="24"/>
          <w:szCs w:val="24"/>
        </w:rPr>
        <w:t>L</w:t>
      </w:r>
      <w:r w:rsidR="001B05D9">
        <w:rPr>
          <w:sz w:val="24"/>
          <w:szCs w:val="24"/>
        </w:rPr>
        <w:t xml:space="preserve">ėšos, skiriamos </w:t>
      </w:r>
      <w:r w:rsidR="00AF7F8C">
        <w:rPr>
          <w:sz w:val="24"/>
          <w:szCs w:val="24"/>
        </w:rPr>
        <w:t>A</w:t>
      </w:r>
      <w:r w:rsidR="00AF7F8C" w:rsidRPr="006A0DED">
        <w:rPr>
          <w:sz w:val="24"/>
          <w:szCs w:val="24"/>
        </w:rPr>
        <w:t>prašo</w:t>
      </w:r>
      <w:r w:rsidR="00AF7F8C">
        <w:rPr>
          <w:sz w:val="24"/>
          <w:szCs w:val="24"/>
        </w:rPr>
        <w:t xml:space="preserve"> </w:t>
      </w:r>
      <w:r w:rsidR="00966887">
        <w:rPr>
          <w:sz w:val="24"/>
          <w:szCs w:val="24"/>
        </w:rPr>
        <w:t>17.2 ir 17</w:t>
      </w:r>
      <w:r w:rsidR="001B05D9">
        <w:rPr>
          <w:sz w:val="24"/>
          <w:szCs w:val="24"/>
        </w:rPr>
        <w:t xml:space="preserve">.5 </w:t>
      </w:r>
      <w:r w:rsidR="007A4B79">
        <w:rPr>
          <w:sz w:val="24"/>
          <w:szCs w:val="24"/>
        </w:rPr>
        <w:t>pa</w:t>
      </w:r>
      <w:r w:rsidR="001B05D9">
        <w:rPr>
          <w:sz w:val="24"/>
          <w:szCs w:val="24"/>
        </w:rPr>
        <w:t>punk</w:t>
      </w:r>
      <w:r w:rsidR="007A4B79">
        <w:rPr>
          <w:sz w:val="24"/>
          <w:szCs w:val="24"/>
        </w:rPr>
        <w:t>či</w:t>
      </w:r>
      <w:r w:rsidR="001B05D9">
        <w:rPr>
          <w:sz w:val="24"/>
          <w:szCs w:val="24"/>
        </w:rPr>
        <w:t>uose nurodytoms priemonėms, gali būti naudojamos ilgalaikiam turtui įsigyti.</w:t>
      </w:r>
    </w:p>
    <w:p w:rsidR="001B05D9" w:rsidRPr="006A0DED" w:rsidRDefault="00966887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1B05D9">
        <w:rPr>
          <w:sz w:val="24"/>
          <w:szCs w:val="24"/>
        </w:rPr>
        <w:t xml:space="preserve">. Mokyklos, kurioms trūksta lėšų darbo užmokesčiui, gali mažinti lėšas </w:t>
      </w:r>
      <w:r w:rsidR="00AF7F8C">
        <w:rPr>
          <w:sz w:val="24"/>
          <w:szCs w:val="24"/>
        </w:rPr>
        <w:t>A</w:t>
      </w:r>
      <w:r w:rsidR="00AF7F8C" w:rsidRPr="006A0DED">
        <w:rPr>
          <w:sz w:val="24"/>
          <w:szCs w:val="24"/>
        </w:rPr>
        <w:t>prašo</w:t>
      </w:r>
      <w:r w:rsidR="00AF7F8C">
        <w:rPr>
          <w:sz w:val="24"/>
          <w:szCs w:val="24"/>
        </w:rPr>
        <w:t xml:space="preserve"> </w:t>
      </w:r>
      <w:r>
        <w:rPr>
          <w:sz w:val="24"/>
          <w:szCs w:val="24"/>
        </w:rPr>
        <w:t>17.2– 17</w:t>
      </w:r>
      <w:r w:rsidR="001B05D9">
        <w:rPr>
          <w:sz w:val="24"/>
          <w:szCs w:val="24"/>
        </w:rPr>
        <w:t xml:space="preserve">.5 </w:t>
      </w:r>
      <w:r w:rsidR="007A4B79">
        <w:rPr>
          <w:sz w:val="24"/>
          <w:szCs w:val="24"/>
        </w:rPr>
        <w:t>papunkčiuose</w:t>
      </w:r>
      <w:r w:rsidR="001B05D9">
        <w:rPr>
          <w:sz w:val="24"/>
          <w:szCs w:val="24"/>
        </w:rPr>
        <w:t xml:space="preserve"> nurodytoms mokymo reikmėms, perkeliant jas į darbo užmokesčio fondą.</w:t>
      </w:r>
    </w:p>
    <w:p w:rsidR="006E7BDB" w:rsidRDefault="00966887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B73F0" w:rsidRPr="006A0DED">
        <w:rPr>
          <w:sz w:val="24"/>
          <w:szCs w:val="24"/>
        </w:rPr>
        <w:t>.</w:t>
      </w:r>
      <w:r w:rsidR="001B05D9">
        <w:rPr>
          <w:sz w:val="24"/>
          <w:szCs w:val="24"/>
        </w:rPr>
        <w:t xml:space="preserve"> A</w:t>
      </w:r>
      <w:r w:rsidR="00BB73F0" w:rsidRPr="006A0DED">
        <w:rPr>
          <w:sz w:val="24"/>
          <w:szCs w:val="24"/>
        </w:rPr>
        <w:t>prašo</w:t>
      </w:r>
      <w:r>
        <w:rPr>
          <w:sz w:val="24"/>
          <w:szCs w:val="24"/>
        </w:rPr>
        <w:t xml:space="preserve"> 17</w:t>
      </w:r>
      <w:r w:rsidR="006E7BDB" w:rsidRPr="006A0DED">
        <w:rPr>
          <w:sz w:val="24"/>
          <w:szCs w:val="24"/>
        </w:rPr>
        <w:t>.2</w:t>
      </w:r>
      <w:r w:rsidR="001B05D9">
        <w:rPr>
          <w:sz w:val="24"/>
          <w:szCs w:val="24"/>
        </w:rPr>
        <w:t xml:space="preserve"> </w:t>
      </w:r>
      <w:r w:rsidR="007A4B79">
        <w:rPr>
          <w:sz w:val="24"/>
          <w:szCs w:val="24"/>
        </w:rPr>
        <w:t>pa</w:t>
      </w:r>
      <w:r w:rsidR="001B05D9">
        <w:rPr>
          <w:sz w:val="24"/>
          <w:szCs w:val="24"/>
        </w:rPr>
        <w:t>punkt</w:t>
      </w:r>
      <w:r w:rsidR="007A4B79">
        <w:rPr>
          <w:sz w:val="24"/>
          <w:szCs w:val="24"/>
        </w:rPr>
        <w:t>yj</w:t>
      </w:r>
      <w:r w:rsidR="001B05D9">
        <w:rPr>
          <w:sz w:val="24"/>
          <w:szCs w:val="24"/>
        </w:rPr>
        <w:t>e</w:t>
      </w:r>
      <w:r w:rsidR="006E7BDB" w:rsidRPr="006A0DED">
        <w:rPr>
          <w:sz w:val="24"/>
          <w:szCs w:val="24"/>
        </w:rPr>
        <w:t xml:space="preserve"> nurodytoms mokymo reikmėms tenkinti</w:t>
      </w:r>
      <w:r w:rsidR="009817DA" w:rsidRPr="006A0DED">
        <w:rPr>
          <w:sz w:val="24"/>
          <w:szCs w:val="24"/>
        </w:rPr>
        <w:t xml:space="preserve"> mokyklos </w:t>
      </w:r>
      <w:r w:rsidR="001B05D9">
        <w:rPr>
          <w:sz w:val="24"/>
          <w:szCs w:val="24"/>
        </w:rPr>
        <w:t xml:space="preserve">turi skirti </w:t>
      </w:r>
      <w:r w:rsidR="00351087">
        <w:rPr>
          <w:sz w:val="24"/>
          <w:szCs w:val="24"/>
        </w:rPr>
        <w:t>ne mažiau k</w:t>
      </w:r>
      <w:r>
        <w:rPr>
          <w:sz w:val="24"/>
          <w:szCs w:val="24"/>
        </w:rPr>
        <w:t>aip 80 procentų, o 17.3–17</w:t>
      </w:r>
      <w:r w:rsidR="001B05D9">
        <w:rPr>
          <w:sz w:val="24"/>
          <w:szCs w:val="24"/>
        </w:rPr>
        <w:t xml:space="preserve">.5 </w:t>
      </w:r>
      <w:r w:rsidR="007A4B79">
        <w:rPr>
          <w:sz w:val="24"/>
          <w:szCs w:val="24"/>
        </w:rPr>
        <w:t>papunkčiuose</w:t>
      </w:r>
      <w:r w:rsidR="001B05D9">
        <w:rPr>
          <w:sz w:val="24"/>
          <w:szCs w:val="24"/>
        </w:rPr>
        <w:t xml:space="preserve"> nurodytoms mokymo reikmėms tenkinti – ne mažiau kaip 40 procentų</w:t>
      </w:r>
      <w:r w:rsidR="009817DA" w:rsidRPr="006A0DED">
        <w:rPr>
          <w:sz w:val="24"/>
          <w:szCs w:val="24"/>
        </w:rPr>
        <w:t xml:space="preserve"> </w:t>
      </w:r>
      <w:r w:rsidR="001B05D9">
        <w:rPr>
          <w:sz w:val="24"/>
          <w:szCs w:val="24"/>
        </w:rPr>
        <w:t>galiojančioje M</w:t>
      </w:r>
      <w:r w:rsidR="009817DA" w:rsidRPr="006A0DED">
        <w:rPr>
          <w:sz w:val="24"/>
          <w:szCs w:val="24"/>
        </w:rPr>
        <w:t xml:space="preserve">etodikoje atitinkamoms mokymo reikmėms nurodytų rekomenduojamų mokinio krepšelio lėšų </w:t>
      </w:r>
      <w:r w:rsidR="009817DA" w:rsidRPr="00472108">
        <w:rPr>
          <w:sz w:val="24"/>
          <w:szCs w:val="24"/>
        </w:rPr>
        <w:t>sumų</w:t>
      </w:r>
      <w:r w:rsidRPr="00472108">
        <w:rPr>
          <w:sz w:val="24"/>
          <w:szCs w:val="24"/>
        </w:rPr>
        <w:t>.</w:t>
      </w:r>
    </w:p>
    <w:p w:rsidR="000A09FF" w:rsidRDefault="00966887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0A09FF">
        <w:rPr>
          <w:sz w:val="24"/>
          <w:szCs w:val="24"/>
        </w:rPr>
        <w:t xml:space="preserve">. Mokyklos, kuriose mokosi </w:t>
      </w:r>
      <w:r w:rsidR="009A5E76">
        <w:rPr>
          <w:sz w:val="24"/>
          <w:szCs w:val="24"/>
        </w:rPr>
        <w:t>mokiniai,</w:t>
      </w:r>
      <w:r w:rsidR="00472108">
        <w:rPr>
          <w:sz w:val="24"/>
          <w:szCs w:val="24"/>
        </w:rPr>
        <w:t xml:space="preserve"> </w:t>
      </w:r>
      <w:r w:rsidR="009A5E76">
        <w:rPr>
          <w:sz w:val="24"/>
          <w:szCs w:val="24"/>
        </w:rPr>
        <w:t xml:space="preserve">turintys </w:t>
      </w:r>
      <w:r w:rsidR="000A09FF">
        <w:rPr>
          <w:sz w:val="24"/>
          <w:szCs w:val="24"/>
        </w:rPr>
        <w:t>sutrikusi</w:t>
      </w:r>
      <w:r w:rsidR="00472108">
        <w:rPr>
          <w:sz w:val="24"/>
          <w:szCs w:val="24"/>
        </w:rPr>
        <w:t>ą</w:t>
      </w:r>
      <w:r w:rsidR="000A09FF">
        <w:rPr>
          <w:sz w:val="24"/>
          <w:szCs w:val="24"/>
        </w:rPr>
        <w:t xml:space="preserve"> reg</w:t>
      </w:r>
      <w:r w:rsidR="009A5E76">
        <w:rPr>
          <w:sz w:val="24"/>
          <w:szCs w:val="24"/>
        </w:rPr>
        <w:t>ą</w:t>
      </w:r>
      <w:r w:rsidR="00351087">
        <w:rPr>
          <w:sz w:val="24"/>
          <w:szCs w:val="24"/>
        </w:rPr>
        <w:t xml:space="preserve"> ar klaus</w:t>
      </w:r>
      <w:r w:rsidR="009A5E76">
        <w:rPr>
          <w:sz w:val="24"/>
          <w:szCs w:val="24"/>
        </w:rPr>
        <w:t>ą</w:t>
      </w:r>
      <w:r w:rsidR="000A09FF">
        <w:rPr>
          <w:sz w:val="24"/>
          <w:szCs w:val="24"/>
        </w:rPr>
        <w:t xml:space="preserve">, iki spalio 1 d. sudaro sutartis su Panevėžio regos centru ,,Linelis“ </w:t>
      </w:r>
      <w:r w:rsidR="00351087">
        <w:rPr>
          <w:sz w:val="24"/>
          <w:szCs w:val="24"/>
        </w:rPr>
        <w:t xml:space="preserve">arba su </w:t>
      </w:r>
      <w:r w:rsidR="00472108">
        <w:rPr>
          <w:sz w:val="24"/>
          <w:szCs w:val="24"/>
        </w:rPr>
        <w:t>Panevėžio k</w:t>
      </w:r>
      <w:r w:rsidR="00351087">
        <w:rPr>
          <w:sz w:val="24"/>
          <w:szCs w:val="24"/>
        </w:rPr>
        <w:t>určiųjų ir neprigirdinčiųjų pagrindine mokykla</w:t>
      </w:r>
      <w:r w:rsidR="00351087" w:rsidRPr="00351087">
        <w:rPr>
          <w:sz w:val="24"/>
          <w:szCs w:val="24"/>
        </w:rPr>
        <w:t xml:space="preserve"> </w:t>
      </w:r>
      <w:r w:rsidR="00351087">
        <w:rPr>
          <w:sz w:val="24"/>
          <w:szCs w:val="24"/>
        </w:rPr>
        <w:t>dėl tiflopedagogo arba surdopedagogo pagalbos teikimo</w:t>
      </w:r>
      <w:r w:rsidR="000A09FF">
        <w:rPr>
          <w:sz w:val="24"/>
          <w:szCs w:val="24"/>
        </w:rPr>
        <w:t xml:space="preserve"> ir pateikia informaciją Savivaldybės administracijos Švietimo skyriui. Mokinio krepšelio lėšos skiriamos Regos centrui ,,Linelis“</w:t>
      </w:r>
      <w:r w:rsidR="00351087">
        <w:rPr>
          <w:sz w:val="24"/>
          <w:szCs w:val="24"/>
        </w:rPr>
        <w:t xml:space="preserve"> ir Kurčiųjų ir neprigirdinčiųjų pagrindinei mokyklai</w:t>
      </w:r>
      <w:r w:rsidR="000A09FF">
        <w:rPr>
          <w:sz w:val="24"/>
          <w:szCs w:val="24"/>
        </w:rPr>
        <w:t xml:space="preserve"> pagal sutartinius įsipareigojimus patvirtintai ugdymo programai įgyvendinti.</w:t>
      </w:r>
    </w:p>
    <w:p w:rsidR="000A09FF" w:rsidRDefault="00F07FE9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0A09FF">
        <w:rPr>
          <w:sz w:val="24"/>
          <w:szCs w:val="24"/>
        </w:rPr>
        <w:t>. Nepanaudotos mokinio krepšelio lėšos, įvykdžius mokyklos ugdymo planą, ketvirtąjį ketvirtį naudojamos teisės aktų nustatyta tvarka.</w:t>
      </w:r>
    </w:p>
    <w:p w:rsidR="00523CBD" w:rsidRDefault="00F07FE9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20799" w:rsidRPr="006A0DED">
        <w:rPr>
          <w:sz w:val="24"/>
          <w:szCs w:val="24"/>
        </w:rPr>
        <w:t>.</w:t>
      </w:r>
      <w:r w:rsidR="006B1D5C">
        <w:rPr>
          <w:sz w:val="24"/>
          <w:szCs w:val="24"/>
        </w:rPr>
        <w:t xml:space="preserve"> </w:t>
      </w:r>
      <w:r w:rsidR="00523CBD">
        <w:rPr>
          <w:sz w:val="24"/>
          <w:szCs w:val="24"/>
        </w:rPr>
        <w:t>Švietimo ir mokslo ministerijai perskirsčius tarp savivaldybių specialiąją tikslinę dotaciją</w:t>
      </w:r>
      <w:r w:rsidR="001C31CD">
        <w:rPr>
          <w:sz w:val="24"/>
          <w:szCs w:val="24"/>
        </w:rPr>
        <w:t>, skirtą mokinio krepšeliui finansuoti nuo rugsėjo 1 d</w:t>
      </w:r>
      <w:r w:rsidR="00754436">
        <w:rPr>
          <w:sz w:val="24"/>
          <w:szCs w:val="24"/>
        </w:rPr>
        <w:t>ienos</w:t>
      </w:r>
      <w:r w:rsidR="001C31CD">
        <w:rPr>
          <w:sz w:val="24"/>
          <w:szCs w:val="24"/>
        </w:rPr>
        <w:t xml:space="preserve"> iki einamųjų metų pabaigos, Savivaldybės gautos lėšos pirmiausia skiriamos iš mokinio krepšelio lėšų išlaikomų darbuotojų išeitinėms ir kitoms su darbo santykiais susijusioms išmokoms bei kompensac</w:t>
      </w:r>
      <w:r w:rsidR="00813BF6">
        <w:rPr>
          <w:sz w:val="24"/>
          <w:szCs w:val="24"/>
        </w:rPr>
        <w:t xml:space="preserve">ijoms mokėti, taip pat </w:t>
      </w:r>
      <w:r w:rsidR="00813BF6">
        <w:rPr>
          <w:sz w:val="24"/>
          <w:szCs w:val="24"/>
        </w:rPr>
        <w:lastRenderedPageBreak/>
        <w:t>Aprašo 17</w:t>
      </w:r>
      <w:r w:rsidR="001C31CD">
        <w:rPr>
          <w:sz w:val="24"/>
          <w:szCs w:val="24"/>
        </w:rPr>
        <w:t xml:space="preserve"> punkte nurodytų mokymo reikmių įsiskolinimams dengti ar jų susidarymo galimybėms mažinti.</w:t>
      </w:r>
    </w:p>
    <w:p w:rsidR="00A53657" w:rsidRDefault="00A53657" w:rsidP="00CF3462">
      <w:pPr>
        <w:spacing w:line="276" w:lineRule="auto"/>
        <w:ind w:right="126" w:firstLine="1296"/>
        <w:jc w:val="both"/>
        <w:rPr>
          <w:sz w:val="24"/>
          <w:szCs w:val="24"/>
        </w:rPr>
      </w:pPr>
    </w:p>
    <w:p w:rsidR="00EB7C08" w:rsidRDefault="00F217E1" w:rsidP="00CF3462">
      <w:pPr>
        <w:spacing w:line="276" w:lineRule="auto"/>
        <w:ind w:right="126" w:firstLine="12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EB7C08">
        <w:rPr>
          <w:b/>
          <w:sz w:val="24"/>
          <w:szCs w:val="24"/>
        </w:rPr>
        <w:t xml:space="preserve"> SKYRIUS</w:t>
      </w:r>
    </w:p>
    <w:p w:rsidR="00A53657" w:rsidRDefault="00A53657" w:rsidP="00CF3462">
      <w:pPr>
        <w:spacing w:line="276" w:lineRule="auto"/>
        <w:ind w:right="126" w:firstLine="129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BAIGIAMOSIOS NUOSTATOS</w:t>
      </w:r>
    </w:p>
    <w:p w:rsidR="00E22978" w:rsidRDefault="00E22978" w:rsidP="00CF3462">
      <w:pPr>
        <w:spacing w:line="276" w:lineRule="auto"/>
        <w:ind w:right="126" w:firstLine="1296"/>
        <w:jc w:val="center"/>
        <w:rPr>
          <w:b/>
          <w:sz w:val="24"/>
          <w:szCs w:val="24"/>
        </w:rPr>
      </w:pPr>
    </w:p>
    <w:p w:rsidR="00B214EA" w:rsidRDefault="00F07FE9" w:rsidP="00CF3462">
      <w:pPr>
        <w:spacing w:line="276" w:lineRule="auto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ab/>
        <w:t>23</w:t>
      </w:r>
      <w:r w:rsidR="00B214EA">
        <w:rPr>
          <w:sz w:val="24"/>
          <w:szCs w:val="24"/>
        </w:rPr>
        <w:t>.</w:t>
      </w:r>
      <w:r w:rsidR="006B1D5C">
        <w:rPr>
          <w:sz w:val="24"/>
          <w:szCs w:val="24"/>
        </w:rPr>
        <w:t xml:space="preserve"> </w:t>
      </w:r>
      <w:r w:rsidR="00B214EA">
        <w:rPr>
          <w:sz w:val="24"/>
          <w:szCs w:val="24"/>
        </w:rPr>
        <w:t>Mokinio krepšelio lėšos naudojamos pagal teisės aktus, reglamentuojančius Lietuvos Respublikos valstybės biudžeto ir savivaldybių biudžetų sudarymą ir vykdymą, atsižvelgiant į Lietuvos Respublikos švietimo ir mokslo ministro patvirtintas Mokinio krepšelio lėšų naudojimo rekomendacijas ir pagal asignavimų valdytojo patvirtintas išlaidų sąmatas.</w:t>
      </w:r>
    </w:p>
    <w:p w:rsidR="00B214EA" w:rsidRDefault="00B214EA" w:rsidP="00CF3462">
      <w:pPr>
        <w:spacing w:line="276" w:lineRule="auto"/>
        <w:ind w:right="126" w:firstLine="129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07FE9">
        <w:rPr>
          <w:sz w:val="24"/>
          <w:szCs w:val="24"/>
        </w:rPr>
        <w:t>4</w:t>
      </w:r>
      <w:r w:rsidRPr="006A0DED">
        <w:rPr>
          <w:sz w:val="24"/>
          <w:szCs w:val="24"/>
        </w:rPr>
        <w:t>.</w:t>
      </w:r>
      <w:r w:rsidR="006B1D5C">
        <w:rPr>
          <w:sz w:val="24"/>
          <w:szCs w:val="24"/>
        </w:rPr>
        <w:t xml:space="preserve"> </w:t>
      </w:r>
      <w:r w:rsidRPr="006A0DED">
        <w:rPr>
          <w:sz w:val="24"/>
          <w:szCs w:val="24"/>
        </w:rPr>
        <w:t xml:space="preserve">Už </w:t>
      </w:r>
      <w:r w:rsidR="00451CAF">
        <w:rPr>
          <w:sz w:val="24"/>
          <w:szCs w:val="24"/>
        </w:rPr>
        <w:t xml:space="preserve">tikslingą ir racionalų </w:t>
      </w:r>
      <w:r w:rsidRPr="006A0DED">
        <w:rPr>
          <w:sz w:val="24"/>
          <w:szCs w:val="24"/>
        </w:rPr>
        <w:t>mokinio krepšelio lėšų naudojimą atsak</w:t>
      </w:r>
      <w:r w:rsidR="00451CAF">
        <w:rPr>
          <w:sz w:val="24"/>
          <w:szCs w:val="24"/>
        </w:rPr>
        <w:t>o švietimo įstaigos vadovas</w:t>
      </w:r>
      <w:r w:rsidRPr="006A0DED">
        <w:rPr>
          <w:sz w:val="24"/>
          <w:szCs w:val="24"/>
        </w:rPr>
        <w:t xml:space="preserve">. </w:t>
      </w:r>
    </w:p>
    <w:p w:rsidR="007841CE" w:rsidRPr="006A0DED" w:rsidRDefault="007841CE" w:rsidP="00C4510B">
      <w:pPr>
        <w:jc w:val="center"/>
        <w:rPr>
          <w:sz w:val="24"/>
          <w:szCs w:val="24"/>
        </w:rPr>
      </w:pPr>
      <w:r w:rsidRPr="006A0DED">
        <w:rPr>
          <w:sz w:val="24"/>
          <w:szCs w:val="24"/>
        </w:rPr>
        <w:t>_______________________</w:t>
      </w:r>
    </w:p>
    <w:p w:rsidR="007841CE" w:rsidRDefault="007841CE" w:rsidP="007841CE">
      <w:pPr>
        <w:jc w:val="both"/>
        <w:rPr>
          <w:sz w:val="24"/>
        </w:rPr>
      </w:pPr>
    </w:p>
    <w:sectPr w:rsidR="007841CE" w:rsidSect="005A120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709" w:left="1276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16A" w:rsidRDefault="0045416A">
      <w:r>
        <w:separator/>
      </w:r>
    </w:p>
  </w:endnote>
  <w:endnote w:type="continuationSeparator" w:id="0">
    <w:p w:rsidR="0045416A" w:rsidRDefault="0045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D6" w:rsidRDefault="00F720D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720D6" w:rsidRDefault="00F720D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16A" w:rsidRDefault="0045416A">
      <w:r>
        <w:separator/>
      </w:r>
    </w:p>
  </w:footnote>
  <w:footnote w:type="continuationSeparator" w:id="0">
    <w:p w:rsidR="0045416A" w:rsidRDefault="00454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D6" w:rsidRDefault="00F720D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20D6" w:rsidRDefault="00F720D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D6" w:rsidRDefault="00F720D6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A120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20D6" w:rsidRDefault="00F720D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D6" w:rsidRDefault="00F720D6">
    <w:pPr>
      <w:pStyle w:val="Antrat1"/>
      <w:rPr>
        <w:rFonts w:ascii="Times New Roman" w:hAnsi="Times New Roman"/>
        <w:sz w:val="22"/>
      </w:rPr>
    </w:pPr>
  </w:p>
  <w:p w:rsidR="00F720D6" w:rsidRDefault="00F720D6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1CE"/>
    <w:rsid w:val="00000B96"/>
    <w:rsid w:val="00001684"/>
    <w:rsid w:val="00003DC3"/>
    <w:rsid w:val="00007557"/>
    <w:rsid w:val="00007BEB"/>
    <w:rsid w:val="0002131C"/>
    <w:rsid w:val="00021DEE"/>
    <w:rsid w:val="0002334D"/>
    <w:rsid w:val="00030752"/>
    <w:rsid w:val="00041C74"/>
    <w:rsid w:val="00042CCD"/>
    <w:rsid w:val="00044F0D"/>
    <w:rsid w:val="00050110"/>
    <w:rsid w:val="000713A2"/>
    <w:rsid w:val="00086D03"/>
    <w:rsid w:val="0009123E"/>
    <w:rsid w:val="000A09FF"/>
    <w:rsid w:val="000A1148"/>
    <w:rsid w:val="000A29CD"/>
    <w:rsid w:val="000B5FE9"/>
    <w:rsid w:val="000C4380"/>
    <w:rsid w:val="000C6C10"/>
    <w:rsid w:val="000E1964"/>
    <w:rsid w:val="000E36FE"/>
    <w:rsid w:val="000E421D"/>
    <w:rsid w:val="0010041E"/>
    <w:rsid w:val="001109A4"/>
    <w:rsid w:val="0012384E"/>
    <w:rsid w:val="00136ECB"/>
    <w:rsid w:val="001403AB"/>
    <w:rsid w:val="00142287"/>
    <w:rsid w:val="00142542"/>
    <w:rsid w:val="0014282A"/>
    <w:rsid w:val="00143C53"/>
    <w:rsid w:val="0015191F"/>
    <w:rsid w:val="00160AB0"/>
    <w:rsid w:val="001633DA"/>
    <w:rsid w:val="001653A3"/>
    <w:rsid w:val="00176612"/>
    <w:rsid w:val="00176DDC"/>
    <w:rsid w:val="00183663"/>
    <w:rsid w:val="001A3F1B"/>
    <w:rsid w:val="001B05D9"/>
    <w:rsid w:val="001C31CD"/>
    <w:rsid w:val="001C5100"/>
    <w:rsid w:val="001C6150"/>
    <w:rsid w:val="001C6F95"/>
    <w:rsid w:val="001D0C24"/>
    <w:rsid w:val="001E28B8"/>
    <w:rsid w:val="001E4C63"/>
    <w:rsid w:val="001E7CB3"/>
    <w:rsid w:val="001F0119"/>
    <w:rsid w:val="001F1DA4"/>
    <w:rsid w:val="001F368E"/>
    <w:rsid w:val="00206197"/>
    <w:rsid w:val="00213540"/>
    <w:rsid w:val="00223DB8"/>
    <w:rsid w:val="0022577A"/>
    <w:rsid w:val="00227BD4"/>
    <w:rsid w:val="002468B9"/>
    <w:rsid w:val="0026038E"/>
    <w:rsid w:val="002621A7"/>
    <w:rsid w:val="0026243E"/>
    <w:rsid w:val="00274CF2"/>
    <w:rsid w:val="0028363F"/>
    <w:rsid w:val="00295A26"/>
    <w:rsid w:val="002A3930"/>
    <w:rsid w:val="002A4C26"/>
    <w:rsid w:val="002B3CE0"/>
    <w:rsid w:val="002B76EB"/>
    <w:rsid w:val="002C0726"/>
    <w:rsid w:val="002C44C0"/>
    <w:rsid w:val="002C485D"/>
    <w:rsid w:val="002C67C2"/>
    <w:rsid w:val="002C7812"/>
    <w:rsid w:val="002D0E65"/>
    <w:rsid w:val="002E0B46"/>
    <w:rsid w:val="002E3CFE"/>
    <w:rsid w:val="002F1935"/>
    <w:rsid w:val="002F7447"/>
    <w:rsid w:val="003012AB"/>
    <w:rsid w:val="00337C78"/>
    <w:rsid w:val="003416BF"/>
    <w:rsid w:val="00342032"/>
    <w:rsid w:val="00350278"/>
    <w:rsid w:val="00351087"/>
    <w:rsid w:val="003518DA"/>
    <w:rsid w:val="00351BBF"/>
    <w:rsid w:val="00352C27"/>
    <w:rsid w:val="00354FB1"/>
    <w:rsid w:val="00356860"/>
    <w:rsid w:val="00363E7C"/>
    <w:rsid w:val="00373AAA"/>
    <w:rsid w:val="003756D2"/>
    <w:rsid w:val="00380265"/>
    <w:rsid w:val="00385275"/>
    <w:rsid w:val="0039525B"/>
    <w:rsid w:val="0039692E"/>
    <w:rsid w:val="003B1B6D"/>
    <w:rsid w:val="003B4BEF"/>
    <w:rsid w:val="003B6E3E"/>
    <w:rsid w:val="003D0A70"/>
    <w:rsid w:val="003D7BD6"/>
    <w:rsid w:val="003E4221"/>
    <w:rsid w:val="003E7758"/>
    <w:rsid w:val="003E7CF7"/>
    <w:rsid w:val="003F64A6"/>
    <w:rsid w:val="00402796"/>
    <w:rsid w:val="00403016"/>
    <w:rsid w:val="00403F45"/>
    <w:rsid w:val="00406246"/>
    <w:rsid w:val="004076C2"/>
    <w:rsid w:val="004151A2"/>
    <w:rsid w:val="00415562"/>
    <w:rsid w:val="004160E0"/>
    <w:rsid w:val="00417234"/>
    <w:rsid w:val="004303EA"/>
    <w:rsid w:val="004442BD"/>
    <w:rsid w:val="00451CAF"/>
    <w:rsid w:val="00452DD8"/>
    <w:rsid w:val="0045416A"/>
    <w:rsid w:val="00455860"/>
    <w:rsid w:val="004578E6"/>
    <w:rsid w:val="00457E7E"/>
    <w:rsid w:val="0046188E"/>
    <w:rsid w:val="00461FA4"/>
    <w:rsid w:val="004634F0"/>
    <w:rsid w:val="00471BB0"/>
    <w:rsid w:val="00472108"/>
    <w:rsid w:val="00473165"/>
    <w:rsid w:val="00484EFE"/>
    <w:rsid w:val="00490BC4"/>
    <w:rsid w:val="00492DFF"/>
    <w:rsid w:val="004A28A3"/>
    <w:rsid w:val="004A5793"/>
    <w:rsid w:val="004B3F5F"/>
    <w:rsid w:val="004B43B4"/>
    <w:rsid w:val="004B63EA"/>
    <w:rsid w:val="004B7470"/>
    <w:rsid w:val="004B75D0"/>
    <w:rsid w:val="004C67D6"/>
    <w:rsid w:val="004C6DB4"/>
    <w:rsid w:val="004D14EE"/>
    <w:rsid w:val="004D1DC4"/>
    <w:rsid w:val="004D60F0"/>
    <w:rsid w:val="00523CBD"/>
    <w:rsid w:val="00543666"/>
    <w:rsid w:val="005462C0"/>
    <w:rsid w:val="0054717D"/>
    <w:rsid w:val="00547481"/>
    <w:rsid w:val="005653AD"/>
    <w:rsid w:val="00575A6E"/>
    <w:rsid w:val="00575CA4"/>
    <w:rsid w:val="00595D96"/>
    <w:rsid w:val="005A1205"/>
    <w:rsid w:val="005A7977"/>
    <w:rsid w:val="005D250A"/>
    <w:rsid w:val="005D4ED5"/>
    <w:rsid w:val="005D554D"/>
    <w:rsid w:val="005E15A9"/>
    <w:rsid w:val="006125F5"/>
    <w:rsid w:val="00615142"/>
    <w:rsid w:val="00623B1E"/>
    <w:rsid w:val="00630649"/>
    <w:rsid w:val="00631812"/>
    <w:rsid w:val="0063182E"/>
    <w:rsid w:val="006431D6"/>
    <w:rsid w:val="00665427"/>
    <w:rsid w:val="006660D4"/>
    <w:rsid w:val="00666C2D"/>
    <w:rsid w:val="006963E7"/>
    <w:rsid w:val="006A0DED"/>
    <w:rsid w:val="006A658A"/>
    <w:rsid w:val="006B1D5C"/>
    <w:rsid w:val="006B702B"/>
    <w:rsid w:val="006C4059"/>
    <w:rsid w:val="006E1B53"/>
    <w:rsid w:val="006E227F"/>
    <w:rsid w:val="006E7BDB"/>
    <w:rsid w:val="006F0BBA"/>
    <w:rsid w:val="006F585D"/>
    <w:rsid w:val="006F73D7"/>
    <w:rsid w:val="00715907"/>
    <w:rsid w:val="00716F0F"/>
    <w:rsid w:val="00720378"/>
    <w:rsid w:val="00724AA8"/>
    <w:rsid w:val="00734158"/>
    <w:rsid w:val="00735459"/>
    <w:rsid w:val="0074110C"/>
    <w:rsid w:val="007449AD"/>
    <w:rsid w:val="00750F9D"/>
    <w:rsid w:val="00754436"/>
    <w:rsid w:val="00760E3B"/>
    <w:rsid w:val="00767454"/>
    <w:rsid w:val="00774155"/>
    <w:rsid w:val="00782F33"/>
    <w:rsid w:val="007841CE"/>
    <w:rsid w:val="007A30AB"/>
    <w:rsid w:val="007A4B79"/>
    <w:rsid w:val="007B0C08"/>
    <w:rsid w:val="007B32F1"/>
    <w:rsid w:val="007B5A9D"/>
    <w:rsid w:val="007C71F0"/>
    <w:rsid w:val="007D1ED4"/>
    <w:rsid w:val="007D5016"/>
    <w:rsid w:val="007E11F5"/>
    <w:rsid w:val="00801431"/>
    <w:rsid w:val="00802F69"/>
    <w:rsid w:val="0080326A"/>
    <w:rsid w:val="00813BF6"/>
    <w:rsid w:val="008170D3"/>
    <w:rsid w:val="00820ED1"/>
    <w:rsid w:val="00822BEE"/>
    <w:rsid w:val="00825FF6"/>
    <w:rsid w:val="00831262"/>
    <w:rsid w:val="008469D5"/>
    <w:rsid w:val="00846F6B"/>
    <w:rsid w:val="0085489D"/>
    <w:rsid w:val="008571A4"/>
    <w:rsid w:val="008634EE"/>
    <w:rsid w:val="00865F2C"/>
    <w:rsid w:val="00881524"/>
    <w:rsid w:val="0088340B"/>
    <w:rsid w:val="008849A0"/>
    <w:rsid w:val="00895F54"/>
    <w:rsid w:val="00897612"/>
    <w:rsid w:val="008D72D1"/>
    <w:rsid w:val="008E13CE"/>
    <w:rsid w:val="008F224E"/>
    <w:rsid w:val="008F3AF7"/>
    <w:rsid w:val="008F6FC0"/>
    <w:rsid w:val="009046FC"/>
    <w:rsid w:val="0090566F"/>
    <w:rsid w:val="0090771E"/>
    <w:rsid w:val="00907A63"/>
    <w:rsid w:val="00922D9B"/>
    <w:rsid w:val="00935601"/>
    <w:rsid w:val="00941014"/>
    <w:rsid w:val="00954534"/>
    <w:rsid w:val="0096323D"/>
    <w:rsid w:val="00966887"/>
    <w:rsid w:val="00967DE5"/>
    <w:rsid w:val="009742E7"/>
    <w:rsid w:val="009817DA"/>
    <w:rsid w:val="009A2BD9"/>
    <w:rsid w:val="009A5E76"/>
    <w:rsid w:val="009B0FE4"/>
    <w:rsid w:val="009B1112"/>
    <w:rsid w:val="009B7E99"/>
    <w:rsid w:val="009E0D78"/>
    <w:rsid w:val="009E1901"/>
    <w:rsid w:val="009F5C62"/>
    <w:rsid w:val="00A14247"/>
    <w:rsid w:val="00A168AF"/>
    <w:rsid w:val="00A2438F"/>
    <w:rsid w:val="00A32C43"/>
    <w:rsid w:val="00A36ED4"/>
    <w:rsid w:val="00A4229C"/>
    <w:rsid w:val="00A44697"/>
    <w:rsid w:val="00A53657"/>
    <w:rsid w:val="00A57984"/>
    <w:rsid w:val="00A90EB4"/>
    <w:rsid w:val="00A95791"/>
    <w:rsid w:val="00AB1BBA"/>
    <w:rsid w:val="00AC4197"/>
    <w:rsid w:val="00AC48F8"/>
    <w:rsid w:val="00AD0DCA"/>
    <w:rsid w:val="00AE5A43"/>
    <w:rsid w:val="00AF0418"/>
    <w:rsid w:val="00AF6893"/>
    <w:rsid w:val="00AF6BDD"/>
    <w:rsid w:val="00AF7F8C"/>
    <w:rsid w:val="00B072C1"/>
    <w:rsid w:val="00B16DCE"/>
    <w:rsid w:val="00B214EA"/>
    <w:rsid w:val="00B26B4B"/>
    <w:rsid w:val="00B3043B"/>
    <w:rsid w:val="00B30E52"/>
    <w:rsid w:val="00B31040"/>
    <w:rsid w:val="00B314DB"/>
    <w:rsid w:val="00B31A99"/>
    <w:rsid w:val="00B32987"/>
    <w:rsid w:val="00B341F4"/>
    <w:rsid w:val="00B358E9"/>
    <w:rsid w:val="00B3619F"/>
    <w:rsid w:val="00B36687"/>
    <w:rsid w:val="00B37FE1"/>
    <w:rsid w:val="00B419CE"/>
    <w:rsid w:val="00B557B0"/>
    <w:rsid w:val="00B6234B"/>
    <w:rsid w:val="00B70CEC"/>
    <w:rsid w:val="00B71C52"/>
    <w:rsid w:val="00B7360F"/>
    <w:rsid w:val="00B75C6F"/>
    <w:rsid w:val="00B76F1D"/>
    <w:rsid w:val="00BA1736"/>
    <w:rsid w:val="00BA2AD5"/>
    <w:rsid w:val="00BA51E1"/>
    <w:rsid w:val="00BB73F0"/>
    <w:rsid w:val="00BC35CE"/>
    <w:rsid w:val="00BC47A8"/>
    <w:rsid w:val="00BF1018"/>
    <w:rsid w:val="00BF341D"/>
    <w:rsid w:val="00C02354"/>
    <w:rsid w:val="00C02894"/>
    <w:rsid w:val="00C0490D"/>
    <w:rsid w:val="00C05457"/>
    <w:rsid w:val="00C14E85"/>
    <w:rsid w:val="00C16199"/>
    <w:rsid w:val="00C3183B"/>
    <w:rsid w:val="00C346B0"/>
    <w:rsid w:val="00C42949"/>
    <w:rsid w:val="00C430AA"/>
    <w:rsid w:val="00C4510B"/>
    <w:rsid w:val="00C66AF9"/>
    <w:rsid w:val="00C820A7"/>
    <w:rsid w:val="00C8758A"/>
    <w:rsid w:val="00C90920"/>
    <w:rsid w:val="00C91FD3"/>
    <w:rsid w:val="00C96C72"/>
    <w:rsid w:val="00CA7D0B"/>
    <w:rsid w:val="00CB6C15"/>
    <w:rsid w:val="00CB7937"/>
    <w:rsid w:val="00CC1112"/>
    <w:rsid w:val="00CC22BF"/>
    <w:rsid w:val="00CD14C0"/>
    <w:rsid w:val="00CE5932"/>
    <w:rsid w:val="00CE6EF1"/>
    <w:rsid w:val="00CF065A"/>
    <w:rsid w:val="00CF3462"/>
    <w:rsid w:val="00D14212"/>
    <w:rsid w:val="00D146A2"/>
    <w:rsid w:val="00D17047"/>
    <w:rsid w:val="00D17808"/>
    <w:rsid w:val="00D40D6C"/>
    <w:rsid w:val="00D45BCC"/>
    <w:rsid w:val="00D633D0"/>
    <w:rsid w:val="00D82F1D"/>
    <w:rsid w:val="00D849DE"/>
    <w:rsid w:val="00D90FB2"/>
    <w:rsid w:val="00D97278"/>
    <w:rsid w:val="00DB6524"/>
    <w:rsid w:val="00DC5239"/>
    <w:rsid w:val="00DC7641"/>
    <w:rsid w:val="00DE2C1E"/>
    <w:rsid w:val="00DF499B"/>
    <w:rsid w:val="00DF49F4"/>
    <w:rsid w:val="00DF7270"/>
    <w:rsid w:val="00E03791"/>
    <w:rsid w:val="00E04674"/>
    <w:rsid w:val="00E11D55"/>
    <w:rsid w:val="00E20799"/>
    <w:rsid w:val="00E20FEE"/>
    <w:rsid w:val="00E22978"/>
    <w:rsid w:val="00E47A21"/>
    <w:rsid w:val="00E54558"/>
    <w:rsid w:val="00E552D4"/>
    <w:rsid w:val="00E566C8"/>
    <w:rsid w:val="00E65E97"/>
    <w:rsid w:val="00E84A6F"/>
    <w:rsid w:val="00E860A6"/>
    <w:rsid w:val="00EA2B23"/>
    <w:rsid w:val="00EA3F41"/>
    <w:rsid w:val="00EB030A"/>
    <w:rsid w:val="00EB640C"/>
    <w:rsid w:val="00EB7C08"/>
    <w:rsid w:val="00EC0BAD"/>
    <w:rsid w:val="00EF0DD3"/>
    <w:rsid w:val="00EF62A5"/>
    <w:rsid w:val="00F00972"/>
    <w:rsid w:val="00F00A34"/>
    <w:rsid w:val="00F032E7"/>
    <w:rsid w:val="00F04D72"/>
    <w:rsid w:val="00F05144"/>
    <w:rsid w:val="00F07FE9"/>
    <w:rsid w:val="00F17257"/>
    <w:rsid w:val="00F1796F"/>
    <w:rsid w:val="00F217E1"/>
    <w:rsid w:val="00F31CE3"/>
    <w:rsid w:val="00F34B12"/>
    <w:rsid w:val="00F4007A"/>
    <w:rsid w:val="00F501D4"/>
    <w:rsid w:val="00F50B01"/>
    <w:rsid w:val="00F52C13"/>
    <w:rsid w:val="00F720D6"/>
    <w:rsid w:val="00F82436"/>
    <w:rsid w:val="00FB2A1B"/>
    <w:rsid w:val="00FB756C"/>
    <w:rsid w:val="00FC3F5D"/>
    <w:rsid w:val="00FC4027"/>
    <w:rsid w:val="00FE1519"/>
    <w:rsid w:val="00FE6556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841CE"/>
    <w:rPr>
      <w:lang w:eastAsia="en-US"/>
    </w:rPr>
  </w:style>
  <w:style w:type="paragraph" w:styleId="Antrat1">
    <w:name w:val="heading 1"/>
    <w:basedOn w:val="prastasis"/>
    <w:next w:val="prastasis"/>
    <w:qFormat/>
    <w:rsid w:val="00784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7841CE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7841CE"/>
    <w:pPr>
      <w:keepNext/>
      <w:jc w:val="center"/>
      <w:outlineLvl w:val="2"/>
    </w:p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Hipersaitas">
    <w:name w:val="Hyperlink"/>
    <w:rsid w:val="007841CE"/>
    <w:rPr>
      <w:color w:val="0000FF"/>
      <w:u w:val="single"/>
    </w:rPr>
  </w:style>
  <w:style w:type="character" w:customStyle="1" w:styleId="cms1">
    <w:name w:val="cms1"/>
    <w:rsid w:val="007841CE"/>
    <w:rPr>
      <w:b/>
      <w:bCs/>
      <w:color w:val="808080"/>
    </w:rPr>
  </w:style>
  <w:style w:type="paragraph" w:styleId="Pavadinimas">
    <w:name w:val="Title"/>
    <w:basedOn w:val="prastasis"/>
    <w:qFormat/>
    <w:rsid w:val="007841CE"/>
    <w:pPr>
      <w:jc w:val="center"/>
    </w:pPr>
    <w:rPr>
      <w:b/>
      <w:sz w:val="28"/>
    </w:rPr>
  </w:style>
  <w:style w:type="paragraph" w:styleId="Antrats">
    <w:name w:val="header"/>
    <w:basedOn w:val="prastasis"/>
    <w:rsid w:val="007841CE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7841CE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7841CE"/>
  </w:style>
  <w:style w:type="paragraph" w:styleId="Antrinispavadinimas">
    <w:name w:val="Subtitle"/>
    <w:basedOn w:val="prastasis"/>
    <w:qFormat/>
    <w:rsid w:val="004442BD"/>
    <w:pPr>
      <w:jc w:val="center"/>
    </w:pPr>
    <w:rPr>
      <w:b/>
      <w:sz w:val="28"/>
    </w:rPr>
  </w:style>
  <w:style w:type="paragraph" w:styleId="Debesliotekstas">
    <w:name w:val="Balloon Text"/>
    <w:basedOn w:val="prastasis"/>
    <w:link w:val="DebesliotekstasDiagrama"/>
    <w:rsid w:val="009410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410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08080"/>
                <w:right w:val="none" w:sz="0" w:space="0" w:color="auto"/>
              </w:divBdr>
            </w:div>
          </w:divsChild>
        </w:div>
      </w:divsChild>
    </w:div>
    <w:div w:id="1616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6688</Words>
  <Characters>3813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m.sav.administracija</Company>
  <LinksUpToDate>false</LinksUpToDate>
  <CharactersWithSpaces>10481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Irena</dc:creator>
  <cp:lastModifiedBy>Irena Vaitelienė</cp:lastModifiedBy>
  <cp:revision>13</cp:revision>
  <cp:lastPrinted>2016-03-07T06:11:00Z</cp:lastPrinted>
  <dcterms:created xsi:type="dcterms:W3CDTF">2016-10-11T07:03:00Z</dcterms:created>
  <dcterms:modified xsi:type="dcterms:W3CDTF">2016-10-11T07:32:00Z</dcterms:modified>
</cp:coreProperties>
</file>