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4DD24B4D" w14:textId="77777777" w:rsidR="00E07920" w:rsidRDefault="00E07920" w:rsidP="00E07920">
      <w:pPr>
        <w:pStyle w:val="BodyText3"/>
        <w:rPr>
          <w:rFonts w:eastAsia="Lucida Sans Unicode"/>
        </w:rPr>
      </w:pPr>
      <w:r w:rsidRPr="00E816E3">
        <w:t xml:space="preserve">DĖL PRITARIMO SUSITARIMUI </w:t>
      </w:r>
      <w:r>
        <w:rPr>
          <w:rFonts w:eastAsia="Lucida Sans Unicode"/>
        </w:rPr>
        <w:t>PAKEISTI</w:t>
      </w:r>
      <w:r w:rsidRPr="001879F1">
        <w:rPr>
          <w:rFonts w:eastAsia="Lucida Sans Unicode"/>
        </w:rPr>
        <w:t xml:space="preserve"> 2016 M. GEGUŽĖS 20 D. JUNGTINĖS VEIKLOS (PARTNERYSTĖS) SUTART</w:t>
      </w:r>
      <w:r>
        <w:rPr>
          <w:rFonts w:eastAsia="Lucida Sans Unicode"/>
        </w:rPr>
        <w:t>Į</w:t>
      </w:r>
      <w:r w:rsidRPr="001879F1">
        <w:rPr>
          <w:rFonts w:eastAsia="Lucida Sans Unicode"/>
        </w:rPr>
        <w:t xml:space="preserve"> NR. 22-913 </w:t>
      </w:r>
    </w:p>
    <w:p w14:paraId="39F4764E" w14:textId="77777777" w:rsidR="00C75B0E" w:rsidRDefault="00C75B0E" w:rsidP="00C75B0E">
      <w:pPr>
        <w:pStyle w:val="BodyText3"/>
        <w:rPr>
          <w:rFonts w:eastAsia="Lucida Sans Unicode"/>
        </w:rPr>
      </w:pPr>
    </w:p>
    <w:p w14:paraId="7A2729CD" w14:textId="2B78DE26" w:rsidR="00CE4261" w:rsidRPr="007D7B8A" w:rsidRDefault="00F8746D" w:rsidP="00156131">
      <w:pPr>
        <w:tabs>
          <w:tab w:val="left" w:pos="0"/>
        </w:tabs>
        <w:jc w:val="center"/>
      </w:pPr>
      <w:r>
        <w:t>2016</w:t>
      </w:r>
      <w:r w:rsidR="00CE4261">
        <w:t xml:space="preserve"> m. </w:t>
      </w:r>
      <w:r w:rsidR="003857EE">
        <w:t xml:space="preserve">spalio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3771F14E" w14:textId="719383AA" w:rsidR="003857EE" w:rsidRDefault="003857EE" w:rsidP="00C25BD0">
      <w:pPr>
        <w:spacing w:line="360" w:lineRule="auto"/>
        <w:ind w:firstLine="851"/>
        <w:jc w:val="both"/>
        <w:rPr>
          <w:color w:val="000000"/>
          <w:shd w:val="clear" w:color="auto" w:fill="FFFFFF"/>
        </w:rPr>
      </w:pPr>
      <w:r>
        <w:t xml:space="preserve">Panevėžio miesto savivaldybės taryba (toliau – Taryba) 2016 m. balandžio 29 d. sprendimu Nr. 1-112 </w:t>
      </w:r>
      <w:r w:rsidRPr="003857EE">
        <w:t>„</w:t>
      </w:r>
      <w:r>
        <w:t>D</w:t>
      </w:r>
      <w:r>
        <w:rPr>
          <w:bCs/>
          <w:color w:val="000000"/>
          <w:shd w:val="clear" w:color="auto" w:fill="FFFFFF"/>
        </w:rPr>
        <w:t>ėl pritarimo teikti projektą „L</w:t>
      </w:r>
      <w:r w:rsidRPr="003857EE">
        <w:rPr>
          <w:bCs/>
          <w:color w:val="000000"/>
          <w:shd w:val="clear" w:color="auto" w:fill="FFFFFF"/>
        </w:rPr>
        <w:t xml:space="preserve">ietaus vandens surinkimo, valymo ir nuotekų bei drenažo sistemų projektavimas, diegimas ir renovavimas“ </w:t>
      </w:r>
      <w:r>
        <w:rPr>
          <w:bCs/>
          <w:color w:val="000000"/>
          <w:shd w:val="clear" w:color="auto" w:fill="FFFFFF"/>
        </w:rPr>
        <w:t>E</w:t>
      </w:r>
      <w:r w:rsidRPr="003857EE">
        <w:rPr>
          <w:bCs/>
          <w:color w:val="000000"/>
          <w:shd w:val="clear" w:color="auto" w:fill="FFFFFF"/>
        </w:rPr>
        <w:t xml:space="preserve">uropos </w:t>
      </w:r>
      <w:r>
        <w:rPr>
          <w:bCs/>
          <w:color w:val="000000"/>
          <w:shd w:val="clear" w:color="auto" w:fill="FFFFFF"/>
        </w:rPr>
        <w:t>S</w:t>
      </w:r>
      <w:r w:rsidRPr="003857EE">
        <w:rPr>
          <w:bCs/>
          <w:color w:val="000000"/>
          <w:shd w:val="clear" w:color="auto" w:fill="FFFFFF"/>
        </w:rPr>
        <w:t>ąjungos fondų investicijoms gauti ir</w:t>
      </w:r>
      <w:r w:rsidRPr="003857EE">
        <w:rPr>
          <w:rStyle w:val="apple-converted-space"/>
          <w:bCs/>
          <w:color w:val="000000"/>
          <w:shd w:val="clear" w:color="auto" w:fill="FFFFFF"/>
        </w:rPr>
        <w:t> </w:t>
      </w:r>
      <w:r>
        <w:rPr>
          <w:rStyle w:val="apple-converted-space"/>
          <w:bCs/>
          <w:color w:val="000000"/>
          <w:shd w:val="clear" w:color="auto" w:fill="FFFFFF"/>
        </w:rPr>
        <w:t>p</w:t>
      </w:r>
      <w:r w:rsidRPr="003857EE">
        <w:rPr>
          <w:bCs/>
          <w:color w:val="000000"/>
          <w:shd w:val="clear" w:color="auto" w:fill="FFFFFF"/>
        </w:rPr>
        <w:t>rojekto dalinio finansavimo“</w:t>
      </w:r>
      <w:r>
        <w:rPr>
          <w:bCs/>
          <w:color w:val="000000"/>
          <w:shd w:val="clear" w:color="auto" w:fill="FFFFFF"/>
        </w:rPr>
        <w:t xml:space="preserve"> pritarė, </w:t>
      </w:r>
      <w:r>
        <w:rPr>
          <w:color w:val="000000"/>
          <w:shd w:val="clear" w:color="auto" w:fill="FFFFFF"/>
        </w:rPr>
        <w:t xml:space="preserve">kad projektas „Lietaus vandens surinkimo, valymo ir nuotekų bei drenažo sistemų projektavimas, diegimas ir renovavimas“ (toliau – Projektas) būtų teikiamas Europos Sąjungos fondų investicijoms gauti pagal 2014–2020 metų Europos Sąjungos fondų investicijų veiksmų programos 5 prioriteto „Aplinkosauga, gamtos išteklių darnus naudojimas ir prisitaikymas prie klimato kaitos“ įgyvendinimo priemonę Nr. 05.1.1-APVA-R-007 „Paviršinių nuotekų sistemų tvarkymas“ ir Panevėžio miesto savivaldybės administracijos dalyvavimui Projekte partnerio teisėmis. Tuo pačiu sprendimu Taryba pritarė Jungtinės veiklos (partnerystės) sutarčiai (toliau – Sutartis) ir įgaliojo Savivaldybės administracijos direktorių pasirašyti ją ir kitus dokumentus, susijusius su projektinio pasiūlymo, paraiškos teikimu ir dalyvavimu šiame Projekte. </w:t>
      </w:r>
    </w:p>
    <w:p w14:paraId="2C5604C9" w14:textId="5C8D9260" w:rsidR="00926EA5" w:rsidRDefault="00A25DF4" w:rsidP="00C25BD0">
      <w:pPr>
        <w:spacing w:line="360" w:lineRule="auto"/>
        <w:ind w:firstLine="851"/>
        <w:jc w:val="both"/>
        <w:rPr>
          <w:color w:val="000000"/>
          <w:shd w:val="clear" w:color="auto" w:fill="FFFFFF"/>
        </w:rPr>
      </w:pPr>
      <w:r>
        <w:rPr>
          <w:color w:val="000000"/>
          <w:shd w:val="clear" w:color="auto" w:fill="FFFFFF"/>
        </w:rPr>
        <w:t>Vadovaujantis Sutartimi Projektą vykdys u</w:t>
      </w:r>
      <w:r w:rsidRPr="00926EA5">
        <w:t>ždaroji akcinė bendrovė „Panevėžio gatvės“</w:t>
      </w:r>
      <w:r w:rsidRPr="001E38A5">
        <w:t xml:space="preserve"> </w:t>
      </w:r>
      <w:r w:rsidRPr="00926EA5">
        <w:t>(toliau - Pareiškėjas) ir Panevėžio miesto savivaldybės administracija (toliau – Partneris)</w:t>
      </w:r>
      <w:r>
        <w:t xml:space="preserve">. </w:t>
      </w:r>
      <w:r w:rsidR="00926EA5">
        <w:t>Po Sutarties pasirašymo tiek Pareiškėjas tiek Partneris kelis kartus kreipėsi į Lietuvos Respublikos aplinkos ministerijos Aplinkos projektų valdymo agentūrą</w:t>
      </w:r>
      <w:r w:rsidR="00473764">
        <w:t xml:space="preserve"> (toliau – APVA)</w:t>
      </w:r>
      <w:r w:rsidR="00926EA5">
        <w:t xml:space="preserve"> ir į Valstybinę mokesčių inspekciją prie Lietuvos Respublikos finansų ministerijos</w:t>
      </w:r>
      <w:r w:rsidR="00473764">
        <w:t xml:space="preserve"> (toliau – VMI)</w:t>
      </w:r>
      <w:r w:rsidR="00926EA5">
        <w:t xml:space="preserve"> siekdami išsiaiškinti pridėtinės vertės mokesčio (toliau – PVM) tinkamumą finansuoti ir Pareiškėjo galimybes jį įtraukti į PVM atskaitą. </w:t>
      </w:r>
      <w:r w:rsidR="00C02184">
        <w:t xml:space="preserve">Gautas išaiškinimas, kad PVM finansavimo klausimas negali priklausyti nuo projekto struktūros. Taigi, jeigu įmanoma tokia projekto įgyvendinimo struktūra, pagal kurią PVM yra atskaitomas, PVM turėtų būti laikomas netinkamu finansuoti.  </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7A917D77" w:rsidR="00E14F26" w:rsidRPr="00C25BD0" w:rsidRDefault="00C02184" w:rsidP="00C25BD0">
      <w:pPr>
        <w:tabs>
          <w:tab w:val="left" w:pos="0"/>
        </w:tabs>
        <w:spacing w:line="360" w:lineRule="auto"/>
        <w:ind w:firstLine="851"/>
        <w:jc w:val="both"/>
      </w:pPr>
      <w:r>
        <w:t>P</w:t>
      </w:r>
      <w:r w:rsidR="000F6EAA" w:rsidRPr="00C25BD0">
        <w:t>rojekt</w:t>
      </w:r>
      <w:r>
        <w:t>as</w:t>
      </w:r>
      <w:r w:rsidR="000F6EAA" w:rsidRPr="00C25BD0">
        <w:t xml:space="preserve"> „</w:t>
      </w:r>
      <w:r w:rsidR="00BD0DD2" w:rsidRPr="00BD0DD2">
        <w:t>Lietaus vandens surinkimo, valymo ir nuotekų bei drenažo sistemų projektavimas, diegimas ir renovavimas</w:t>
      </w:r>
      <w:r w:rsidR="000F6EAA" w:rsidRPr="00C25BD0">
        <w:t>“</w:t>
      </w:r>
      <w:r w:rsidR="004127D6" w:rsidRPr="00C25BD0">
        <w:t xml:space="preserve"> (toliau – Projektas)</w:t>
      </w:r>
      <w:r w:rsidR="000F6EAA"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ListParagraph"/>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ListParagraph"/>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60CB469E" w:rsidR="00134410" w:rsidRDefault="00134410" w:rsidP="00C25BD0">
      <w:pPr>
        <w:pStyle w:val="ListParagraph"/>
        <w:numPr>
          <w:ilvl w:val="0"/>
          <w:numId w:val="5"/>
        </w:numPr>
        <w:spacing w:line="360" w:lineRule="auto"/>
        <w:ind w:left="0" w:firstLine="851"/>
        <w:jc w:val="both"/>
      </w:pPr>
      <w:r w:rsidRPr="00C25BD0">
        <w:lastRenderedPageBreak/>
        <w:t>Panevėžio miesto integruotą teritorijų vystymo programą, patvirtintą Lietuvos Respublikos vidaus reikalų ministro 2016 m. v</w:t>
      </w:r>
      <w:r w:rsidR="00C02184">
        <w:t>asario 19 d. įsakymu Nr. 1V-122.</w:t>
      </w:r>
    </w:p>
    <w:p w14:paraId="3C51B009" w14:textId="3E95A0D5" w:rsidR="00473764" w:rsidRPr="00C25BD0" w:rsidRDefault="00473764" w:rsidP="00473764">
      <w:pPr>
        <w:spacing w:line="360" w:lineRule="auto"/>
        <w:ind w:firstLine="851"/>
        <w:jc w:val="both"/>
      </w:pPr>
      <w:r>
        <w:t xml:space="preserve">Šiuo metu Pareiškėjas atlieka viešųjų pirkimų procedūras dėl </w:t>
      </w:r>
      <w:r w:rsidRPr="006310C1">
        <w:t>turto kadastro duomenų nustatym</w:t>
      </w:r>
      <w:r w:rsidR="008E66F4">
        <w:t>o</w:t>
      </w:r>
      <w:r>
        <w:t xml:space="preserve"> ir įregistravimo </w:t>
      </w:r>
      <w:r w:rsidRPr="006310C1">
        <w:t>Nekilnojamojo turto registre</w:t>
      </w:r>
      <w:r>
        <w:t>.</w:t>
      </w:r>
      <w:bookmarkStart w:id="0" w:name="_GoBack"/>
      <w:bookmarkEnd w:id="0"/>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52F3839A" w14:textId="77F3FF8E" w:rsidR="00A922A9" w:rsidRPr="00C75B0E" w:rsidRDefault="00EB65FA" w:rsidP="00C75B0E">
      <w:pPr>
        <w:spacing w:line="360" w:lineRule="auto"/>
        <w:ind w:firstLine="851"/>
        <w:jc w:val="both"/>
      </w:pPr>
      <w:r w:rsidRPr="00C25BD0">
        <w:t>Vadovaujantis</w:t>
      </w:r>
      <w:r w:rsidR="00473764">
        <w:t xml:space="preserve"> AVPA ir VMI išaiškinimais nepakeitus Sutarties Pareiškėjui perleidžiant turtą Partneriui, Panevėžio miesto savivaldybei atsirastų prievolė sumokėti PVM sumą, kuri preliminariais skaičiavimais sudarytų apie 850 tūkst. Eurų.</w:t>
      </w:r>
    </w:p>
    <w:p w14:paraId="6FD663F0" w14:textId="4C180578" w:rsidR="00A922A9" w:rsidRPr="00C75B0E" w:rsidRDefault="00A25DF4" w:rsidP="00A25DF4">
      <w:pPr>
        <w:spacing w:line="360" w:lineRule="auto"/>
        <w:ind w:firstLine="851"/>
        <w:jc w:val="both"/>
      </w:pPr>
      <w:r w:rsidRPr="00C75B0E">
        <w:t>Sutarties 10 punkte numatyt</w:t>
      </w:r>
      <w:r w:rsidR="008E66F4">
        <w:t>a</w:t>
      </w:r>
      <w:r w:rsidRPr="00C75B0E">
        <w:t>, kad „</w:t>
      </w:r>
      <w:r w:rsidRPr="001E38A5">
        <w:t>Projektu sukurtas materialusis turtas tampa Partnerio nuosavybe</w:t>
      </w:r>
      <w:r>
        <w:t>“ siekiant išvengti būtinumo sumokėti PVM siūloma išdėstyti punktą taip: „</w:t>
      </w:r>
      <w:r w:rsidRPr="00024791">
        <w:t>Projektu sukurtas materialusis turtas (nauja statyba) tampa Pareiškėjo nuosavybe</w:t>
      </w:r>
      <w:r w:rsidR="008E66F4">
        <w:t>“</w:t>
      </w:r>
      <w:r>
        <w:t>.</w:t>
      </w:r>
    </w:p>
    <w:p w14:paraId="1A5F0250" w14:textId="77777777" w:rsidR="005E4165" w:rsidRPr="00C25BD0" w:rsidRDefault="00CE4261" w:rsidP="00A922A9">
      <w:pPr>
        <w:numPr>
          <w:ilvl w:val="0"/>
          <w:numId w:val="3"/>
        </w:numPr>
        <w:spacing w:line="360" w:lineRule="auto"/>
        <w:jc w:val="both"/>
        <w:rPr>
          <w:b/>
          <w:vanish/>
        </w:rPr>
      </w:pPr>
      <w:r w:rsidRPr="00C25BD0">
        <w:rPr>
          <w:b/>
        </w:rPr>
        <w:t>Skaičiavimai, išlaidų sąmatos, finansavimo šaltiniai:</w:t>
      </w:r>
    </w:p>
    <w:p w14:paraId="49E8734E" w14:textId="73D4AFF8" w:rsidR="00C25BD0" w:rsidRPr="00A922A9" w:rsidRDefault="005E4165" w:rsidP="00A25DF4">
      <w:pPr>
        <w:spacing w:line="360" w:lineRule="auto"/>
        <w:ind w:firstLine="709"/>
        <w:jc w:val="both"/>
        <w:rPr>
          <w:rFonts w:eastAsia="Calibri"/>
          <w:color w:val="000000"/>
        </w:rPr>
      </w:pPr>
      <w:r w:rsidRPr="00A922A9">
        <w:rPr>
          <w:rFonts w:eastAsia="Calibri"/>
          <w:color w:val="000000"/>
        </w:rPr>
        <w:t xml:space="preserve">Pagal Priemonę </w:t>
      </w:r>
      <w:r w:rsidR="009A5834" w:rsidRPr="00A922A9">
        <w:rPr>
          <w:rFonts w:eastAsia="Calibri"/>
          <w:color w:val="000000"/>
        </w:rPr>
        <w:t xml:space="preserve">Panevėžio </w:t>
      </w:r>
      <w:r w:rsidR="00501AD3" w:rsidRPr="00A922A9">
        <w:rPr>
          <w:rFonts w:eastAsia="Calibri"/>
          <w:color w:val="000000"/>
        </w:rPr>
        <w:t>miestui numatyta</w:t>
      </w:r>
      <w:r w:rsidR="009A5834" w:rsidRPr="00A922A9">
        <w:rPr>
          <w:rFonts w:eastAsia="Calibri"/>
          <w:color w:val="000000"/>
        </w:rPr>
        <w:t xml:space="preserve"> skirti </w:t>
      </w:r>
      <w:r w:rsidR="00A922A9" w:rsidRPr="00A922A9">
        <w:rPr>
          <w:rFonts w:eastAsia="Calibri"/>
          <w:color w:val="000000"/>
        </w:rPr>
        <w:t>3.493.981</w:t>
      </w:r>
      <w:r w:rsidRPr="00A922A9">
        <w:rPr>
          <w:rFonts w:eastAsia="Calibri"/>
          <w:color w:val="000000"/>
        </w:rPr>
        <w:t xml:space="preserve"> </w:t>
      </w:r>
      <w:r w:rsidR="009A5834" w:rsidRPr="00A922A9">
        <w:rPr>
          <w:rFonts w:eastAsia="Calibri"/>
          <w:color w:val="000000"/>
        </w:rPr>
        <w:t>Eur Europos Sąjungos fondų lėšų.</w:t>
      </w:r>
      <w:r w:rsidRPr="00A922A9">
        <w:rPr>
          <w:rFonts w:eastAsia="Calibri"/>
          <w:color w:val="000000"/>
        </w:rPr>
        <w:t xml:space="preserve"> </w:t>
      </w:r>
    </w:p>
    <w:p w14:paraId="759C52AC" w14:textId="3D73ED7D" w:rsidR="00E421BD" w:rsidRPr="00C25BD0" w:rsidRDefault="00327D6D" w:rsidP="00C75B0E">
      <w:pPr>
        <w:spacing w:line="360" w:lineRule="auto"/>
        <w:ind w:firstLine="851"/>
        <w:jc w:val="both"/>
      </w:pPr>
      <w:r w:rsidRPr="00C25BD0">
        <w:t>Vadovaujantis</w:t>
      </w:r>
      <w:r w:rsidR="00E421BD" w:rsidRPr="00C25BD0">
        <w:t xml:space="preserve"> </w:t>
      </w:r>
      <w:r w:rsidR="00A922A9">
        <w:t>Aprašo 36 punktu „Didžiausia galima projekto finansuojamoji dalis sudaro 85 procentus visų tinkamų finansuoti projekto išlaidų. Pareiškėjas ir (arba) partneris privalo prisidėti prie projekto finansavimo ne mažiau kaip 15 procentų visų tinkamų finansuoti projekto išlaidų</w:t>
      </w:r>
      <w:r w:rsidR="009F05AC">
        <w:t>...“</w:t>
      </w:r>
    </w:p>
    <w:p w14:paraId="091C7A70" w14:textId="77777777" w:rsidR="00E421BD" w:rsidRDefault="00E421BD" w:rsidP="00156131">
      <w:pPr>
        <w:jc w:val="both"/>
        <w:rPr>
          <w:sz w:val="23"/>
          <w:szCs w:val="23"/>
        </w:rPr>
      </w:pPr>
    </w:p>
    <w:tbl>
      <w:tblPr>
        <w:tblW w:w="5000" w:type="pct"/>
        <w:tblLayout w:type="fixed"/>
        <w:tblLook w:val="04A0" w:firstRow="1" w:lastRow="0" w:firstColumn="1" w:lastColumn="0" w:noHBand="0" w:noVBand="1"/>
      </w:tblPr>
      <w:tblGrid>
        <w:gridCol w:w="1668"/>
        <w:gridCol w:w="851"/>
        <w:gridCol w:w="1078"/>
        <w:gridCol w:w="1041"/>
        <w:gridCol w:w="1054"/>
        <w:gridCol w:w="761"/>
        <w:gridCol w:w="1064"/>
        <w:gridCol w:w="1169"/>
        <w:gridCol w:w="1169"/>
      </w:tblGrid>
      <w:tr w:rsidR="009F05AC" w14:paraId="148F8B69" w14:textId="77777777" w:rsidTr="009F05AC">
        <w:trPr>
          <w:trHeight w:val="1275"/>
        </w:trPr>
        <w:tc>
          <w:tcPr>
            <w:tcW w:w="846"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2491C82C" w14:textId="77777777" w:rsidR="009F05AC" w:rsidRDefault="009F05AC">
            <w:pPr>
              <w:jc w:val="center"/>
              <w:rPr>
                <w:b/>
                <w:bCs/>
                <w:color w:val="000000"/>
                <w:sz w:val="20"/>
                <w:szCs w:val="20"/>
              </w:rPr>
            </w:pPr>
            <w:r>
              <w:rPr>
                <w:b/>
                <w:bCs/>
                <w:color w:val="000000"/>
                <w:sz w:val="20"/>
                <w:szCs w:val="20"/>
              </w:rPr>
              <w:t>Projekto pavadinimas</w:t>
            </w:r>
          </w:p>
        </w:tc>
        <w:tc>
          <w:tcPr>
            <w:tcW w:w="431" w:type="pct"/>
            <w:tcBorders>
              <w:top w:val="single" w:sz="8" w:space="0" w:color="auto"/>
              <w:left w:val="nil"/>
              <w:bottom w:val="single" w:sz="4" w:space="0" w:color="auto"/>
              <w:right w:val="single" w:sz="4" w:space="0" w:color="auto"/>
            </w:tcBorders>
            <w:shd w:val="clear" w:color="000000" w:fill="D9D9D9"/>
            <w:vAlign w:val="center"/>
            <w:hideMark/>
          </w:tcPr>
          <w:p w14:paraId="07B8FD48" w14:textId="77777777" w:rsidR="009F05AC" w:rsidRDefault="009F05AC">
            <w:pPr>
              <w:jc w:val="center"/>
              <w:rPr>
                <w:b/>
                <w:bCs/>
                <w:color w:val="000000"/>
                <w:sz w:val="20"/>
                <w:szCs w:val="20"/>
              </w:rPr>
            </w:pPr>
            <w:r>
              <w:rPr>
                <w:b/>
                <w:bCs/>
                <w:color w:val="000000"/>
                <w:sz w:val="20"/>
                <w:szCs w:val="20"/>
              </w:rPr>
              <w:t>Įgyvendinimo laikotarpis</w:t>
            </w:r>
          </w:p>
        </w:tc>
        <w:tc>
          <w:tcPr>
            <w:tcW w:w="547" w:type="pct"/>
            <w:tcBorders>
              <w:top w:val="single" w:sz="8" w:space="0" w:color="auto"/>
              <w:left w:val="nil"/>
              <w:bottom w:val="single" w:sz="4" w:space="0" w:color="auto"/>
              <w:right w:val="single" w:sz="4" w:space="0" w:color="auto"/>
            </w:tcBorders>
            <w:shd w:val="clear" w:color="000000" w:fill="D9D9D9"/>
            <w:vAlign w:val="center"/>
            <w:hideMark/>
          </w:tcPr>
          <w:p w14:paraId="5ED95699" w14:textId="77777777" w:rsidR="009F05AC" w:rsidRDefault="009F05AC">
            <w:pPr>
              <w:jc w:val="center"/>
              <w:rPr>
                <w:b/>
                <w:bCs/>
                <w:color w:val="000000"/>
                <w:sz w:val="20"/>
                <w:szCs w:val="20"/>
              </w:rPr>
            </w:pPr>
            <w:r>
              <w:rPr>
                <w:b/>
                <w:bCs/>
                <w:color w:val="000000"/>
                <w:sz w:val="20"/>
                <w:szCs w:val="20"/>
              </w:rPr>
              <w:t>Pareiškėjas</w:t>
            </w:r>
          </w:p>
        </w:tc>
        <w:tc>
          <w:tcPr>
            <w:tcW w:w="528" w:type="pct"/>
            <w:tcBorders>
              <w:top w:val="single" w:sz="8" w:space="0" w:color="auto"/>
              <w:left w:val="nil"/>
              <w:bottom w:val="single" w:sz="4" w:space="0" w:color="auto"/>
              <w:right w:val="single" w:sz="4" w:space="0" w:color="auto"/>
            </w:tcBorders>
            <w:shd w:val="clear" w:color="000000" w:fill="D9D9D9"/>
            <w:vAlign w:val="center"/>
            <w:hideMark/>
          </w:tcPr>
          <w:p w14:paraId="52DC0233" w14:textId="77777777" w:rsidR="009F05AC" w:rsidRDefault="009F05AC">
            <w:pPr>
              <w:jc w:val="center"/>
              <w:rPr>
                <w:b/>
                <w:bCs/>
                <w:color w:val="000000"/>
                <w:sz w:val="20"/>
                <w:szCs w:val="20"/>
              </w:rPr>
            </w:pPr>
            <w:r>
              <w:rPr>
                <w:b/>
                <w:bCs/>
                <w:color w:val="000000"/>
                <w:sz w:val="20"/>
                <w:szCs w:val="20"/>
              </w:rPr>
              <w:t>Atsakinga ministerija</w:t>
            </w:r>
          </w:p>
        </w:tc>
        <w:tc>
          <w:tcPr>
            <w:tcW w:w="535" w:type="pct"/>
            <w:tcBorders>
              <w:top w:val="single" w:sz="8" w:space="0" w:color="auto"/>
              <w:left w:val="nil"/>
              <w:bottom w:val="single" w:sz="4" w:space="0" w:color="auto"/>
              <w:right w:val="single" w:sz="4" w:space="0" w:color="auto"/>
            </w:tcBorders>
            <w:shd w:val="clear" w:color="000000" w:fill="D9D9D9"/>
            <w:vAlign w:val="center"/>
            <w:hideMark/>
          </w:tcPr>
          <w:p w14:paraId="5D4D3777" w14:textId="77777777" w:rsidR="009F05AC" w:rsidRDefault="009F05AC">
            <w:pPr>
              <w:jc w:val="center"/>
              <w:rPr>
                <w:b/>
                <w:bCs/>
                <w:color w:val="000000"/>
                <w:sz w:val="20"/>
                <w:szCs w:val="20"/>
              </w:rPr>
            </w:pPr>
            <w:r>
              <w:rPr>
                <w:b/>
                <w:bCs/>
                <w:color w:val="000000"/>
                <w:sz w:val="20"/>
                <w:szCs w:val="20"/>
              </w:rPr>
              <w:t>Viso projekto vertė</w:t>
            </w:r>
          </w:p>
        </w:tc>
        <w:tc>
          <w:tcPr>
            <w:tcW w:w="386" w:type="pct"/>
            <w:tcBorders>
              <w:top w:val="single" w:sz="8" w:space="0" w:color="auto"/>
              <w:left w:val="nil"/>
              <w:bottom w:val="single" w:sz="4" w:space="0" w:color="auto"/>
              <w:right w:val="single" w:sz="4" w:space="0" w:color="auto"/>
            </w:tcBorders>
            <w:shd w:val="clear" w:color="000000" w:fill="D9D9D9"/>
            <w:vAlign w:val="center"/>
            <w:hideMark/>
          </w:tcPr>
          <w:p w14:paraId="7655C15F" w14:textId="77777777" w:rsidR="009F05AC" w:rsidRDefault="009F05AC">
            <w:pPr>
              <w:jc w:val="center"/>
              <w:rPr>
                <w:b/>
                <w:bCs/>
                <w:color w:val="000000"/>
                <w:sz w:val="20"/>
                <w:szCs w:val="20"/>
              </w:rPr>
            </w:pPr>
            <w:r>
              <w:rPr>
                <w:b/>
                <w:bCs/>
                <w:color w:val="000000"/>
                <w:sz w:val="20"/>
                <w:szCs w:val="20"/>
              </w:rPr>
              <w:t>Iš jų ES. lėšos (proc.)</w:t>
            </w:r>
          </w:p>
        </w:tc>
        <w:tc>
          <w:tcPr>
            <w:tcW w:w="540" w:type="pct"/>
            <w:tcBorders>
              <w:top w:val="single" w:sz="8" w:space="0" w:color="auto"/>
              <w:left w:val="nil"/>
              <w:bottom w:val="single" w:sz="4" w:space="0" w:color="auto"/>
              <w:right w:val="single" w:sz="4" w:space="0" w:color="auto"/>
            </w:tcBorders>
            <w:shd w:val="clear" w:color="000000" w:fill="D9D9D9"/>
            <w:vAlign w:val="center"/>
            <w:hideMark/>
          </w:tcPr>
          <w:p w14:paraId="52E83DFD" w14:textId="77777777" w:rsidR="009F05AC" w:rsidRDefault="009F05AC">
            <w:pPr>
              <w:jc w:val="center"/>
              <w:rPr>
                <w:b/>
                <w:bCs/>
                <w:color w:val="000000"/>
                <w:sz w:val="20"/>
                <w:szCs w:val="20"/>
              </w:rPr>
            </w:pPr>
            <w:r>
              <w:rPr>
                <w:b/>
                <w:bCs/>
                <w:color w:val="000000"/>
                <w:sz w:val="20"/>
                <w:szCs w:val="20"/>
              </w:rPr>
              <w:t xml:space="preserve">Iš jų ES lėšos </w:t>
            </w:r>
          </w:p>
        </w:tc>
        <w:tc>
          <w:tcPr>
            <w:tcW w:w="593" w:type="pct"/>
            <w:tcBorders>
              <w:top w:val="single" w:sz="8" w:space="0" w:color="auto"/>
              <w:left w:val="nil"/>
              <w:bottom w:val="single" w:sz="4" w:space="0" w:color="auto"/>
              <w:right w:val="single" w:sz="4" w:space="0" w:color="auto"/>
            </w:tcBorders>
            <w:shd w:val="clear" w:color="000000" w:fill="D9D9D9"/>
            <w:vAlign w:val="center"/>
            <w:hideMark/>
          </w:tcPr>
          <w:p w14:paraId="329F0314" w14:textId="77777777" w:rsidR="009F05AC" w:rsidRDefault="009F05AC">
            <w:pPr>
              <w:jc w:val="center"/>
              <w:rPr>
                <w:b/>
                <w:bCs/>
                <w:color w:val="000000"/>
                <w:sz w:val="20"/>
                <w:szCs w:val="20"/>
              </w:rPr>
            </w:pPr>
            <w:r>
              <w:rPr>
                <w:b/>
                <w:bCs/>
                <w:color w:val="000000"/>
                <w:sz w:val="20"/>
                <w:szCs w:val="20"/>
              </w:rPr>
              <w:t>Iš jų savivaldybės biudžeto lėšos (proc.)</w:t>
            </w:r>
          </w:p>
        </w:tc>
        <w:tc>
          <w:tcPr>
            <w:tcW w:w="593" w:type="pct"/>
            <w:tcBorders>
              <w:top w:val="single" w:sz="8" w:space="0" w:color="auto"/>
              <w:left w:val="nil"/>
              <w:bottom w:val="single" w:sz="4" w:space="0" w:color="auto"/>
              <w:right w:val="single" w:sz="4" w:space="0" w:color="auto"/>
            </w:tcBorders>
            <w:shd w:val="clear" w:color="000000" w:fill="D9D9D9"/>
            <w:vAlign w:val="center"/>
            <w:hideMark/>
          </w:tcPr>
          <w:p w14:paraId="1945ECE3" w14:textId="77777777" w:rsidR="009F05AC" w:rsidRDefault="009F05AC">
            <w:pPr>
              <w:jc w:val="center"/>
              <w:rPr>
                <w:b/>
                <w:bCs/>
                <w:color w:val="000000"/>
                <w:sz w:val="20"/>
                <w:szCs w:val="20"/>
              </w:rPr>
            </w:pPr>
            <w:r>
              <w:rPr>
                <w:b/>
                <w:bCs/>
                <w:color w:val="000000"/>
                <w:sz w:val="20"/>
                <w:szCs w:val="20"/>
              </w:rPr>
              <w:t xml:space="preserve">Iš jų savivaldybės biudžeto lėšos </w:t>
            </w:r>
          </w:p>
        </w:tc>
      </w:tr>
      <w:tr w:rsidR="009F05AC" w14:paraId="38B5D5F4" w14:textId="77777777" w:rsidTr="009F05AC">
        <w:trPr>
          <w:trHeight w:val="1290"/>
        </w:trPr>
        <w:tc>
          <w:tcPr>
            <w:tcW w:w="846" w:type="pct"/>
            <w:tcBorders>
              <w:top w:val="nil"/>
              <w:left w:val="single" w:sz="8" w:space="0" w:color="auto"/>
              <w:bottom w:val="single" w:sz="8" w:space="0" w:color="auto"/>
              <w:right w:val="single" w:sz="4" w:space="0" w:color="auto"/>
            </w:tcBorders>
            <w:shd w:val="clear" w:color="000000" w:fill="DCE6F1"/>
            <w:vAlign w:val="center"/>
          </w:tcPr>
          <w:p w14:paraId="61E404F2" w14:textId="08D50409" w:rsidR="009F05AC" w:rsidRPr="009F05AC" w:rsidRDefault="009F05AC" w:rsidP="009F05AC">
            <w:pPr>
              <w:jc w:val="center"/>
              <w:rPr>
                <w:sz w:val="20"/>
                <w:szCs w:val="20"/>
              </w:rPr>
            </w:pPr>
            <w:r w:rsidRPr="009F05AC">
              <w:rPr>
                <w:sz w:val="20"/>
                <w:szCs w:val="20"/>
              </w:rPr>
              <w:t>Lietaus vandens surinkimo, valymo ir nuotekų bei drenažo sistemų projektavimas, diegimas ir renovavimas</w:t>
            </w:r>
          </w:p>
        </w:tc>
        <w:tc>
          <w:tcPr>
            <w:tcW w:w="431" w:type="pct"/>
            <w:tcBorders>
              <w:top w:val="nil"/>
              <w:left w:val="nil"/>
              <w:bottom w:val="single" w:sz="8" w:space="0" w:color="auto"/>
              <w:right w:val="single" w:sz="4" w:space="0" w:color="auto"/>
            </w:tcBorders>
            <w:shd w:val="clear" w:color="auto" w:fill="auto"/>
            <w:noWrap/>
            <w:vAlign w:val="center"/>
            <w:hideMark/>
          </w:tcPr>
          <w:p w14:paraId="039EB4E6" w14:textId="7C2D4C15" w:rsidR="009F05AC" w:rsidRPr="009F05AC" w:rsidRDefault="009F05AC" w:rsidP="009F05AC">
            <w:pPr>
              <w:jc w:val="center"/>
              <w:rPr>
                <w:color w:val="000000"/>
                <w:sz w:val="20"/>
                <w:szCs w:val="20"/>
              </w:rPr>
            </w:pPr>
            <w:r w:rsidRPr="009F05AC">
              <w:rPr>
                <w:color w:val="000000"/>
                <w:sz w:val="20"/>
                <w:szCs w:val="20"/>
              </w:rPr>
              <w:t>2017-2019</w:t>
            </w:r>
          </w:p>
        </w:tc>
        <w:tc>
          <w:tcPr>
            <w:tcW w:w="547" w:type="pct"/>
            <w:tcBorders>
              <w:top w:val="nil"/>
              <w:left w:val="nil"/>
              <w:bottom w:val="single" w:sz="8" w:space="0" w:color="auto"/>
              <w:right w:val="single" w:sz="4" w:space="0" w:color="auto"/>
            </w:tcBorders>
            <w:shd w:val="clear" w:color="auto" w:fill="auto"/>
            <w:vAlign w:val="center"/>
            <w:hideMark/>
          </w:tcPr>
          <w:p w14:paraId="7A8E8E21" w14:textId="6E5CC839" w:rsidR="009F05AC" w:rsidRPr="009F05AC" w:rsidRDefault="009F05AC" w:rsidP="009F05AC">
            <w:pPr>
              <w:jc w:val="center"/>
              <w:rPr>
                <w:color w:val="000000"/>
                <w:sz w:val="20"/>
                <w:szCs w:val="20"/>
              </w:rPr>
            </w:pPr>
            <w:r w:rsidRPr="009F05AC">
              <w:rPr>
                <w:color w:val="000000"/>
                <w:sz w:val="20"/>
                <w:szCs w:val="20"/>
              </w:rPr>
              <w:t>UAB „Panevėžio gatves“</w:t>
            </w:r>
          </w:p>
        </w:tc>
        <w:tc>
          <w:tcPr>
            <w:tcW w:w="528" w:type="pct"/>
            <w:tcBorders>
              <w:top w:val="nil"/>
              <w:left w:val="nil"/>
              <w:bottom w:val="single" w:sz="8" w:space="0" w:color="auto"/>
              <w:right w:val="single" w:sz="4" w:space="0" w:color="auto"/>
            </w:tcBorders>
            <w:shd w:val="clear" w:color="000000" w:fill="FFFFFF"/>
            <w:vAlign w:val="center"/>
            <w:hideMark/>
          </w:tcPr>
          <w:p w14:paraId="49EF7921" w14:textId="01E92140" w:rsidR="009F05AC" w:rsidRPr="009F05AC" w:rsidRDefault="009F05AC" w:rsidP="009F05AC">
            <w:pPr>
              <w:jc w:val="center"/>
              <w:rPr>
                <w:color w:val="000000"/>
                <w:sz w:val="20"/>
                <w:szCs w:val="20"/>
              </w:rPr>
            </w:pPr>
            <w:r w:rsidRPr="009F05AC">
              <w:rPr>
                <w:color w:val="000000"/>
                <w:sz w:val="20"/>
                <w:szCs w:val="20"/>
              </w:rPr>
              <w:t>AM</w:t>
            </w:r>
          </w:p>
        </w:tc>
        <w:tc>
          <w:tcPr>
            <w:tcW w:w="535" w:type="pct"/>
            <w:tcBorders>
              <w:top w:val="nil"/>
              <w:left w:val="nil"/>
              <w:bottom w:val="single" w:sz="8" w:space="0" w:color="auto"/>
              <w:right w:val="single" w:sz="4" w:space="0" w:color="auto"/>
            </w:tcBorders>
            <w:shd w:val="clear" w:color="000000" w:fill="D8E4BC"/>
            <w:noWrap/>
            <w:vAlign w:val="center"/>
            <w:hideMark/>
          </w:tcPr>
          <w:p w14:paraId="0306CB9F" w14:textId="75CCD318" w:rsidR="009F05AC" w:rsidRPr="009F05AC" w:rsidRDefault="009F05AC" w:rsidP="009F05AC">
            <w:pPr>
              <w:jc w:val="center"/>
              <w:rPr>
                <w:color w:val="000000"/>
                <w:sz w:val="20"/>
                <w:szCs w:val="20"/>
              </w:rPr>
            </w:pPr>
            <w:r w:rsidRPr="009F05AC">
              <w:rPr>
                <w:color w:val="000000"/>
                <w:sz w:val="20"/>
                <w:szCs w:val="20"/>
              </w:rPr>
              <w:t>4.110.566 €</w:t>
            </w:r>
          </w:p>
        </w:tc>
        <w:tc>
          <w:tcPr>
            <w:tcW w:w="386" w:type="pct"/>
            <w:tcBorders>
              <w:top w:val="nil"/>
              <w:left w:val="nil"/>
              <w:bottom w:val="single" w:sz="8" w:space="0" w:color="auto"/>
              <w:right w:val="single" w:sz="4" w:space="0" w:color="auto"/>
            </w:tcBorders>
            <w:shd w:val="clear" w:color="000000" w:fill="EBF1DE"/>
            <w:noWrap/>
            <w:vAlign w:val="center"/>
            <w:hideMark/>
          </w:tcPr>
          <w:p w14:paraId="36BE4411" w14:textId="77777777" w:rsidR="009F05AC" w:rsidRPr="009F05AC" w:rsidRDefault="009F05AC" w:rsidP="009F05AC">
            <w:pPr>
              <w:jc w:val="center"/>
              <w:rPr>
                <w:color w:val="000000"/>
                <w:sz w:val="20"/>
                <w:szCs w:val="20"/>
              </w:rPr>
            </w:pPr>
            <w:r w:rsidRPr="009F05AC">
              <w:rPr>
                <w:color w:val="000000"/>
                <w:sz w:val="20"/>
                <w:szCs w:val="20"/>
              </w:rPr>
              <w:t>85,00%</w:t>
            </w:r>
          </w:p>
        </w:tc>
        <w:tc>
          <w:tcPr>
            <w:tcW w:w="540" w:type="pct"/>
            <w:tcBorders>
              <w:top w:val="nil"/>
              <w:left w:val="nil"/>
              <w:bottom w:val="single" w:sz="8" w:space="0" w:color="auto"/>
              <w:right w:val="single" w:sz="4" w:space="0" w:color="auto"/>
            </w:tcBorders>
            <w:shd w:val="clear" w:color="000000" w:fill="D8E4BC"/>
            <w:vAlign w:val="center"/>
            <w:hideMark/>
          </w:tcPr>
          <w:p w14:paraId="5E453FA1" w14:textId="77777777" w:rsidR="009F05AC" w:rsidRPr="009F05AC" w:rsidRDefault="009F05AC" w:rsidP="009F05AC">
            <w:pPr>
              <w:jc w:val="center"/>
              <w:rPr>
                <w:color w:val="000000"/>
                <w:sz w:val="20"/>
                <w:szCs w:val="20"/>
              </w:rPr>
            </w:pPr>
            <w:r w:rsidRPr="009F05AC">
              <w:rPr>
                <w:color w:val="000000"/>
                <w:sz w:val="20"/>
                <w:szCs w:val="20"/>
              </w:rPr>
              <w:t>3.493.981 €</w:t>
            </w:r>
          </w:p>
          <w:p w14:paraId="3C460796" w14:textId="21A6ED84" w:rsidR="009F05AC" w:rsidRPr="009F05AC" w:rsidRDefault="009F05AC" w:rsidP="009F05AC">
            <w:pPr>
              <w:jc w:val="center"/>
              <w:rPr>
                <w:color w:val="000000"/>
                <w:sz w:val="20"/>
                <w:szCs w:val="20"/>
              </w:rPr>
            </w:pPr>
          </w:p>
        </w:tc>
        <w:tc>
          <w:tcPr>
            <w:tcW w:w="593" w:type="pct"/>
            <w:tcBorders>
              <w:top w:val="nil"/>
              <w:left w:val="nil"/>
              <w:bottom w:val="single" w:sz="8" w:space="0" w:color="auto"/>
              <w:right w:val="single" w:sz="4" w:space="0" w:color="auto"/>
            </w:tcBorders>
            <w:shd w:val="clear" w:color="000000" w:fill="EBF1DE"/>
            <w:noWrap/>
            <w:vAlign w:val="center"/>
            <w:hideMark/>
          </w:tcPr>
          <w:p w14:paraId="659DD3F1" w14:textId="08D183FC" w:rsidR="009F05AC" w:rsidRPr="009F05AC" w:rsidRDefault="009F05AC" w:rsidP="009F05AC">
            <w:pPr>
              <w:jc w:val="center"/>
              <w:rPr>
                <w:color w:val="000000"/>
                <w:sz w:val="20"/>
                <w:szCs w:val="20"/>
              </w:rPr>
            </w:pPr>
            <w:r w:rsidRPr="009F05AC">
              <w:rPr>
                <w:color w:val="000000"/>
                <w:sz w:val="20"/>
                <w:szCs w:val="20"/>
              </w:rPr>
              <w:t>15%</w:t>
            </w:r>
          </w:p>
        </w:tc>
        <w:tc>
          <w:tcPr>
            <w:tcW w:w="593" w:type="pct"/>
            <w:tcBorders>
              <w:top w:val="nil"/>
              <w:left w:val="nil"/>
              <w:bottom w:val="single" w:sz="8" w:space="0" w:color="auto"/>
              <w:right w:val="single" w:sz="4" w:space="0" w:color="auto"/>
            </w:tcBorders>
            <w:shd w:val="clear" w:color="000000" w:fill="D8E4BC"/>
            <w:vAlign w:val="center"/>
            <w:hideMark/>
          </w:tcPr>
          <w:p w14:paraId="0AA200ED" w14:textId="77777777" w:rsidR="009F05AC" w:rsidRPr="009F05AC" w:rsidRDefault="009F05AC" w:rsidP="009F05AC">
            <w:pPr>
              <w:jc w:val="center"/>
              <w:rPr>
                <w:color w:val="000000"/>
                <w:sz w:val="20"/>
                <w:szCs w:val="20"/>
              </w:rPr>
            </w:pPr>
            <w:r w:rsidRPr="009F05AC">
              <w:rPr>
                <w:color w:val="000000"/>
                <w:sz w:val="20"/>
                <w:szCs w:val="20"/>
              </w:rPr>
              <w:t>616.585 €</w:t>
            </w:r>
          </w:p>
          <w:p w14:paraId="72D8A535" w14:textId="040A4D4F" w:rsidR="009F05AC" w:rsidRPr="009F05AC" w:rsidRDefault="009F05AC" w:rsidP="009F05AC">
            <w:pPr>
              <w:jc w:val="center"/>
              <w:rPr>
                <w:color w:val="000000"/>
                <w:sz w:val="20"/>
                <w:szCs w:val="20"/>
              </w:rPr>
            </w:pPr>
          </w:p>
        </w:tc>
      </w:tr>
    </w:tbl>
    <w:p w14:paraId="1D893816" w14:textId="77777777" w:rsidR="009F05AC" w:rsidRDefault="009F05AC" w:rsidP="00C25BD0">
      <w:pPr>
        <w:spacing w:line="360" w:lineRule="auto"/>
        <w:ind w:firstLine="851"/>
        <w:jc w:val="both"/>
      </w:pP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30F43E88" w14:textId="2CE12618" w:rsidR="00A25DF4" w:rsidRPr="0011226B" w:rsidRDefault="00CE4261" w:rsidP="00A25DF4">
      <w:pPr>
        <w:pStyle w:val="BodyText"/>
        <w:tabs>
          <w:tab w:val="left" w:pos="7230"/>
          <w:tab w:val="right" w:pos="9639"/>
        </w:tabs>
        <w:spacing w:line="360" w:lineRule="auto"/>
        <w:jc w:val="both"/>
      </w:pPr>
      <w:r w:rsidRPr="00C25BD0">
        <w:t xml:space="preserve">su </w:t>
      </w:r>
      <w:r w:rsidR="00A25DF4">
        <w:t xml:space="preserve">Mero patarėja Indrė </w:t>
      </w:r>
      <w:proofErr w:type="spellStart"/>
      <w:r w:rsidR="00A25DF4">
        <w:t>Kisiele</w:t>
      </w:r>
      <w:proofErr w:type="spellEnd"/>
      <w:r w:rsidR="00F436F6" w:rsidRPr="00C25BD0">
        <w:t xml:space="preserve">, </w:t>
      </w:r>
      <w:r w:rsidR="004826A2" w:rsidRPr="00C25BD0">
        <w:t>Mero pavaduotoju A.</w:t>
      </w:r>
      <w:r w:rsidR="00F20CFE" w:rsidRPr="00C25BD0">
        <w:t xml:space="preserve"> </w:t>
      </w:r>
      <w:r w:rsidR="004826A2" w:rsidRPr="00C25BD0">
        <w:t>Varna, Administracijos direktoriumi T.</w:t>
      </w:r>
      <w:r w:rsidR="00E01517" w:rsidRPr="00C25BD0">
        <w:t xml:space="preserve"> </w:t>
      </w:r>
      <w:r w:rsidR="004826A2" w:rsidRPr="00C25BD0">
        <w:t xml:space="preserve">Jukna, </w:t>
      </w:r>
      <w:r w:rsidR="00A25DF4" w:rsidRPr="0071318F">
        <w:t xml:space="preserve">Teisės </w:t>
      </w:r>
      <w:r w:rsidR="00A25DF4">
        <w:t xml:space="preserve">ir viešosios tvarkos </w:t>
      </w:r>
      <w:r w:rsidR="00A25DF4" w:rsidRPr="0071318F">
        <w:t>skyriaus vyr</w:t>
      </w:r>
      <w:r w:rsidR="00A25DF4">
        <w:t>.</w:t>
      </w:r>
      <w:r w:rsidR="00A25DF4" w:rsidRPr="0071318F">
        <w:t xml:space="preserve"> specialist</w:t>
      </w:r>
      <w:r w:rsidR="00A25DF4">
        <w:t xml:space="preserve">u, atliekančiu </w:t>
      </w:r>
      <w:r w:rsidR="00A25DF4" w:rsidRPr="00D01D94">
        <w:t>skyriaus vedėjo funkcijas</w:t>
      </w:r>
      <w:r w:rsidR="00A25DF4" w:rsidRPr="00C25BD0">
        <w:t xml:space="preserve"> </w:t>
      </w:r>
      <w:r w:rsidR="00714A9E" w:rsidRPr="00C25BD0">
        <w:t>A</w:t>
      </w:r>
      <w:r w:rsidR="004826A2" w:rsidRPr="00C25BD0">
        <w:t>.</w:t>
      </w:r>
      <w:r w:rsidR="00F20CFE" w:rsidRPr="00C25BD0">
        <w:t xml:space="preserve"> </w:t>
      </w:r>
      <w:r w:rsidR="00714A9E" w:rsidRPr="00C25BD0">
        <w:lastRenderedPageBreak/>
        <w:t>Valkūn</w:t>
      </w:r>
      <w:r w:rsidR="004826A2" w:rsidRPr="00C25BD0">
        <w:t>u</w:t>
      </w:r>
      <w:r w:rsidR="00714A9E" w:rsidRPr="00C25BD0">
        <w:t xml:space="preserve">, </w:t>
      </w:r>
      <w:r w:rsidR="00A25DF4" w:rsidRPr="00E07FBF">
        <w:t>Strateginio planavimo, i</w:t>
      </w:r>
      <w:r w:rsidR="00A25DF4">
        <w:t xml:space="preserve">nvesticijų ir biudžeto skyriaus </w:t>
      </w:r>
      <w:r w:rsidR="00A25DF4" w:rsidRPr="00E07FBF">
        <w:t>Investicijų projektų poskyrio vedėja</w:t>
      </w:r>
      <w:r w:rsidR="00A25DF4" w:rsidRPr="00C25BD0">
        <w:t xml:space="preserve"> </w:t>
      </w:r>
      <w:r w:rsidR="00A25DF4">
        <w:t>L</w:t>
      </w:r>
      <w:r w:rsidR="00A57B12" w:rsidRPr="00C25BD0">
        <w:t>. Ba</w:t>
      </w:r>
      <w:r w:rsidR="00A25DF4">
        <w:t>reikien</w:t>
      </w:r>
      <w:r w:rsidR="00A57B12" w:rsidRPr="00C25BD0">
        <w:t>e,</w:t>
      </w:r>
      <w:r w:rsidR="00916F0F" w:rsidRPr="00C25BD0">
        <w:t xml:space="preserve"> </w:t>
      </w:r>
      <w:r w:rsidR="00A25DF4" w:rsidRPr="00E07FBF">
        <w:t>Strateginio planavimo, i</w:t>
      </w:r>
      <w:r w:rsidR="00A25DF4">
        <w:t xml:space="preserve">nvesticijų ir biudžeto skyriaus </w:t>
      </w:r>
      <w:r w:rsidR="00A25DF4" w:rsidRPr="0011226B">
        <w:t>vyr. specialist</w:t>
      </w:r>
      <w:r w:rsidR="00A25DF4">
        <w:t>e</w:t>
      </w:r>
      <w:r w:rsidR="00A25DF4" w:rsidRPr="0011226B">
        <w:t>,</w:t>
      </w:r>
    </w:p>
    <w:p w14:paraId="0BBFB68F" w14:textId="360B35BD" w:rsidR="00885D3F" w:rsidRPr="00C25BD0" w:rsidRDefault="00A25DF4" w:rsidP="00A25DF4">
      <w:pPr>
        <w:pStyle w:val="BodyText"/>
        <w:tabs>
          <w:tab w:val="left" w:pos="7230"/>
          <w:tab w:val="left" w:pos="7513"/>
        </w:tabs>
        <w:spacing w:line="360" w:lineRule="auto"/>
        <w:jc w:val="both"/>
      </w:pPr>
      <w:r w:rsidRPr="0011226B">
        <w:t>atliekan</w:t>
      </w:r>
      <w:r>
        <w:t>čia</w:t>
      </w:r>
      <w:r w:rsidRPr="0011226B">
        <w:t xml:space="preserve"> skyriaus vedėjo funkcijas</w:t>
      </w:r>
      <w:r w:rsidRPr="00C25BD0">
        <w:t xml:space="preserve"> </w:t>
      </w:r>
      <w:r w:rsidR="00FE4127">
        <w:t>A.</w:t>
      </w:r>
      <w:r w:rsidR="00FE4127" w:rsidRPr="0011226B">
        <w:t xml:space="preserve"> Meškauskien</w:t>
      </w:r>
      <w:r>
        <w:t>e</w:t>
      </w:r>
      <w:r w:rsidR="00916F0F" w:rsidRPr="00C25BD0">
        <w:t>,</w:t>
      </w:r>
      <w:r w:rsidR="00A57B12" w:rsidRPr="00C25BD0">
        <w:t xml:space="preserve"> </w:t>
      </w:r>
      <w:r>
        <w:t>Vidaus administravimo skyriaus Dokumentų valdymo poskyrio vyr. specialiste A. Pakalne.</w:t>
      </w:r>
    </w:p>
    <w:p w14:paraId="277AA3AD" w14:textId="77777777" w:rsidR="00D019E3" w:rsidRPr="00C25BD0" w:rsidRDefault="00D019E3" w:rsidP="00C25BD0">
      <w:pPr>
        <w:tabs>
          <w:tab w:val="left" w:pos="7230"/>
        </w:tabs>
        <w:spacing w:line="360" w:lineRule="auto"/>
        <w:jc w:val="both"/>
      </w:pPr>
    </w:p>
    <w:p w14:paraId="2AD98CF2" w14:textId="7A52201A" w:rsidR="00A25DF4" w:rsidRDefault="00A25DF4" w:rsidP="00C25BD0">
      <w:pPr>
        <w:tabs>
          <w:tab w:val="left" w:pos="7230"/>
        </w:tabs>
        <w:spacing w:line="360" w:lineRule="auto"/>
        <w:jc w:val="both"/>
      </w:pPr>
      <w:r w:rsidRPr="00E07FBF">
        <w:t>Strateginio planavimo, i</w:t>
      </w:r>
      <w:r>
        <w:t>nvesticijų ir biudžeto skyriaus</w:t>
      </w:r>
    </w:p>
    <w:p w14:paraId="5C234113" w14:textId="7EB27F6D" w:rsidR="00501AD3" w:rsidRPr="00A25DF4" w:rsidRDefault="00A25DF4" w:rsidP="00A25DF4">
      <w:pPr>
        <w:tabs>
          <w:tab w:val="left" w:pos="7230"/>
        </w:tabs>
        <w:spacing w:line="360" w:lineRule="auto"/>
        <w:jc w:val="both"/>
      </w:pPr>
      <w:r w:rsidRPr="00E07FBF">
        <w:t xml:space="preserve">Investicijų projektų poskyrio </w:t>
      </w:r>
      <w:r w:rsidR="00C25BD0">
        <w:t>vyriausiasis specialistas</w:t>
      </w:r>
      <w:r w:rsidR="00C25BD0">
        <w:tab/>
        <w:t>Donatas Mickevičius</w:t>
      </w:r>
    </w:p>
    <w:sectPr w:rsidR="00501AD3" w:rsidRPr="00A25DF4" w:rsidSect="00D610C3">
      <w:headerReference w:type="default" r:id="rId9"/>
      <w:pgSz w:w="11907" w:h="16840" w:code="9"/>
      <w:pgMar w:top="851" w:right="708" w:bottom="709" w:left="1560"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5CFC2" w14:textId="77777777" w:rsidR="002815B4" w:rsidRDefault="002815B4" w:rsidP="00D610C3">
      <w:r>
        <w:separator/>
      </w:r>
    </w:p>
  </w:endnote>
  <w:endnote w:type="continuationSeparator" w:id="0">
    <w:p w14:paraId="4058A845" w14:textId="77777777" w:rsidR="002815B4" w:rsidRDefault="002815B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7EC27" w14:textId="77777777" w:rsidR="002815B4" w:rsidRDefault="002815B4" w:rsidP="00D610C3">
      <w:r>
        <w:separator/>
      </w:r>
    </w:p>
  </w:footnote>
  <w:footnote w:type="continuationSeparator" w:id="0">
    <w:p w14:paraId="7CB7ACD2" w14:textId="77777777" w:rsidR="002815B4" w:rsidRDefault="002815B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36507F77" w:rsidR="00D610C3" w:rsidRDefault="00D610C3">
        <w:pPr>
          <w:pStyle w:val="Header"/>
          <w:jc w:val="center"/>
        </w:pPr>
        <w:r>
          <w:fldChar w:fldCharType="begin"/>
        </w:r>
        <w:r>
          <w:instrText>PAGE   \* MERGEFORMAT</w:instrText>
        </w:r>
        <w:r>
          <w:fldChar w:fldCharType="separate"/>
        </w:r>
        <w:r w:rsidR="008E66F4">
          <w:rPr>
            <w:noProof/>
          </w:rPr>
          <w:t>2</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7">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3"/>
  </w:num>
  <w:num w:numId="4">
    <w:abstractNumId w:val="9"/>
  </w:num>
  <w:num w:numId="5">
    <w:abstractNumId w:val="11"/>
  </w:num>
  <w:num w:numId="6">
    <w:abstractNumId w:val="8"/>
  </w:num>
  <w:num w:numId="7">
    <w:abstractNumId w:val="7"/>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
  </w:num>
  <w:num w:numId="13">
    <w:abstractNumId w:val="4"/>
  </w:num>
  <w:num w:numId="14">
    <w:abstractNumId w:val="5"/>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D1CCA"/>
    <w:rsid w:val="000E6FCA"/>
    <w:rsid w:val="000F142F"/>
    <w:rsid w:val="000F6EAA"/>
    <w:rsid w:val="00101EF7"/>
    <w:rsid w:val="00105414"/>
    <w:rsid w:val="00134410"/>
    <w:rsid w:val="00144285"/>
    <w:rsid w:val="00153D8F"/>
    <w:rsid w:val="00156131"/>
    <w:rsid w:val="00170D73"/>
    <w:rsid w:val="00173464"/>
    <w:rsid w:val="0019105B"/>
    <w:rsid w:val="00194B34"/>
    <w:rsid w:val="001A31DD"/>
    <w:rsid w:val="001A59CF"/>
    <w:rsid w:val="001A6051"/>
    <w:rsid w:val="001B1CD5"/>
    <w:rsid w:val="001C60B4"/>
    <w:rsid w:val="001F0F56"/>
    <w:rsid w:val="0021352E"/>
    <w:rsid w:val="002316BC"/>
    <w:rsid w:val="00237E62"/>
    <w:rsid w:val="00244250"/>
    <w:rsid w:val="00264EEB"/>
    <w:rsid w:val="002815B4"/>
    <w:rsid w:val="00292DCE"/>
    <w:rsid w:val="0029507D"/>
    <w:rsid w:val="002A2E19"/>
    <w:rsid w:val="002A40B1"/>
    <w:rsid w:val="002B5A69"/>
    <w:rsid w:val="002C333C"/>
    <w:rsid w:val="002C4E80"/>
    <w:rsid w:val="002D1241"/>
    <w:rsid w:val="002D5815"/>
    <w:rsid w:val="002E30B2"/>
    <w:rsid w:val="002E51AC"/>
    <w:rsid w:val="002F0566"/>
    <w:rsid w:val="002F52D8"/>
    <w:rsid w:val="00311EF9"/>
    <w:rsid w:val="00327D6D"/>
    <w:rsid w:val="00341BA1"/>
    <w:rsid w:val="003647E6"/>
    <w:rsid w:val="003666E4"/>
    <w:rsid w:val="00384732"/>
    <w:rsid w:val="003857EE"/>
    <w:rsid w:val="003A43A7"/>
    <w:rsid w:val="003C4CFD"/>
    <w:rsid w:val="003E056D"/>
    <w:rsid w:val="0040182A"/>
    <w:rsid w:val="004127D6"/>
    <w:rsid w:val="0046421B"/>
    <w:rsid w:val="004717F3"/>
    <w:rsid w:val="00473764"/>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938B3"/>
    <w:rsid w:val="006A3F4E"/>
    <w:rsid w:val="006D1BEC"/>
    <w:rsid w:val="007010AF"/>
    <w:rsid w:val="00710A07"/>
    <w:rsid w:val="00714A9E"/>
    <w:rsid w:val="007258D5"/>
    <w:rsid w:val="00741FF8"/>
    <w:rsid w:val="00761009"/>
    <w:rsid w:val="00776D79"/>
    <w:rsid w:val="007C02FB"/>
    <w:rsid w:val="0080253F"/>
    <w:rsid w:val="00802F82"/>
    <w:rsid w:val="008217A7"/>
    <w:rsid w:val="00831518"/>
    <w:rsid w:val="008407DC"/>
    <w:rsid w:val="00843093"/>
    <w:rsid w:val="00876427"/>
    <w:rsid w:val="00885D3F"/>
    <w:rsid w:val="00891F8B"/>
    <w:rsid w:val="008A4728"/>
    <w:rsid w:val="008C7A8F"/>
    <w:rsid w:val="008D65D6"/>
    <w:rsid w:val="008E305E"/>
    <w:rsid w:val="008E66F4"/>
    <w:rsid w:val="009104ED"/>
    <w:rsid w:val="00915CAB"/>
    <w:rsid w:val="00916F0F"/>
    <w:rsid w:val="00924E14"/>
    <w:rsid w:val="009268AA"/>
    <w:rsid w:val="00926EA5"/>
    <w:rsid w:val="0095798B"/>
    <w:rsid w:val="00976D44"/>
    <w:rsid w:val="00991168"/>
    <w:rsid w:val="009A096E"/>
    <w:rsid w:val="009A5834"/>
    <w:rsid w:val="009B127A"/>
    <w:rsid w:val="009B2D57"/>
    <w:rsid w:val="009B5DBB"/>
    <w:rsid w:val="009F05AC"/>
    <w:rsid w:val="009F706A"/>
    <w:rsid w:val="00A043FD"/>
    <w:rsid w:val="00A10F3E"/>
    <w:rsid w:val="00A25DF4"/>
    <w:rsid w:val="00A359A6"/>
    <w:rsid w:val="00A359FC"/>
    <w:rsid w:val="00A42799"/>
    <w:rsid w:val="00A57B12"/>
    <w:rsid w:val="00A77EA0"/>
    <w:rsid w:val="00A8179F"/>
    <w:rsid w:val="00A84DD9"/>
    <w:rsid w:val="00A922A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D0DD2"/>
    <w:rsid w:val="00BE171C"/>
    <w:rsid w:val="00BF4BB8"/>
    <w:rsid w:val="00BF5709"/>
    <w:rsid w:val="00C02184"/>
    <w:rsid w:val="00C22CD9"/>
    <w:rsid w:val="00C23621"/>
    <w:rsid w:val="00C25BD0"/>
    <w:rsid w:val="00C526B7"/>
    <w:rsid w:val="00C56D5C"/>
    <w:rsid w:val="00C60A01"/>
    <w:rsid w:val="00C64801"/>
    <w:rsid w:val="00C75B0E"/>
    <w:rsid w:val="00C96D4D"/>
    <w:rsid w:val="00CA23AE"/>
    <w:rsid w:val="00CA7E83"/>
    <w:rsid w:val="00CC063E"/>
    <w:rsid w:val="00CC6D07"/>
    <w:rsid w:val="00CC7B37"/>
    <w:rsid w:val="00CE4261"/>
    <w:rsid w:val="00CF6FD9"/>
    <w:rsid w:val="00D019E3"/>
    <w:rsid w:val="00D02330"/>
    <w:rsid w:val="00D04B9C"/>
    <w:rsid w:val="00D24BC8"/>
    <w:rsid w:val="00D42284"/>
    <w:rsid w:val="00D458F0"/>
    <w:rsid w:val="00D55973"/>
    <w:rsid w:val="00D610C3"/>
    <w:rsid w:val="00D72E08"/>
    <w:rsid w:val="00D91DC5"/>
    <w:rsid w:val="00DC1ACF"/>
    <w:rsid w:val="00DE774C"/>
    <w:rsid w:val="00E01517"/>
    <w:rsid w:val="00E07920"/>
    <w:rsid w:val="00E142DD"/>
    <w:rsid w:val="00E14F26"/>
    <w:rsid w:val="00E30C40"/>
    <w:rsid w:val="00E34D0F"/>
    <w:rsid w:val="00E421BD"/>
    <w:rsid w:val="00E600EB"/>
    <w:rsid w:val="00E7201B"/>
    <w:rsid w:val="00E77D95"/>
    <w:rsid w:val="00E966EA"/>
    <w:rsid w:val="00EB0BEF"/>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2F0566"/>
  </w:style>
  <w:style w:type="character" w:styleId="Hyperlink">
    <w:name w:val="Hyperlink"/>
    <w:basedOn w:val="DefaultParagraphFont"/>
    <w:uiPriority w:val="99"/>
    <w:unhideWhenUsed/>
    <w:rsid w:val="00D458F0"/>
    <w:rPr>
      <w:color w:val="0000FF" w:themeColor="hyperlink"/>
      <w:u w:val="single"/>
    </w:rPr>
  </w:style>
  <w:style w:type="paragraph" w:styleId="BodyText">
    <w:name w:val="Body Text"/>
    <w:basedOn w:val="Normal"/>
    <w:link w:val="BodyTextChar"/>
    <w:uiPriority w:val="99"/>
    <w:unhideWhenUsed/>
    <w:rsid w:val="00A25DF4"/>
    <w:pPr>
      <w:spacing w:after="120"/>
    </w:pPr>
  </w:style>
  <w:style w:type="character" w:customStyle="1" w:styleId="BodyTextChar">
    <w:name w:val="Body Text Char"/>
    <w:basedOn w:val="DefaultParagraphFont"/>
    <w:link w:val="BodyText"/>
    <w:uiPriority w:val="99"/>
    <w:rsid w:val="00A25DF4"/>
    <w:rPr>
      <w:rFonts w:eastAsia="Times New Roman"/>
      <w:sz w:val="24"/>
      <w:szCs w:val="24"/>
    </w:rPr>
  </w:style>
  <w:style w:type="character" w:customStyle="1" w:styleId="BodyText3Char">
    <w:name w:val="Body Text 3 Char"/>
    <w:basedOn w:val="DefaultParagraphFont"/>
    <w:link w:val="BodyText3"/>
    <w:rsid w:val="00C75B0E"/>
    <w:rPr>
      <w:rFonts w:eastAsia="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2F0566"/>
  </w:style>
  <w:style w:type="character" w:styleId="Hyperlink">
    <w:name w:val="Hyperlink"/>
    <w:basedOn w:val="DefaultParagraphFont"/>
    <w:uiPriority w:val="99"/>
    <w:unhideWhenUsed/>
    <w:rsid w:val="00D458F0"/>
    <w:rPr>
      <w:color w:val="0000FF" w:themeColor="hyperlink"/>
      <w:u w:val="single"/>
    </w:rPr>
  </w:style>
  <w:style w:type="paragraph" w:styleId="BodyText">
    <w:name w:val="Body Text"/>
    <w:basedOn w:val="Normal"/>
    <w:link w:val="BodyTextChar"/>
    <w:uiPriority w:val="99"/>
    <w:unhideWhenUsed/>
    <w:rsid w:val="00A25DF4"/>
    <w:pPr>
      <w:spacing w:after="120"/>
    </w:pPr>
  </w:style>
  <w:style w:type="character" w:customStyle="1" w:styleId="BodyTextChar">
    <w:name w:val="Body Text Char"/>
    <w:basedOn w:val="DefaultParagraphFont"/>
    <w:link w:val="BodyText"/>
    <w:uiPriority w:val="99"/>
    <w:rsid w:val="00A25DF4"/>
    <w:rPr>
      <w:rFonts w:eastAsia="Times New Roman"/>
      <w:sz w:val="24"/>
      <w:szCs w:val="24"/>
    </w:rPr>
  </w:style>
  <w:style w:type="character" w:customStyle="1" w:styleId="BodyText3Char">
    <w:name w:val="Body Text 3 Char"/>
    <w:basedOn w:val="DefaultParagraphFont"/>
    <w:link w:val="BodyText3"/>
    <w:rsid w:val="00C75B0E"/>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63993373">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38D8-8CA6-490D-8A2E-605B69DD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3470</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6</cp:revision>
  <cp:lastPrinted>2016-10-14T10:23:00Z</cp:lastPrinted>
  <dcterms:created xsi:type="dcterms:W3CDTF">2016-10-14T08:43:00Z</dcterms:created>
  <dcterms:modified xsi:type="dcterms:W3CDTF">2016-10-14T10:34:00Z</dcterms:modified>
</cp:coreProperties>
</file>