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23" w:rsidRDefault="00C07423" w:rsidP="00C07423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C07423" w:rsidRDefault="00C07423" w:rsidP="00C07423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C07423" w:rsidRDefault="00C07423" w:rsidP="00C07423">
      <w:pPr>
        <w:ind w:left="5103"/>
        <w:rPr>
          <w:sz w:val="24"/>
          <w:szCs w:val="24"/>
        </w:rPr>
      </w:pPr>
      <w:r>
        <w:rPr>
          <w:sz w:val="24"/>
          <w:szCs w:val="24"/>
        </w:rPr>
        <w:t>2016 m. vasario 22 d. sprendimu Nr. 1-40</w:t>
      </w:r>
    </w:p>
    <w:p w:rsidR="00C07423" w:rsidRDefault="00C07423" w:rsidP="00C07423">
      <w:pPr>
        <w:ind w:left="5103"/>
        <w:rPr>
          <w:sz w:val="24"/>
          <w:szCs w:val="24"/>
        </w:rPr>
      </w:pPr>
      <w:r>
        <w:rPr>
          <w:sz w:val="24"/>
          <w:szCs w:val="24"/>
        </w:rPr>
        <w:t>(Panevėžio miesto savivaldybės tarybos</w:t>
      </w:r>
    </w:p>
    <w:p w:rsidR="00C07423" w:rsidRDefault="00C07423" w:rsidP="00C07423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2016 m. rugsėjo    d. sprendimo Nr. </w:t>
      </w:r>
    </w:p>
    <w:p w:rsidR="00C07423" w:rsidRDefault="00C07423" w:rsidP="00C07423">
      <w:pPr>
        <w:ind w:left="5103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:rsidR="00622E9C" w:rsidRPr="00A1663D" w:rsidRDefault="00622E9C" w:rsidP="00A67DB6">
      <w:pPr>
        <w:ind w:left="5040"/>
        <w:rPr>
          <w:sz w:val="24"/>
          <w:szCs w:val="24"/>
        </w:rPr>
      </w:pPr>
    </w:p>
    <w:p w:rsidR="00622E9C" w:rsidRPr="004B2AE6" w:rsidRDefault="00622E9C" w:rsidP="00A67DB6">
      <w:pPr>
        <w:pStyle w:val="Pavadinimas"/>
        <w:rPr>
          <w:rFonts w:ascii="Times New Roman" w:hAnsi="Times New Roman"/>
          <w:sz w:val="24"/>
          <w:szCs w:val="24"/>
        </w:rPr>
      </w:pPr>
      <w:r w:rsidRPr="004B2AE6">
        <w:rPr>
          <w:rFonts w:ascii="Times New Roman" w:hAnsi="Times New Roman"/>
          <w:sz w:val="24"/>
          <w:szCs w:val="24"/>
        </w:rPr>
        <w:t>SAVIVALDYBĖS TURTO VALDYMO PROGRAMA</w:t>
      </w:r>
    </w:p>
    <w:p w:rsidR="00622E9C" w:rsidRPr="00A1663D" w:rsidRDefault="00622E9C" w:rsidP="000549C3">
      <w:pPr>
        <w:pStyle w:val="Antrats"/>
        <w:jc w:val="center"/>
      </w:pPr>
      <w:r w:rsidRPr="00A1663D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:rsidR="00622E9C" w:rsidRPr="004B2AE6" w:rsidRDefault="00622E9C" w:rsidP="0075350B">
            <w:pPr>
              <w:rPr>
                <w:bCs/>
                <w:sz w:val="24"/>
                <w:szCs w:val="24"/>
              </w:rPr>
            </w:pPr>
            <w:r w:rsidRPr="004B2AE6">
              <w:rPr>
                <w:bCs/>
                <w:sz w:val="24"/>
                <w:szCs w:val="24"/>
              </w:rPr>
              <w:t>201</w:t>
            </w:r>
            <w:r w:rsidR="0075350B" w:rsidRPr="004B2AE6">
              <w:rPr>
                <w:bCs/>
                <w:sz w:val="24"/>
                <w:szCs w:val="24"/>
              </w:rPr>
              <w:t>6</w:t>
            </w:r>
            <w:r w:rsidRPr="004B2AE6">
              <w:rPr>
                <w:bCs/>
                <w:sz w:val="24"/>
                <w:szCs w:val="24"/>
              </w:rPr>
              <w:t>–201</w:t>
            </w:r>
            <w:r w:rsidR="0075350B" w:rsidRPr="004B2AE6">
              <w:rPr>
                <w:bCs/>
                <w:sz w:val="24"/>
                <w:szCs w:val="24"/>
              </w:rPr>
              <w:t>8</w:t>
            </w:r>
            <w:r w:rsidRPr="004B2AE6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622E9C" w:rsidRPr="00A1663D" w:rsidTr="000549C3">
        <w:tc>
          <w:tcPr>
            <w:tcW w:w="3100" w:type="dxa"/>
          </w:tcPr>
          <w:p w:rsidR="004B2AE6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Asignavimų valdytojas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</w:p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Priemonių vykdytojas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(-ai), skyrius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  <w:r w:rsidRPr="00A1663D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A1663D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A1663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48" w:type="dxa"/>
            <w:gridSpan w:val="3"/>
          </w:tcPr>
          <w:p w:rsidR="00622E9C" w:rsidRPr="00CF09DA" w:rsidRDefault="00622E9C" w:rsidP="002E7BAC">
            <w:pPr>
              <w:rPr>
                <w:bCs/>
                <w:sz w:val="24"/>
                <w:szCs w:val="24"/>
              </w:rPr>
            </w:pPr>
            <w:r w:rsidRPr="00CF09DA">
              <w:rPr>
                <w:bCs/>
                <w:sz w:val="24"/>
                <w:szCs w:val="24"/>
              </w:rPr>
              <w:t xml:space="preserve">Savivaldybės administracijos </w:t>
            </w:r>
            <w:r w:rsidR="002E7BAC" w:rsidRPr="00CF09DA">
              <w:rPr>
                <w:bCs/>
                <w:sz w:val="24"/>
                <w:szCs w:val="24"/>
              </w:rPr>
              <w:t>Miesto infrastruktūros</w:t>
            </w:r>
            <w:r w:rsidRPr="00CF09DA">
              <w:rPr>
                <w:bCs/>
                <w:sz w:val="24"/>
                <w:szCs w:val="24"/>
              </w:rPr>
              <w:t xml:space="preserve"> skyrius</w:t>
            </w:r>
          </w:p>
          <w:p w:rsidR="002E7BAC" w:rsidRPr="00A1663D" w:rsidRDefault="002E7BAC" w:rsidP="002E7BAC">
            <w:pPr>
              <w:rPr>
                <w:bCs/>
                <w:sz w:val="24"/>
                <w:szCs w:val="24"/>
              </w:rPr>
            </w:pPr>
            <w:r w:rsidRPr="00CF09DA">
              <w:rPr>
                <w:bCs/>
                <w:sz w:val="24"/>
                <w:szCs w:val="24"/>
              </w:rPr>
              <w:t xml:space="preserve">Savivaldybės </w:t>
            </w:r>
            <w:r w:rsidR="00F456B9" w:rsidRPr="00CF09DA">
              <w:rPr>
                <w:bCs/>
                <w:sz w:val="24"/>
                <w:szCs w:val="24"/>
              </w:rPr>
              <w:t xml:space="preserve">administracijos </w:t>
            </w:r>
            <w:r w:rsidRPr="00CF09DA">
              <w:rPr>
                <w:bCs/>
                <w:sz w:val="24"/>
                <w:szCs w:val="24"/>
              </w:rPr>
              <w:t>Socialinių reikalų skyrius</w:t>
            </w:r>
          </w:p>
        </w:tc>
      </w:tr>
      <w:tr w:rsidR="00622E9C" w:rsidRPr="00A1663D" w:rsidTr="000549C3">
        <w:tc>
          <w:tcPr>
            <w:tcW w:w="310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22E9C" w:rsidRPr="00C56EB2" w:rsidRDefault="00622E9C" w:rsidP="00A67DB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E9C" w:rsidRPr="00A1663D" w:rsidTr="005D255F">
        <w:tc>
          <w:tcPr>
            <w:tcW w:w="3100" w:type="dxa"/>
            <w:vAlign w:val="center"/>
          </w:tcPr>
          <w:p w:rsidR="00622E9C" w:rsidRPr="00A1663D" w:rsidRDefault="00622E9C" w:rsidP="005D255F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:rsidR="00622E9C" w:rsidRPr="00A1663D" w:rsidRDefault="00622E9C" w:rsidP="005D255F">
            <w:pPr>
              <w:jc w:val="both"/>
              <w:rPr>
                <w:sz w:val="24"/>
                <w:szCs w:val="24"/>
              </w:rPr>
            </w:pPr>
            <w:r w:rsidRPr="00A1663D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  <w:vAlign w:val="center"/>
          </w:tcPr>
          <w:p w:rsidR="00622E9C" w:rsidRPr="00C56EB2" w:rsidRDefault="00622E9C" w:rsidP="005D255F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C56EB2" w:rsidRDefault="00622E9C" w:rsidP="001D48FD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:rsidR="00622E9C" w:rsidRPr="00A1663D" w:rsidRDefault="00622E9C" w:rsidP="00A67DB6">
      <w:pPr>
        <w:jc w:val="center"/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622E9C" w:rsidRPr="00A1663D">
        <w:trPr>
          <w:cantSplit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622E9C" w:rsidRPr="00201551" w:rsidRDefault="00622E9C" w:rsidP="00A67DB6">
            <w:pPr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:rsidR="00622E9C" w:rsidRPr="00201551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201551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622E9C" w:rsidRPr="00A1663D" w:rsidTr="005D255F">
        <w:trPr>
          <w:cantSplit/>
        </w:trPr>
        <w:tc>
          <w:tcPr>
            <w:tcW w:w="2988" w:type="dxa"/>
            <w:gridSpan w:val="2"/>
            <w:vAlign w:val="center"/>
          </w:tcPr>
          <w:p w:rsidR="00622E9C" w:rsidRPr="00A1663D" w:rsidRDefault="00622E9C" w:rsidP="005D255F">
            <w:pPr>
              <w:rPr>
                <w:b/>
                <w:color w:val="4F81BD"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Ilgalaikis prioritetas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01551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  <w:gridSpan w:val="2"/>
            <w:vAlign w:val="center"/>
          </w:tcPr>
          <w:p w:rsidR="00622E9C" w:rsidRPr="00C56EB2" w:rsidRDefault="00622E9C" w:rsidP="005D255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Programa susijusi su visais </w:t>
            </w:r>
            <w:r w:rsidRPr="00F20F4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:rsidR="00622E9C" w:rsidRPr="00C56EB2" w:rsidRDefault="00622E9C" w:rsidP="005D255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C56EB2" w:rsidRDefault="00622E9C" w:rsidP="005D255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:rsidR="00622E9C" w:rsidRPr="00FC6960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02</w:t>
            </w:r>
          </w:p>
          <w:p w:rsidR="00622E9C" w:rsidRPr="00F04832" w:rsidRDefault="00622E9C" w:rsidP="005D255F">
            <w:pPr>
              <w:jc w:val="center"/>
              <w:rPr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03</w:t>
            </w:r>
          </w:p>
        </w:tc>
      </w:tr>
      <w:tr w:rsidR="00622E9C" w:rsidRPr="00A1663D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:rsidR="00622E9C" w:rsidRPr="00C56EB2" w:rsidRDefault="00622E9C" w:rsidP="00A67DB6">
            <w:pPr>
              <w:pStyle w:val="Pagrindinistekstas"/>
              <w:rPr>
                <w:rFonts w:ascii="TimesLT" w:hAnsi="TimesLT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622E9C" w:rsidRPr="00A1663D" w:rsidTr="005D255F">
        <w:trPr>
          <w:cantSplit/>
          <w:trHeight w:val="311"/>
        </w:trPr>
        <w:tc>
          <w:tcPr>
            <w:tcW w:w="1908" w:type="dxa"/>
            <w:vAlign w:val="center"/>
          </w:tcPr>
          <w:p w:rsidR="00622E9C" w:rsidRPr="00C56EB2" w:rsidRDefault="00622E9C" w:rsidP="005D255F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Užtikrinti efektyvų Savivaldybei nuosavybės teise priklausančio turto naudojimą.</w:t>
            </w:r>
          </w:p>
        </w:tc>
        <w:tc>
          <w:tcPr>
            <w:tcW w:w="935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:rsidR="00622E9C" w:rsidRPr="00A1663D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DA1B92" w:rsidTr="00975DC9">
        <w:tc>
          <w:tcPr>
            <w:tcW w:w="9645" w:type="dxa"/>
          </w:tcPr>
          <w:p w:rsidR="00622E9C" w:rsidRPr="00C56EB2" w:rsidRDefault="00622E9C" w:rsidP="00975DC9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t xml:space="preserve">1 tikslo įgyvendinimo aprašymas </w:t>
            </w:r>
          </w:p>
          <w:p w:rsidR="00622E9C" w:rsidRPr="00C56EB2" w:rsidRDefault="00622E9C" w:rsidP="00975DC9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 pritraukiama investicijų nekilnojamojo turto būklei gerinti.</w:t>
            </w:r>
          </w:p>
          <w:p w:rsidR="00622E9C" w:rsidRPr="001B3A5A" w:rsidRDefault="00622E9C" w:rsidP="001A4D6D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DA1B92">
              <w:rPr>
                <w:bCs/>
                <w:sz w:val="24"/>
                <w:szCs w:val="24"/>
              </w:rPr>
              <w:t>Siekiant sėkmingo Savivaldybei priklausančio turto privatizavimo proceso, planuojama nustatyti privatizuojamų objektų rinkos vertę, parinkti tinkamiausią objektų privatizavimo būdą ir jų privatizavimo sąlygas.</w:t>
            </w:r>
          </w:p>
        </w:tc>
      </w:tr>
    </w:tbl>
    <w:p w:rsidR="00622E9C" w:rsidRPr="00DA1B92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FB3E4F" w:rsidTr="00AE4C46">
        <w:trPr>
          <w:trHeight w:val="3676"/>
        </w:trPr>
        <w:tc>
          <w:tcPr>
            <w:tcW w:w="9645" w:type="dxa"/>
          </w:tcPr>
          <w:p w:rsidR="00622E9C" w:rsidRPr="00C56EB2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Tikslui įgyvendinti iškelti 2 uždaviniai.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20F43">
              <w:rPr>
                <w:b/>
                <w:sz w:val="24"/>
                <w:szCs w:val="24"/>
              </w:rPr>
              <w:t xml:space="preserve">uždavinys. </w:t>
            </w:r>
            <w:r w:rsidRPr="00F20F43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Uždaviniui įgyvendinti numatoma priemonė – nekilnojamojo turto kadastriniai matavimai ir teisinė registracija, objektų paruošimas privatizuoti.</w:t>
            </w:r>
          </w:p>
          <w:p w:rsidR="00622E9C" w:rsidRPr="00C56EB2" w:rsidRDefault="00622E9C" w:rsidP="005D255F">
            <w:pPr>
              <w:pStyle w:val="Pagrindinistekstas"/>
              <w:ind w:left="360"/>
              <w:jc w:val="both"/>
              <w:rPr>
                <w:bCs/>
                <w:sz w:val="24"/>
                <w:szCs w:val="24"/>
              </w:rPr>
            </w:pPr>
          </w:p>
          <w:p w:rsidR="00622E9C" w:rsidRPr="00C56EB2" w:rsidRDefault="00622E9C" w:rsidP="005D255F">
            <w:pPr>
              <w:pStyle w:val="Pagrindinistekstas"/>
              <w:tabs>
                <w:tab w:val="left" w:pos="5160"/>
              </w:tabs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F20F43">
              <w:rPr>
                <w:bCs/>
                <w:iCs/>
                <w:sz w:val="24"/>
                <w:szCs w:val="24"/>
              </w:rPr>
              <w:t>.</w:t>
            </w:r>
            <w:r w:rsidRPr="00F20F4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20F43">
              <w:rPr>
                <w:sz w:val="24"/>
                <w:szCs w:val="24"/>
              </w:rPr>
              <w:t>Užtikrintas efektyvus Savivaldybei nuosavybės teise priklausančio turto naudojimas.</w:t>
            </w:r>
          </w:p>
          <w:p w:rsidR="00622E9C" w:rsidRPr="00C56EB2" w:rsidRDefault="00622E9C" w:rsidP="005D255F">
            <w:pPr>
              <w:pStyle w:val="Pagrindinistekstas"/>
              <w:tabs>
                <w:tab w:val="left" w:pos="1710"/>
              </w:tabs>
              <w:jc w:val="both"/>
              <w:rPr>
                <w:rFonts w:ascii="TimesLT" w:hAnsi="TimesLT"/>
                <w:sz w:val="24"/>
                <w:szCs w:val="24"/>
              </w:rPr>
            </w:pPr>
            <w:r w:rsidRPr="00F20F43">
              <w:rPr>
                <w:rFonts w:ascii="TimesLT" w:hAnsi="TimesLT"/>
                <w:sz w:val="24"/>
                <w:szCs w:val="24"/>
              </w:rPr>
              <w:tab/>
            </w:r>
          </w:p>
          <w:p w:rsidR="00622E9C" w:rsidRPr="00C56EB2" w:rsidRDefault="00622E9C" w:rsidP="005D255F">
            <w:pPr>
              <w:pStyle w:val="Pagrindinistekstas"/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Produkto vertinimo kriterijus</w:t>
            </w:r>
            <w:r w:rsidRPr="00F20F43">
              <w:rPr>
                <w:bCs/>
                <w:iCs/>
                <w:sz w:val="24"/>
                <w:szCs w:val="24"/>
              </w:rPr>
              <w:t>.</w:t>
            </w:r>
            <w:r w:rsidRPr="00F20F43">
              <w:rPr>
                <w:sz w:val="24"/>
                <w:szCs w:val="24"/>
              </w:rPr>
              <w:t xml:space="preserve"> Teisiškai įregistruotų objektų skaičius.</w:t>
            </w:r>
          </w:p>
        </w:tc>
      </w:tr>
    </w:tbl>
    <w:p w:rsidR="00622E9C" w:rsidRPr="00483A9C" w:rsidRDefault="00622E9C" w:rsidP="0092786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483A9C" w:rsidTr="00975DC9">
        <w:trPr>
          <w:trHeight w:val="1238"/>
        </w:trPr>
        <w:tc>
          <w:tcPr>
            <w:tcW w:w="9645" w:type="dxa"/>
          </w:tcPr>
          <w:p w:rsidR="00622E9C" w:rsidRPr="00C56EB2" w:rsidRDefault="00622E9C" w:rsidP="00EE3A1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lastRenderedPageBreak/>
              <w:t>2 uždavinys. Tinkamai naudoti, saugoti, prižiūrėti, remontuoti ir eksploatuoti Savivaldybės turtą.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F20F43">
              <w:rPr>
                <w:b/>
                <w:sz w:val="24"/>
                <w:szCs w:val="24"/>
              </w:rPr>
              <w:t xml:space="preserve">  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2 uždaviniui įgyvendinti numatomos šios priemonės:</w:t>
            </w:r>
          </w:p>
          <w:p w:rsidR="00622E9C" w:rsidRPr="00C56EB2" w:rsidRDefault="00622E9C" w:rsidP="00927862">
            <w:pPr>
              <w:pStyle w:val="Pagrindinistekstas"/>
              <w:rPr>
                <w:bCs/>
                <w:sz w:val="24"/>
                <w:szCs w:val="24"/>
              </w:rPr>
            </w:pP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skirti lėšų išlaidoms už atnaujinamų namų (pastatų) dalį, priklausančią Savivaldybei nuosavybės teise, padengti;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organizuoti nekilnojamojo</w:t>
            </w:r>
            <w:r w:rsidRPr="00F20F43">
              <w:rPr>
                <w:b/>
                <w:bCs/>
                <w:sz w:val="24"/>
                <w:szCs w:val="24"/>
              </w:rPr>
              <w:t xml:space="preserve"> </w:t>
            </w:r>
            <w:r w:rsidRPr="00F20F43">
              <w:rPr>
                <w:bCs/>
                <w:sz w:val="24"/>
                <w:szCs w:val="24"/>
              </w:rPr>
              <w:t>turto nuomos konkursus;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skirti lėšų už komunalines paslaugas, kurias pagal panaudos sutarti</w:t>
            </w:r>
            <w:r w:rsidR="008901DD" w:rsidRPr="008901DD">
              <w:rPr>
                <w:bCs/>
                <w:sz w:val="24"/>
                <w:szCs w:val="24"/>
              </w:rPr>
              <w:t>s (Nevėžio g. 38, Rožių g. 19</w:t>
            </w:r>
            <w:r w:rsidRPr="00F20F43">
              <w:rPr>
                <w:bCs/>
                <w:sz w:val="24"/>
                <w:szCs w:val="24"/>
              </w:rPr>
              <w:t>) apmoka panaudos davėjas;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1A4D6D">
              <w:rPr>
                <w:bCs/>
                <w:sz w:val="24"/>
                <w:szCs w:val="24"/>
              </w:rPr>
              <w:t xml:space="preserve">skirti lėšų </w:t>
            </w:r>
            <w:r w:rsidR="006D1DD8" w:rsidRPr="006D1DD8">
              <w:rPr>
                <w:bCs/>
                <w:sz w:val="24"/>
                <w:szCs w:val="24"/>
              </w:rPr>
              <w:t xml:space="preserve">Panevėžio </w:t>
            </w:r>
            <w:r w:rsidRPr="001A4D6D">
              <w:rPr>
                <w:bCs/>
                <w:sz w:val="24"/>
                <w:szCs w:val="24"/>
              </w:rPr>
              <w:t>miesto poliklinikos remontui</w:t>
            </w:r>
            <w:r w:rsidR="001A4D6D" w:rsidRPr="0087338F">
              <w:rPr>
                <w:bCs/>
                <w:sz w:val="24"/>
                <w:szCs w:val="24"/>
              </w:rPr>
              <w:t>.</w:t>
            </w:r>
          </w:p>
          <w:p w:rsidR="00622E9C" w:rsidRPr="00C56EB2" w:rsidRDefault="00622E9C" w:rsidP="001A4D6D">
            <w:pPr>
              <w:pStyle w:val="Pagrindinistekstas"/>
              <w:ind w:left="720"/>
              <w:jc w:val="both"/>
              <w:rPr>
                <w:b/>
                <w:strike/>
                <w:sz w:val="24"/>
                <w:szCs w:val="24"/>
              </w:rPr>
            </w:pPr>
          </w:p>
          <w:p w:rsidR="00622E9C" w:rsidRPr="00C56EB2" w:rsidRDefault="00622E9C" w:rsidP="00975DC9">
            <w:pPr>
              <w:pStyle w:val="Pagrindinistekstas"/>
              <w:tabs>
                <w:tab w:val="num" w:pos="720"/>
              </w:tabs>
              <w:ind w:left="720" w:hanging="360"/>
              <w:rPr>
                <w:color w:val="4F81BD"/>
              </w:rPr>
            </w:pPr>
            <w:r w:rsidRPr="00F20F43">
              <w:rPr>
                <w:color w:val="4F81BD"/>
              </w:rPr>
              <w:t> 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F20F43">
              <w:rPr>
                <w:bCs/>
                <w:iCs/>
                <w:sz w:val="24"/>
                <w:szCs w:val="24"/>
              </w:rPr>
              <w:t>: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suremontuotų gyvenamųjų ir negyvenamųjų patalpų skaičius;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pajamos už negyvenamųjų patalpų nuomą (tūkst. Eur);</w:t>
            </w:r>
          </w:p>
          <w:p w:rsidR="00622E9C" w:rsidRPr="00C56EB2" w:rsidRDefault="00622E9C" w:rsidP="00E20F9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Savivaldybės atnaujintų butų atnaujinamuose namuose skaičius;</w:t>
            </w:r>
          </w:p>
          <w:p w:rsidR="00622E9C" w:rsidRPr="00C56EB2" w:rsidRDefault="00622E9C" w:rsidP="00E20F9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7338F">
              <w:rPr>
                <w:sz w:val="24"/>
                <w:szCs w:val="24"/>
              </w:rPr>
              <w:t>suremontuotos miesto poliklinikos patalpos</w:t>
            </w:r>
            <w:r w:rsidR="0087338F" w:rsidRPr="0087338F">
              <w:rPr>
                <w:sz w:val="24"/>
                <w:szCs w:val="24"/>
              </w:rPr>
              <w:t>.</w:t>
            </w:r>
          </w:p>
          <w:p w:rsidR="00622E9C" w:rsidRPr="00C56EB2" w:rsidRDefault="00622E9C" w:rsidP="0087338F">
            <w:pPr>
              <w:pStyle w:val="Pagrindinistekstas"/>
              <w:tabs>
                <w:tab w:val="left" w:pos="5160"/>
              </w:tabs>
              <w:ind w:left="420"/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</w:tbl>
    <w:p w:rsidR="00622E9C" w:rsidRDefault="00622E9C" w:rsidP="00927862">
      <w:pPr>
        <w:rPr>
          <w:color w:val="4F81BD"/>
          <w:sz w:val="24"/>
          <w:szCs w:val="24"/>
        </w:rPr>
      </w:pPr>
    </w:p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Numatomas programos įgyvendinimo rezultatas</w:t>
            </w:r>
          </w:p>
          <w:p w:rsidR="00622E9C" w:rsidRPr="00B55F34" w:rsidRDefault="00622E9C" w:rsidP="002C1204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Cs/>
                <w:sz w:val="24"/>
                <w:szCs w:val="24"/>
              </w:rPr>
              <w:t>Patikslinti į Savivaldybės apskaitą įtraukto turto techniniai duomenys, teisiškai įregistruotas nekilnojamasis turtas. Užtikrintas efektyvus Savivaldybei nuosavybės teise priklausančio turto naudojimas. Gautomis pajamomis papildytas Privatizavimo fondas ir Savivaldybės biudžetas.</w:t>
            </w:r>
          </w:p>
        </w:tc>
      </w:tr>
    </w:tbl>
    <w:p w:rsidR="00622E9C" w:rsidRPr="00B55F34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622E9C" w:rsidRPr="00B55F34" w:rsidRDefault="00622E9C" w:rsidP="00A67DB6">
            <w:pPr>
              <w:jc w:val="both"/>
              <w:rPr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Panevėžio miesto savivaldybės biudžetas, Savivaldybės privatizavimo fondas.</w:t>
            </w:r>
          </w:p>
          <w:p w:rsidR="00622E9C" w:rsidRPr="00B55F34" w:rsidRDefault="00622E9C" w:rsidP="00A67DB6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510380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Panevėžio miesto plėtros strateginio plano dalys, susijusios su vykdoma programa. </w:t>
            </w:r>
          </w:p>
          <w:p w:rsidR="00622E9C" w:rsidRPr="00B55F34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C56EB2" w:rsidRDefault="00622E9C" w:rsidP="00A67DB6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Susiję Lietuvos Respublikos ir </w:t>
            </w:r>
            <w:r w:rsidR="004B2AE6">
              <w:rPr>
                <w:rFonts w:ascii="TimesLT" w:hAnsi="TimesLT"/>
                <w:b/>
                <w:sz w:val="24"/>
                <w:szCs w:val="24"/>
              </w:rPr>
              <w:t>S</w:t>
            </w:r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avivaldybės teisės aktai: </w:t>
            </w:r>
          </w:p>
          <w:p w:rsidR="00622E9C" w:rsidRPr="00C56EB2" w:rsidRDefault="00622E9C" w:rsidP="00A67DB6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  <w:p w:rsidR="00622E9C" w:rsidRPr="00C56EB2" w:rsidRDefault="00622E9C" w:rsidP="00A67DB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A67DB6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Kita svarbi informacija. </w:t>
            </w:r>
            <w:r w:rsidRPr="00B55F34">
              <w:rPr>
                <w:sz w:val="24"/>
                <w:szCs w:val="24"/>
              </w:rPr>
              <w:t>Nėra.</w:t>
            </w:r>
          </w:p>
        </w:tc>
      </w:tr>
    </w:tbl>
    <w:p w:rsidR="00F4196F" w:rsidRDefault="00F4196F" w:rsidP="0083040E">
      <w:pPr>
        <w:pStyle w:val="Pagrindinistekstas"/>
        <w:spacing w:line="360" w:lineRule="auto"/>
        <w:ind w:left="7200"/>
      </w:pPr>
    </w:p>
    <w:p w:rsidR="00622E9C" w:rsidRPr="001B68E9" w:rsidRDefault="00622E9C" w:rsidP="001B3A5A">
      <w:pPr>
        <w:pStyle w:val="Pagrindinistekstas"/>
        <w:spacing w:line="360" w:lineRule="auto"/>
        <w:ind w:left="7200"/>
        <w:rPr>
          <w:sz w:val="22"/>
          <w:szCs w:val="22"/>
        </w:rPr>
      </w:pPr>
    </w:p>
    <w:p w:rsidR="00C56EB2" w:rsidRPr="0083040E" w:rsidRDefault="00C56EB2" w:rsidP="00C56EB2">
      <w:pPr>
        <w:pStyle w:val="Antrats"/>
        <w:rPr>
          <w:b/>
          <w:bCs/>
          <w:sz w:val="24"/>
          <w:szCs w:val="24"/>
        </w:rPr>
      </w:pPr>
      <w:r>
        <w:br w:type="page"/>
      </w:r>
      <w:r w:rsidRPr="00A1663D">
        <w:rPr>
          <w:bCs/>
          <w:iCs/>
          <w:color w:val="4F81BD"/>
          <w:sz w:val="22"/>
          <w:szCs w:val="22"/>
        </w:rPr>
        <w:lastRenderedPageBreak/>
        <w:t xml:space="preserve">                                                   </w:t>
      </w:r>
      <w:r>
        <w:rPr>
          <w:bCs/>
          <w:iCs/>
          <w:color w:val="4F81BD"/>
          <w:sz w:val="22"/>
          <w:szCs w:val="22"/>
        </w:rPr>
        <w:tab/>
      </w:r>
      <w:r>
        <w:rPr>
          <w:bCs/>
          <w:iCs/>
          <w:color w:val="4F81BD"/>
          <w:sz w:val="22"/>
          <w:szCs w:val="22"/>
        </w:rPr>
        <w:tab/>
      </w:r>
      <w:r w:rsidRPr="0083040E">
        <w:rPr>
          <w:b/>
          <w:bCs/>
          <w:sz w:val="24"/>
          <w:szCs w:val="24"/>
        </w:rPr>
        <w:t>Formos 1b tęsinys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SAVIVALDYBĖS TURTO VALDYMO  PROGRAMOS (06)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LĖŠŲ POREIKIS IR NUMATOMI FINANSAVIMO ŠALTINIAI</w:t>
      </w: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C56EB2" w:rsidRPr="0083040E" w:rsidTr="00C760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040E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83040E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8304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Asignavimai biudžetiniams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3040E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83040E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83040E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2.1.1. Savivaldybės biudžeto lėšos </w:t>
            </w:r>
            <w:r w:rsidRPr="0083040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83040E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bookmarkStart w:id="0" w:name="_GoBack" w:colFirst="1" w:colLast="1"/>
            <w:r w:rsidRPr="0083040E">
              <w:rPr>
                <w:sz w:val="24"/>
                <w:szCs w:val="24"/>
              </w:rPr>
              <w:t xml:space="preserve">  2.1.3. Specialiosios programos lėšos </w:t>
            </w:r>
            <w:r w:rsidRPr="0083040E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</w:tr>
      <w:bookmarkEnd w:id="0"/>
      <w:tr w:rsidR="00C07423" w:rsidRPr="0083040E" w:rsidTr="00C760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3040E">
              <w:rPr>
                <w:b/>
                <w:color w:val="000000"/>
                <w:sz w:val="24"/>
                <w:szCs w:val="24"/>
              </w:rPr>
              <w:t>SB(VB</w:t>
            </w:r>
            <w:r w:rsidRPr="00830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2.1.5. Valstybės biudžeto lėšos </w:t>
            </w:r>
            <w:r w:rsidRPr="0083040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2.2.1. Paskolos lėšos </w:t>
            </w:r>
            <w:r w:rsidRPr="0083040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40E">
              <w:rPr>
                <w:sz w:val="24"/>
                <w:szCs w:val="24"/>
              </w:rPr>
              <w:t xml:space="preserve">2.2.3. ES  paramos lėšos </w:t>
            </w:r>
            <w:r w:rsidRPr="0083040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83040E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</w:tbl>
    <w:p w:rsidR="00C56EB2" w:rsidRPr="001B68E9" w:rsidRDefault="00C56EB2" w:rsidP="00C56EB2">
      <w:pPr>
        <w:rPr>
          <w:sz w:val="22"/>
          <w:szCs w:val="22"/>
        </w:rPr>
      </w:pPr>
    </w:p>
    <w:p w:rsidR="00C56EB2" w:rsidRPr="001B68E9" w:rsidRDefault="00C56EB2" w:rsidP="00C56EB2">
      <w:pPr>
        <w:rPr>
          <w:sz w:val="22"/>
          <w:szCs w:val="22"/>
        </w:rPr>
      </w:pPr>
    </w:p>
    <w:p w:rsidR="00C56EB2" w:rsidRPr="00B55F34" w:rsidRDefault="00C56EB2" w:rsidP="00C56EB2"/>
    <w:p w:rsidR="00622E9C" w:rsidRPr="00B55F34" w:rsidRDefault="00622E9C" w:rsidP="00483A9C"/>
    <w:sectPr w:rsidR="00622E9C" w:rsidRPr="00B55F34" w:rsidSect="00675C57">
      <w:pgSz w:w="11906" w:h="16838" w:code="9"/>
      <w:pgMar w:top="1134" w:right="567" w:bottom="1077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C69E30BE"/>
    <w:lvl w:ilvl="0" w:tplc="9648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25D3C"/>
    <w:rsid w:val="000549C3"/>
    <w:rsid w:val="000715B2"/>
    <w:rsid w:val="00080164"/>
    <w:rsid w:val="000D0B6C"/>
    <w:rsid w:val="000D1A56"/>
    <w:rsid w:val="000E186F"/>
    <w:rsid w:val="001115F1"/>
    <w:rsid w:val="00127B20"/>
    <w:rsid w:val="00140D68"/>
    <w:rsid w:val="00144A5C"/>
    <w:rsid w:val="0016321E"/>
    <w:rsid w:val="00164682"/>
    <w:rsid w:val="00164D5F"/>
    <w:rsid w:val="001707C2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44CF3"/>
    <w:rsid w:val="00246767"/>
    <w:rsid w:val="002724AE"/>
    <w:rsid w:val="002A4ECF"/>
    <w:rsid w:val="002A766B"/>
    <w:rsid w:val="002B2EDA"/>
    <w:rsid w:val="002C1204"/>
    <w:rsid w:val="002E7BAC"/>
    <w:rsid w:val="003047F1"/>
    <w:rsid w:val="00306AB0"/>
    <w:rsid w:val="00351E5C"/>
    <w:rsid w:val="00391D0E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75C57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7FAC"/>
    <w:rsid w:val="0075350B"/>
    <w:rsid w:val="0077131C"/>
    <w:rsid w:val="00774DB5"/>
    <w:rsid w:val="007819E6"/>
    <w:rsid w:val="00783D66"/>
    <w:rsid w:val="007A00B5"/>
    <w:rsid w:val="00802D41"/>
    <w:rsid w:val="0080755F"/>
    <w:rsid w:val="0083040E"/>
    <w:rsid w:val="00840DFE"/>
    <w:rsid w:val="008530C9"/>
    <w:rsid w:val="0087338F"/>
    <w:rsid w:val="008901DD"/>
    <w:rsid w:val="0089077F"/>
    <w:rsid w:val="008A2DA4"/>
    <w:rsid w:val="008C0492"/>
    <w:rsid w:val="008E618B"/>
    <w:rsid w:val="008F7E5E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F277C"/>
    <w:rsid w:val="009F36C1"/>
    <w:rsid w:val="00A0358D"/>
    <w:rsid w:val="00A1663D"/>
    <w:rsid w:val="00A67DB6"/>
    <w:rsid w:val="00A74A70"/>
    <w:rsid w:val="00A77F2B"/>
    <w:rsid w:val="00AC08E0"/>
    <w:rsid w:val="00AC5223"/>
    <w:rsid w:val="00AD7B81"/>
    <w:rsid w:val="00AE4C46"/>
    <w:rsid w:val="00AF03AF"/>
    <w:rsid w:val="00AF7FE1"/>
    <w:rsid w:val="00B02C86"/>
    <w:rsid w:val="00B3036A"/>
    <w:rsid w:val="00B37D6A"/>
    <w:rsid w:val="00B40F09"/>
    <w:rsid w:val="00B55F34"/>
    <w:rsid w:val="00B57062"/>
    <w:rsid w:val="00B93FA2"/>
    <w:rsid w:val="00BC5093"/>
    <w:rsid w:val="00C03BBC"/>
    <w:rsid w:val="00C07423"/>
    <w:rsid w:val="00C21724"/>
    <w:rsid w:val="00C32D67"/>
    <w:rsid w:val="00C56EB2"/>
    <w:rsid w:val="00CB2728"/>
    <w:rsid w:val="00CC3C29"/>
    <w:rsid w:val="00CD2314"/>
    <w:rsid w:val="00CD2453"/>
    <w:rsid w:val="00CF09DA"/>
    <w:rsid w:val="00CF324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DF28E0"/>
    <w:rsid w:val="00E07690"/>
    <w:rsid w:val="00E12BA3"/>
    <w:rsid w:val="00E20F92"/>
    <w:rsid w:val="00E3740F"/>
    <w:rsid w:val="00E40ACD"/>
    <w:rsid w:val="00E4566C"/>
    <w:rsid w:val="00E61F5E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D5F"/>
    <w:rsid w:val="00F15062"/>
    <w:rsid w:val="00F17D7E"/>
    <w:rsid w:val="00F20F43"/>
    <w:rsid w:val="00F234DA"/>
    <w:rsid w:val="00F3185B"/>
    <w:rsid w:val="00F4196F"/>
    <w:rsid w:val="00F456B9"/>
    <w:rsid w:val="00F75F31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3F5319-9946-4F81-B06C-730FE013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3279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subject/>
  <dc:creator>Antanas</dc:creator>
  <cp:keywords/>
  <dc:description/>
  <cp:lastModifiedBy>Asta Puodžiūnienė</cp:lastModifiedBy>
  <cp:revision>7</cp:revision>
  <cp:lastPrinted>2015-01-26T11:59:00Z</cp:lastPrinted>
  <dcterms:created xsi:type="dcterms:W3CDTF">2016-09-12T11:15:00Z</dcterms:created>
  <dcterms:modified xsi:type="dcterms:W3CDTF">2016-09-13T08:50:00Z</dcterms:modified>
</cp:coreProperties>
</file>