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9.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0.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1.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2.xml" ContentType="application/vnd.openxmlformats-officedocument.drawingml.chart+xml"/>
  <Override PartName="/word/charts/chart13.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4.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5.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6.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7.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8.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9.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style17.xml" ContentType="application/vnd.ms-office.chartstyle+xml"/>
  <Override PartName="/word/charts/colors17.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69C" w:rsidRPr="009D143B" w:rsidRDefault="006E14D9">
      <w:pPr>
        <w:rPr>
          <w:b/>
        </w:rPr>
      </w:pPr>
      <w:r w:rsidRPr="009D143B">
        <w:rPr>
          <w:b/>
        </w:rPr>
        <w:t>PRIEDAS PRIE AIŠKINAMOJO RAŠTO</w:t>
      </w:r>
    </w:p>
    <w:p w:rsidR="00FC334F" w:rsidRPr="00B463E2" w:rsidRDefault="00FC334F" w:rsidP="00FC334F">
      <w:pPr>
        <w:jc w:val="both"/>
        <w:rPr>
          <w:b/>
          <w:color w:val="FF0000"/>
        </w:rPr>
      </w:pPr>
    </w:p>
    <w:p w:rsidR="00616E08" w:rsidRPr="00800C4F" w:rsidRDefault="00845C55" w:rsidP="00AA5C8D">
      <w:pPr>
        <w:spacing w:before="360" w:after="240"/>
        <w:ind w:firstLine="748"/>
        <w:jc w:val="both"/>
      </w:pPr>
      <w:r w:rsidRPr="00800C4F">
        <w:t xml:space="preserve">Sprendimo projektą sudaro </w:t>
      </w:r>
      <w:r w:rsidR="00253A3F" w:rsidRPr="00800C4F">
        <w:t xml:space="preserve">3 </w:t>
      </w:r>
      <w:r w:rsidRPr="00800C4F">
        <w:t>priedai</w:t>
      </w:r>
      <w:r w:rsidR="00616E08" w:rsidRPr="00800C4F">
        <w:t>: 1 priedas. Panevėžio miesto plėtros strateginio plano įgyvendinimo vizijos rodikliai; 2 priedas.</w:t>
      </w:r>
      <w:r w:rsidR="00B77DE8" w:rsidRPr="00800C4F">
        <w:t xml:space="preserve"> Panevėžio miesto plėtros strateginio plano įgyvendinimo prioritetų rodikliai;</w:t>
      </w:r>
      <w:r w:rsidR="00616E08" w:rsidRPr="00800C4F">
        <w:t xml:space="preserve"> 3 priedas. </w:t>
      </w:r>
      <w:r w:rsidR="00AA5C8D" w:rsidRPr="00800C4F">
        <w:t>Priemonių įgyvendinimo lygio rodikliai už 201</w:t>
      </w:r>
      <w:r w:rsidR="00800C4F" w:rsidRPr="00800C4F">
        <w:t>5</w:t>
      </w:r>
      <w:r w:rsidR="00AA5C8D" w:rsidRPr="00800C4F">
        <w:t xml:space="preserve"> m. </w:t>
      </w:r>
      <w:r w:rsidR="003A2581" w:rsidRPr="00800C4F">
        <w:t>(V</w:t>
      </w:r>
      <w:r w:rsidR="00AA5C8D" w:rsidRPr="00800C4F">
        <w:t>isi prioritetai).</w:t>
      </w:r>
    </w:p>
    <w:p w:rsidR="005D6099" w:rsidRPr="006E4197" w:rsidRDefault="00845C55" w:rsidP="005D6099">
      <w:pPr>
        <w:ind w:firstLine="748"/>
        <w:jc w:val="both"/>
        <w:rPr>
          <w:i/>
        </w:rPr>
      </w:pPr>
      <w:r w:rsidRPr="004A22A8">
        <w:t>20</w:t>
      </w:r>
      <w:r w:rsidR="00DA50A8" w:rsidRPr="004A22A8">
        <w:t>1</w:t>
      </w:r>
      <w:r w:rsidR="00800C4F" w:rsidRPr="004A22A8">
        <w:t>5</w:t>
      </w:r>
      <w:r w:rsidRPr="004A22A8">
        <w:t xml:space="preserve"> m. numatyta įgyvendinti </w:t>
      </w:r>
      <w:r w:rsidR="00800C4F" w:rsidRPr="004A22A8">
        <w:t>130</w:t>
      </w:r>
      <w:r w:rsidR="00AA5C8D" w:rsidRPr="004A22A8">
        <w:t xml:space="preserve"> </w:t>
      </w:r>
      <w:r w:rsidR="00FD4BC4" w:rsidRPr="004A22A8">
        <w:t>priemon</w:t>
      </w:r>
      <w:r w:rsidR="00800C4F" w:rsidRPr="004A22A8">
        <w:t>ių</w:t>
      </w:r>
      <w:r w:rsidRPr="004A22A8">
        <w:t>. Strateginio plano įgyvendinimas už 20</w:t>
      </w:r>
      <w:r w:rsidR="00FD4BC4" w:rsidRPr="004A22A8">
        <w:t>1</w:t>
      </w:r>
      <w:r w:rsidR="00800C4F" w:rsidRPr="004A22A8">
        <w:t xml:space="preserve">5 </w:t>
      </w:r>
      <w:r w:rsidRPr="004A22A8">
        <w:t xml:space="preserve">m. siekia </w:t>
      </w:r>
      <w:r w:rsidR="009D143B" w:rsidRPr="004A22A8">
        <w:t>8</w:t>
      </w:r>
      <w:r w:rsidR="00800C4F" w:rsidRPr="004A22A8">
        <w:t>2</w:t>
      </w:r>
      <w:r w:rsidRPr="004A22A8">
        <w:t xml:space="preserve"> proc., t.y. buvo vykdom</w:t>
      </w:r>
      <w:r w:rsidR="00710EBA" w:rsidRPr="004A22A8">
        <w:t>a</w:t>
      </w:r>
      <w:r w:rsidR="00AA5C8D" w:rsidRPr="004A22A8">
        <w:t xml:space="preserve"> </w:t>
      </w:r>
      <w:r w:rsidR="006870CF" w:rsidRPr="004A22A8">
        <w:t>arba iš dalies</w:t>
      </w:r>
      <w:r w:rsidR="00AA5C8D" w:rsidRPr="004A22A8">
        <w:t xml:space="preserve"> vykdoma</w:t>
      </w:r>
      <w:r w:rsidRPr="004A22A8">
        <w:t xml:space="preserve"> </w:t>
      </w:r>
      <w:r w:rsidR="009D143B" w:rsidRPr="004A22A8">
        <w:t>10</w:t>
      </w:r>
      <w:r w:rsidR="00080DEA">
        <w:t>7</w:t>
      </w:r>
      <w:r w:rsidRPr="004A22A8">
        <w:t>, nevykdoma</w:t>
      </w:r>
      <w:r w:rsidR="00CB2843" w:rsidRPr="004A22A8">
        <w:t xml:space="preserve"> </w:t>
      </w:r>
      <w:r w:rsidRPr="004A22A8">
        <w:t xml:space="preserve"> </w:t>
      </w:r>
      <w:r w:rsidR="00800C4F" w:rsidRPr="004A22A8">
        <w:t>2</w:t>
      </w:r>
      <w:r w:rsidR="00080DEA">
        <w:t>3</w:t>
      </w:r>
      <w:r w:rsidRPr="004A22A8">
        <w:t xml:space="preserve"> (</w:t>
      </w:r>
      <w:r w:rsidR="00800C4F" w:rsidRPr="004A22A8">
        <w:t>18</w:t>
      </w:r>
      <w:r w:rsidRPr="004A22A8">
        <w:t xml:space="preserve"> proc.) miesto plėtros strateginio plano priemonių (žr.1 diagramą). </w:t>
      </w:r>
      <w:r w:rsidR="00800C4F" w:rsidRPr="006E4197">
        <w:rPr>
          <w:i/>
        </w:rPr>
        <w:t>Įvertinus 2016 m. vasario mėnesio atliktą Strateginio plano</w:t>
      </w:r>
      <w:r w:rsidR="004A22A8" w:rsidRPr="006E4197">
        <w:rPr>
          <w:i/>
        </w:rPr>
        <w:t xml:space="preserve"> 2014-</w:t>
      </w:r>
      <w:r w:rsidR="00800C4F" w:rsidRPr="006E4197">
        <w:rPr>
          <w:i/>
        </w:rPr>
        <w:t>2020 metų korektūrą (</w:t>
      </w:r>
      <w:r w:rsidR="005D6099" w:rsidRPr="006E4197">
        <w:rPr>
          <w:i/>
        </w:rPr>
        <w:t>atsižvelgus į poreikių dinamiką, geopolitinę situaciją</w:t>
      </w:r>
      <w:r w:rsidR="004A22A8" w:rsidRPr="006E4197">
        <w:rPr>
          <w:i/>
        </w:rPr>
        <w:t>, priemonių aktualumą,</w:t>
      </w:r>
      <w:r w:rsidR="005D6099" w:rsidRPr="006E4197">
        <w:rPr>
          <w:i/>
        </w:rPr>
        <w:t xml:space="preserve"> pakoreguotas m</w:t>
      </w:r>
      <w:r w:rsidR="004A22A8" w:rsidRPr="006E4197">
        <w:rPr>
          <w:i/>
        </w:rPr>
        <w:t xml:space="preserve">iesto plėtros strateginis planas), Strateginio plano vykdymas už 2015 metus siektų apie </w:t>
      </w:r>
      <w:r w:rsidR="00A01F9B">
        <w:rPr>
          <w:i/>
        </w:rPr>
        <w:t>90</w:t>
      </w:r>
      <w:r w:rsidR="004A22A8" w:rsidRPr="006E4197">
        <w:rPr>
          <w:i/>
        </w:rPr>
        <w:t xml:space="preserve"> procent</w:t>
      </w:r>
      <w:r w:rsidR="00A01F9B">
        <w:rPr>
          <w:i/>
        </w:rPr>
        <w:t>ų</w:t>
      </w:r>
      <w:r w:rsidR="004A22A8" w:rsidRPr="006E4197">
        <w:rPr>
          <w:i/>
        </w:rPr>
        <w:t xml:space="preserve">. </w:t>
      </w:r>
    </w:p>
    <w:p w:rsidR="00CB2843" w:rsidRPr="00800C4F" w:rsidRDefault="00F17A52" w:rsidP="00845C55">
      <w:pPr>
        <w:ind w:firstLine="748"/>
        <w:jc w:val="both"/>
        <w:rPr>
          <w:color w:val="FF0000"/>
        </w:rPr>
      </w:pPr>
      <w:r w:rsidRPr="00800C4F">
        <w:rPr>
          <w:noProof/>
          <w:color w:val="FF0000"/>
        </w:rPr>
        <w:drawing>
          <wp:inline distT="0" distB="0" distL="0" distR="0">
            <wp:extent cx="4514850" cy="2695575"/>
            <wp:effectExtent l="0" t="0" r="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45C55" w:rsidRDefault="00845C55" w:rsidP="005251A3">
      <w:pPr>
        <w:tabs>
          <w:tab w:val="left" w:pos="748"/>
        </w:tabs>
        <w:jc w:val="both"/>
        <w:rPr>
          <w:noProof/>
        </w:rPr>
      </w:pPr>
      <w:r w:rsidRPr="00800C4F">
        <w:rPr>
          <w:b/>
          <w:noProof/>
          <w:color w:val="FF0000"/>
        </w:rPr>
        <w:tab/>
      </w:r>
      <w:r w:rsidRPr="00A637E4">
        <w:rPr>
          <w:noProof/>
        </w:rPr>
        <w:t>20</w:t>
      </w:r>
      <w:r w:rsidR="00FD4BC4" w:rsidRPr="00A637E4">
        <w:rPr>
          <w:noProof/>
        </w:rPr>
        <w:t>1</w:t>
      </w:r>
      <w:r w:rsidR="00665FFD" w:rsidRPr="00A637E4">
        <w:rPr>
          <w:noProof/>
        </w:rPr>
        <w:t>5</w:t>
      </w:r>
      <w:r w:rsidRPr="00A637E4">
        <w:rPr>
          <w:noProof/>
        </w:rPr>
        <w:t xml:space="preserve"> m.</w:t>
      </w:r>
      <w:r w:rsidR="00936D8B" w:rsidRPr="00A637E4">
        <w:rPr>
          <w:noProof/>
        </w:rPr>
        <w:t xml:space="preserve"> </w:t>
      </w:r>
      <w:r w:rsidRPr="00A637E4">
        <w:rPr>
          <w:noProof/>
        </w:rPr>
        <w:t xml:space="preserve">Panevėžio miesto plėtros strateginiam planui įgyvendinti </w:t>
      </w:r>
      <w:r w:rsidR="00EE29EC" w:rsidRPr="00A637E4">
        <w:rPr>
          <w:noProof/>
        </w:rPr>
        <w:t xml:space="preserve">buvo panaudota </w:t>
      </w:r>
      <w:r w:rsidR="00A637E4" w:rsidRPr="00A637E4">
        <w:rPr>
          <w:noProof/>
        </w:rPr>
        <w:t>14983,0</w:t>
      </w:r>
      <w:r w:rsidR="00EE29EC" w:rsidRPr="00A637E4">
        <w:rPr>
          <w:noProof/>
        </w:rPr>
        <w:t xml:space="preserve"> tūkst.</w:t>
      </w:r>
      <w:r w:rsidR="00EE4F7E">
        <w:rPr>
          <w:noProof/>
        </w:rPr>
        <w:t xml:space="preserve"> </w:t>
      </w:r>
      <w:r w:rsidR="007D5F06" w:rsidRPr="00A637E4">
        <w:rPr>
          <w:noProof/>
        </w:rPr>
        <w:t>EUR</w:t>
      </w:r>
      <w:r w:rsidR="00850707" w:rsidRPr="00A637E4">
        <w:rPr>
          <w:noProof/>
        </w:rPr>
        <w:t>.</w:t>
      </w:r>
      <w:r w:rsidR="00EE29EC" w:rsidRPr="00A637E4">
        <w:rPr>
          <w:noProof/>
        </w:rPr>
        <w:t xml:space="preserve"> Detalesnis </w:t>
      </w:r>
      <w:r w:rsidRPr="00A637E4">
        <w:rPr>
          <w:noProof/>
        </w:rPr>
        <w:t>lėšų pasiskirstymas parodytas 2 diagramoje.</w:t>
      </w:r>
    </w:p>
    <w:p w:rsidR="00A637E4" w:rsidRPr="00A637E4" w:rsidRDefault="00A637E4" w:rsidP="005251A3">
      <w:pPr>
        <w:tabs>
          <w:tab w:val="left" w:pos="748"/>
        </w:tabs>
        <w:jc w:val="both"/>
        <w:rPr>
          <w:noProof/>
        </w:rPr>
      </w:pPr>
    </w:p>
    <w:p w:rsidR="00845C55" w:rsidRPr="00A637E4" w:rsidRDefault="00A637E4" w:rsidP="00845C55">
      <w:pPr>
        <w:ind w:firstLine="748"/>
        <w:jc w:val="both"/>
      </w:pPr>
      <w:r>
        <w:rPr>
          <w:noProof/>
        </w:rPr>
        <w:drawing>
          <wp:inline distT="0" distB="0" distL="0" distR="0">
            <wp:extent cx="5486400" cy="2461260"/>
            <wp:effectExtent l="0" t="0" r="0" b="0"/>
            <wp:docPr id="13" name="Diagrama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27777" w:rsidRDefault="00B27777" w:rsidP="00845C55">
      <w:pPr>
        <w:ind w:firstLine="748"/>
        <w:jc w:val="both"/>
        <w:rPr>
          <w:noProof/>
          <w:color w:val="FF0000"/>
        </w:rPr>
      </w:pPr>
    </w:p>
    <w:p w:rsidR="009A0F96" w:rsidRDefault="009A0F96" w:rsidP="00845C55">
      <w:pPr>
        <w:ind w:firstLine="748"/>
        <w:jc w:val="both"/>
        <w:rPr>
          <w:noProof/>
          <w:color w:val="FF0000"/>
        </w:rPr>
      </w:pPr>
    </w:p>
    <w:p w:rsidR="009A0F96" w:rsidRDefault="009A0F96" w:rsidP="00845C55">
      <w:pPr>
        <w:ind w:firstLine="748"/>
        <w:jc w:val="both"/>
        <w:rPr>
          <w:noProof/>
          <w:color w:val="FF0000"/>
        </w:rPr>
      </w:pPr>
    </w:p>
    <w:p w:rsidR="009A0F96" w:rsidRDefault="009A0F96" w:rsidP="00845C55">
      <w:pPr>
        <w:ind w:firstLine="748"/>
        <w:jc w:val="both"/>
        <w:rPr>
          <w:noProof/>
          <w:color w:val="FF0000"/>
        </w:rPr>
      </w:pPr>
    </w:p>
    <w:p w:rsidR="009A0F96" w:rsidRPr="00800C4F" w:rsidRDefault="009A0F96" w:rsidP="00845C55">
      <w:pPr>
        <w:ind w:firstLine="748"/>
        <w:jc w:val="both"/>
        <w:rPr>
          <w:noProof/>
          <w:color w:val="FF0000"/>
        </w:rPr>
      </w:pPr>
    </w:p>
    <w:p w:rsidR="00845C55" w:rsidRPr="009A0F96" w:rsidRDefault="00700F2A" w:rsidP="00845C55">
      <w:pPr>
        <w:tabs>
          <w:tab w:val="left" w:pos="748"/>
        </w:tabs>
        <w:jc w:val="both"/>
      </w:pPr>
      <w:r w:rsidRPr="00800C4F">
        <w:rPr>
          <w:color w:val="FF0000"/>
        </w:rPr>
        <w:tab/>
      </w:r>
      <w:r w:rsidRPr="009A0F96">
        <w:t xml:space="preserve">Strateginiam planui įgyvendinti </w:t>
      </w:r>
      <w:r w:rsidR="00845C55" w:rsidRPr="009A0F96">
        <w:t xml:space="preserve"> </w:t>
      </w:r>
      <w:r w:rsidRPr="009A0F96">
        <w:t>lėšų pasiskirstymas pagal prioritetus pavaizduotas 3 diagramoje. I prioritetas „</w:t>
      </w:r>
      <w:r w:rsidR="006870CF" w:rsidRPr="009A0F96">
        <w:rPr>
          <w:i/>
        </w:rPr>
        <w:t>Panevėžio konkurencinio (</w:t>
      </w:r>
      <w:proofErr w:type="spellStart"/>
      <w:r w:rsidR="006870CF" w:rsidRPr="009A0F96">
        <w:rPr>
          <w:i/>
        </w:rPr>
        <w:t>metropolinio</w:t>
      </w:r>
      <w:proofErr w:type="spellEnd"/>
      <w:r w:rsidR="006870CF" w:rsidRPr="009A0F96">
        <w:rPr>
          <w:i/>
        </w:rPr>
        <w:t>) potencialo stiprinimas</w:t>
      </w:r>
      <w:r w:rsidRPr="009A0F96">
        <w:t xml:space="preserve">“ panaudota </w:t>
      </w:r>
      <w:r w:rsidR="009A0F96" w:rsidRPr="009A0F96">
        <w:t>2058,7</w:t>
      </w:r>
      <w:r w:rsidR="00C412C9" w:rsidRPr="009A0F96">
        <w:t xml:space="preserve"> tūkst. EUR)</w:t>
      </w:r>
      <w:r w:rsidRPr="009A0F96">
        <w:t>. II prioritetas</w:t>
      </w:r>
      <w:r w:rsidRPr="009A0F96">
        <w:rPr>
          <w:i/>
        </w:rPr>
        <w:t xml:space="preserve"> „</w:t>
      </w:r>
      <w:r w:rsidR="006870CF" w:rsidRPr="009A0F96">
        <w:rPr>
          <w:i/>
        </w:rPr>
        <w:t>Kokybiškų gyvenimo sąlygų ir aukštos socialinės gerovės kūrimas</w:t>
      </w:r>
      <w:r w:rsidRPr="009A0F96">
        <w:t xml:space="preserve">“ panaudota </w:t>
      </w:r>
      <w:r w:rsidR="009A0F96" w:rsidRPr="009A0F96">
        <w:t>7161,6</w:t>
      </w:r>
      <w:r w:rsidR="00C412C9" w:rsidRPr="009A0F96">
        <w:t xml:space="preserve"> tūkst. EUR</w:t>
      </w:r>
      <w:r w:rsidRPr="009A0F96">
        <w:t xml:space="preserve">. </w:t>
      </w:r>
      <w:smartTag w:uri="urn:schemas-microsoft-com:office:smarttags" w:element="stockticker">
        <w:r w:rsidRPr="009A0F96">
          <w:t>III</w:t>
        </w:r>
      </w:smartTag>
      <w:r w:rsidRPr="009A0F96">
        <w:t xml:space="preserve"> prioritetas</w:t>
      </w:r>
      <w:r w:rsidRPr="009A0F96">
        <w:rPr>
          <w:i/>
        </w:rPr>
        <w:t xml:space="preserve"> „</w:t>
      </w:r>
      <w:r w:rsidR="0076564F" w:rsidRPr="009A0F96">
        <w:rPr>
          <w:i/>
        </w:rPr>
        <w:t>Darni miesto teritorijų ir infrastruktūros plėtra</w:t>
      </w:r>
      <w:r w:rsidRPr="009A0F96">
        <w:rPr>
          <w:i/>
        </w:rPr>
        <w:t>“</w:t>
      </w:r>
      <w:r w:rsidRPr="009A0F96">
        <w:t xml:space="preserve"> panaudota </w:t>
      </w:r>
      <w:r w:rsidR="009A0F96" w:rsidRPr="009A0F96">
        <w:t>5762,7</w:t>
      </w:r>
      <w:r w:rsidR="00EE4F7E">
        <w:t xml:space="preserve"> </w:t>
      </w:r>
      <w:r w:rsidR="00C412C9" w:rsidRPr="009A0F96">
        <w:t>tūkst. EUR.</w:t>
      </w:r>
    </w:p>
    <w:p w:rsidR="009A0F96" w:rsidRDefault="00845C55" w:rsidP="00180A40">
      <w:pPr>
        <w:tabs>
          <w:tab w:val="left" w:pos="748"/>
        </w:tabs>
        <w:jc w:val="both"/>
        <w:rPr>
          <w:color w:val="FF0000"/>
        </w:rPr>
      </w:pPr>
      <w:r w:rsidRPr="00800C4F">
        <w:rPr>
          <w:color w:val="FF0000"/>
        </w:rPr>
        <w:lastRenderedPageBreak/>
        <w:tab/>
      </w:r>
      <w:r w:rsidR="00180A40" w:rsidRPr="00800C4F">
        <w:rPr>
          <w:color w:val="FF0000"/>
        </w:rPr>
        <w:tab/>
      </w:r>
    </w:p>
    <w:p w:rsidR="009A0F96" w:rsidRDefault="009A0F96" w:rsidP="00180A40">
      <w:pPr>
        <w:tabs>
          <w:tab w:val="left" w:pos="748"/>
        </w:tabs>
        <w:jc w:val="both"/>
        <w:rPr>
          <w:color w:val="FF0000"/>
        </w:rPr>
      </w:pPr>
      <w:r>
        <w:rPr>
          <w:noProof/>
          <w:color w:val="FF0000"/>
        </w:rPr>
        <w:drawing>
          <wp:inline distT="0" distB="0" distL="0" distR="0">
            <wp:extent cx="5676900" cy="2202180"/>
            <wp:effectExtent l="0" t="0" r="0" b="0"/>
            <wp:docPr id="15" name="Diagrama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00C44" w:rsidRDefault="00C00C44" w:rsidP="00180A40">
      <w:pPr>
        <w:tabs>
          <w:tab w:val="left" w:pos="748"/>
        </w:tabs>
        <w:jc w:val="both"/>
        <w:rPr>
          <w:b/>
          <w:noProof/>
          <w:color w:val="FF0000"/>
        </w:rPr>
      </w:pPr>
    </w:p>
    <w:p w:rsidR="00C00C44" w:rsidRDefault="00C00C44" w:rsidP="00180A40">
      <w:pPr>
        <w:tabs>
          <w:tab w:val="left" w:pos="748"/>
        </w:tabs>
        <w:jc w:val="both"/>
        <w:rPr>
          <w:b/>
          <w:noProof/>
          <w:color w:val="FF0000"/>
        </w:rPr>
      </w:pPr>
      <w:r>
        <w:rPr>
          <w:b/>
          <w:noProof/>
          <w:color w:val="FF0000"/>
        </w:rPr>
        <w:tab/>
      </w:r>
    </w:p>
    <w:p w:rsidR="00845C55" w:rsidRPr="00691AA0" w:rsidRDefault="00C00C44" w:rsidP="00180A40">
      <w:pPr>
        <w:tabs>
          <w:tab w:val="left" w:pos="748"/>
        </w:tabs>
        <w:jc w:val="both"/>
        <w:rPr>
          <w:noProof/>
        </w:rPr>
      </w:pPr>
      <w:r>
        <w:rPr>
          <w:b/>
          <w:noProof/>
          <w:color w:val="FF0000"/>
        </w:rPr>
        <w:tab/>
      </w:r>
      <w:r w:rsidR="00845C55" w:rsidRPr="00691AA0">
        <w:rPr>
          <w:b/>
          <w:noProof/>
        </w:rPr>
        <w:t>I prioritetas.</w:t>
      </w:r>
      <w:r w:rsidR="00F344BA" w:rsidRPr="00691AA0">
        <w:rPr>
          <w:i/>
        </w:rPr>
        <w:t xml:space="preserve"> Panevėžio konkurencinio (</w:t>
      </w:r>
      <w:proofErr w:type="spellStart"/>
      <w:r w:rsidR="00F344BA" w:rsidRPr="00691AA0">
        <w:rPr>
          <w:i/>
        </w:rPr>
        <w:t>metropolinio</w:t>
      </w:r>
      <w:proofErr w:type="spellEnd"/>
      <w:r w:rsidR="00F344BA" w:rsidRPr="00691AA0">
        <w:rPr>
          <w:i/>
        </w:rPr>
        <w:t>) potencialo stiprinimas</w:t>
      </w:r>
      <w:r w:rsidR="00180A40" w:rsidRPr="00691AA0">
        <w:t xml:space="preserve">. </w:t>
      </w:r>
      <w:r w:rsidR="00845C55" w:rsidRPr="00691AA0">
        <w:rPr>
          <w:noProof/>
        </w:rPr>
        <w:t>Strateginio plano I-o prioriteto priemonių vykdymas pavaizduotas 4 diagramoje.</w:t>
      </w:r>
    </w:p>
    <w:p w:rsidR="00845C55" w:rsidRPr="00800C4F" w:rsidRDefault="003E03D1" w:rsidP="00845C55">
      <w:pPr>
        <w:ind w:firstLine="748"/>
        <w:jc w:val="both"/>
        <w:rPr>
          <w:noProof/>
          <w:color w:val="FF0000"/>
        </w:rPr>
      </w:pPr>
      <w:r w:rsidRPr="00800C4F">
        <w:rPr>
          <w:noProof/>
          <w:color w:val="FF0000"/>
        </w:rPr>
        <w:drawing>
          <wp:inline distT="0" distB="0" distL="0" distR="0">
            <wp:extent cx="4676775" cy="2733675"/>
            <wp:effectExtent l="0" t="0" r="0" b="0"/>
            <wp:docPr id="4" name="Char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45C55" w:rsidRPr="005A3C6A" w:rsidRDefault="00845C55" w:rsidP="00845C55">
      <w:pPr>
        <w:ind w:firstLine="748"/>
        <w:jc w:val="both"/>
        <w:rPr>
          <w:noProof/>
        </w:rPr>
      </w:pPr>
      <w:r w:rsidRPr="00800C4F">
        <w:rPr>
          <w:noProof/>
          <w:color w:val="FF0000"/>
        </w:rPr>
        <w:t xml:space="preserve"> </w:t>
      </w:r>
      <w:r w:rsidRPr="005A3C6A">
        <w:rPr>
          <w:noProof/>
        </w:rPr>
        <w:t>I prioriteto neįgyvendintos priemonės per 20</w:t>
      </w:r>
      <w:r w:rsidR="00180A40" w:rsidRPr="005A3C6A">
        <w:rPr>
          <w:noProof/>
        </w:rPr>
        <w:t>1</w:t>
      </w:r>
      <w:r w:rsidR="00691AA0" w:rsidRPr="005A3C6A">
        <w:rPr>
          <w:noProof/>
        </w:rPr>
        <w:t>5</w:t>
      </w:r>
      <w:r w:rsidRPr="005A3C6A">
        <w:rPr>
          <w:noProof/>
        </w:rPr>
        <w:t xml:space="preserve"> m.:</w:t>
      </w:r>
    </w:p>
    <w:p w:rsidR="00026912" w:rsidRPr="00026912" w:rsidRDefault="00026912" w:rsidP="00FD1BB2">
      <w:pPr>
        <w:ind w:firstLine="720"/>
        <w:jc w:val="both"/>
      </w:pPr>
      <w:r w:rsidRPr="00026912">
        <w:t xml:space="preserve">1.1.3.3. Siekti bendradarbiavimo sutarties su Daugpilio verslo struktūromis sudarymo, vystant krovinių </w:t>
      </w:r>
      <w:r w:rsidRPr="00026912">
        <w:rPr>
          <w:noProof/>
        </w:rPr>
        <w:t xml:space="preserve">pervežimus </w:t>
      </w:r>
      <w:r w:rsidRPr="00026912">
        <w:t>trasa Panevėžys−Daugpilis− Rusija/Baltarusija.</w:t>
      </w:r>
    </w:p>
    <w:p w:rsidR="00026912" w:rsidRDefault="00026912" w:rsidP="00FD1BB2">
      <w:pPr>
        <w:ind w:firstLine="720"/>
        <w:jc w:val="both"/>
      </w:pPr>
      <w:r w:rsidRPr="00026912">
        <w:t>1.1.3.4. Ruošti viešojo logistikos centro koncepciją, formuotojų, investuotojų, operatorių ir naudotojų ratą.</w:t>
      </w:r>
    </w:p>
    <w:p w:rsidR="00026912" w:rsidRPr="00026912" w:rsidRDefault="00026912" w:rsidP="00FD1BB2">
      <w:pPr>
        <w:ind w:firstLine="720"/>
        <w:jc w:val="both"/>
      </w:pPr>
      <w:r w:rsidRPr="00026912">
        <w:t>Panevėžio miesto savivaldybės tarybos 2016-02-22 sprendimu Nr.1-41, atlikta Panevėžio miesto plėtros 2014-2020 metų strateginio plano korektūra ir 1.1.3.3.  ir 1.1.3.4. priemonės  išsibraukė. Atsirado nauja priemonė „Sudaryti sąlygas ir galimybes įrengti Panevėžio geležinkelio krovinių regioninį terminalą (logistiko</w:t>
      </w:r>
      <w:r>
        <w:t>s centrą) prie „</w:t>
      </w:r>
      <w:proofErr w:type="spellStart"/>
      <w:r>
        <w:t>Rail</w:t>
      </w:r>
      <w:proofErr w:type="spellEnd"/>
      <w:r>
        <w:t xml:space="preserve"> </w:t>
      </w:r>
      <w:proofErr w:type="spellStart"/>
      <w:r>
        <w:t>Baltica</w:t>
      </w:r>
      <w:proofErr w:type="spellEnd"/>
      <w:r>
        <w:t>“ vė</w:t>
      </w:r>
      <w:r w:rsidRPr="00026912">
        <w:t>žės bei atlikti reikiamus lobistinius veiksmus aktualiems klausimams spręsti"</w:t>
      </w:r>
      <w:r>
        <w:t xml:space="preserve">. </w:t>
      </w:r>
    </w:p>
    <w:p w:rsidR="00FD1BB2" w:rsidRPr="00224F66" w:rsidRDefault="00FD1BB2" w:rsidP="00FD1BB2">
      <w:pPr>
        <w:ind w:firstLine="720"/>
        <w:jc w:val="both"/>
      </w:pPr>
      <w:r w:rsidRPr="00224F66">
        <w:t>1.1.3.6. Dalyvauti ES kaimynystės politikos realizavimo priemonėse, užmezgant darbinius santykius su Rusijos ir Baltarusijos regionais, transporto bei logistikos institucijomis.</w:t>
      </w:r>
    </w:p>
    <w:p w:rsidR="00224F66" w:rsidRPr="00224F66" w:rsidRDefault="00224F66" w:rsidP="00FD1BB2">
      <w:pPr>
        <w:ind w:firstLine="720"/>
        <w:jc w:val="both"/>
      </w:pPr>
      <w:r w:rsidRPr="00224F66">
        <w:t>2015 m. nedalyvauta tokio lygio susitikimuose. Panevėžio miesto savivaldybės tarybos 2016-02-22 sprendimu Nr.1-41 atlikta Panevėžio miesto plėtros 2014-2020 metų strateginio plano korektūra ir priemonė išbraukta (pasikeitus geopolitinei situacijai).</w:t>
      </w:r>
    </w:p>
    <w:p w:rsidR="00026912" w:rsidRPr="00224F66" w:rsidRDefault="00026912" w:rsidP="00FD1BB2">
      <w:pPr>
        <w:ind w:firstLine="720"/>
        <w:jc w:val="both"/>
      </w:pPr>
      <w:r w:rsidRPr="00224F66">
        <w:t xml:space="preserve">1.1.3.7. Dalyvauti EWTC </w:t>
      </w:r>
      <w:r w:rsidRPr="00224F66">
        <w:rPr>
          <w:noProof/>
        </w:rPr>
        <w:t>(East−West Transport Corridor)</w:t>
      </w:r>
      <w:r w:rsidRPr="00224F66">
        <w:t xml:space="preserve"> asociacijos veikloje.</w:t>
      </w:r>
    </w:p>
    <w:p w:rsidR="00026912" w:rsidRPr="00224F66" w:rsidRDefault="00224F66" w:rsidP="00FD1BB2">
      <w:pPr>
        <w:ind w:firstLine="720"/>
        <w:jc w:val="both"/>
      </w:pPr>
      <w:r w:rsidRPr="00224F66">
        <w:t xml:space="preserve">2014- 2015 m. EWTC </w:t>
      </w:r>
      <w:r w:rsidRPr="00224F66">
        <w:rPr>
          <w:noProof/>
        </w:rPr>
        <w:t>(East−West Transport Corridor)</w:t>
      </w:r>
      <w:r w:rsidRPr="00224F66">
        <w:t xml:space="preserve"> asociacijos veikloje nedalyvauta, nes nebuvo skirtas finansavimas. Panevėžio miesto savivaldybės tarybos 2016-02-22 sprendimu Nr.1-41 atlikta Panevėžio miesto plėtros 2014-2020 metų strateginio plano korektūra ir priemonė išbraukta.</w:t>
      </w:r>
    </w:p>
    <w:p w:rsidR="00FD1BB2" w:rsidRPr="00FC57A6" w:rsidRDefault="00FD1BB2" w:rsidP="00FD1BB2">
      <w:pPr>
        <w:ind w:firstLine="720"/>
        <w:jc w:val="both"/>
      </w:pPr>
      <w:r w:rsidRPr="00FC57A6">
        <w:lastRenderedPageBreak/>
        <w:t>1.2.1.1. Parengti Panevėžio ir Šiaulių miestų (kaip tikslinio regiono) bendradarbiavimo programą.</w:t>
      </w:r>
    </w:p>
    <w:p w:rsidR="00FD1BB2" w:rsidRPr="00FC57A6" w:rsidRDefault="00FD1BB2" w:rsidP="00FD1BB2">
      <w:pPr>
        <w:ind w:firstLine="720"/>
        <w:jc w:val="both"/>
      </w:pPr>
      <w:r w:rsidRPr="00FC57A6">
        <w:t>1.2.1.2. Parengti Panevėžio miesto ir Panevėžio rajono savivaldybės bendradarbiavimo gaires.</w:t>
      </w:r>
    </w:p>
    <w:p w:rsidR="00FD1BB2" w:rsidRPr="00FC57A6" w:rsidRDefault="00FD1BB2" w:rsidP="00FD1BB2">
      <w:pPr>
        <w:ind w:firstLine="720"/>
        <w:jc w:val="both"/>
        <w:rPr>
          <w:noProof/>
        </w:rPr>
      </w:pPr>
      <w:r w:rsidRPr="00FC57A6">
        <w:t xml:space="preserve">1.2.1.3. Parengti Panevėžio miesto, regiono ir kitų Panevėžio </w:t>
      </w:r>
      <w:r w:rsidRPr="00FC57A6">
        <w:rPr>
          <w:noProof/>
        </w:rPr>
        <w:t>metropolinės zonos savivaldybių bendradarbiavimo gaires.</w:t>
      </w:r>
    </w:p>
    <w:p w:rsidR="00FC57A6" w:rsidRDefault="00FC57A6" w:rsidP="00FD1BB2">
      <w:pPr>
        <w:ind w:firstLine="720"/>
        <w:jc w:val="both"/>
      </w:pPr>
      <w:r w:rsidRPr="00FC57A6">
        <w:rPr>
          <w:noProof/>
        </w:rPr>
        <w:t xml:space="preserve">Dėl tolimesnių veiksmų nėra priimto konkretaus politinio sprendimo. Panevėžio miesto savivaldybės tarybos 2016-02-22 sprendimu Nr.1-41 atlikta Panevėžio miesto plėtros 2014-2020 metų strateginio plano korektūra ir priemonės </w:t>
      </w:r>
      <w:r>
        <w:rPr>
          <w:noProof/>
        </w:rPr>
        <w:t xml:space="preserve">1.2.1.1, 1.2.1.2, 1.2.1.3 </w:t>
      </w:r>
      <w:r w:rsidRPr="00FC57A6">
        <w:rPr>
          <w:noProof/>
        </w:rPr>
        <w:t>pakoreguotos „Parengti Panevėžio miesto, regiono ir kitų Panevėžio metropolinės</w:t>
      </w:r>
      <w:r w:rsidRPr="00FC57A6">
        <w:t xml:space="preserve"> zonos savivaldybių bendradarbiavimo gaires"</w:t>
      </w:r>
      <w:r>
        <w:t>.</w:t>
      </w:r>
    </w:p>
    <w:p w:rsidR="00E700F8" w:rsidRDefault="00E700F8" w:rsidP="00FD1BB2">
      <w:pPr>
        <w:ind w:firstLine="720"/>
        <w:jc w:val="both"/>
      </w:pPr>
      <w:r>
        <w:t xml:space="preserve">1.2.2.1. </w:t>
      </w:r>
      <w:r w:rsidRPr="00E700F8">
        <w:t>Parengti verslo plėtros iki 2020 m. programą</w:t>
      </w:r>
      <w:r>
        <w:t>.</w:t>
      </w:r>
    </w:p>
    <w:p w:rsidR="00E700F8" w:rsidRPr="00FC57A6" w:rsidRDefault="00E700F8" w:rsidP="00FD1BB2">
      <w:pPr>
        <w:ind w:firstLine="720"/>
        <w:jc w:val="both"/>
      </w:pPr>
      <w:r w:rsidRPr="00E700F8">
        <w:t>2015 m. neskirta Savivaldybės biudžeto lėšų verslo plėtros programai parengti</w:t>
      </w:r>
      <w:r>
        <w:t xml:space="preserve">. </w:t>
      </w:r>
    </w:p>
    <w:p w:rsidR="00FD1BB2" w:rsidRPr="00E700F8" w:rsidRDefault="00FD1BB2" w:rsidP="00FD1BB2">
      <w:pPr>
        <w:ind w:firstLine="720"/>
        <w:jc w:val="both"/>
      </w:pPr>
      <w:r w:rsidRPr="00E700F8">
        <w:t xml:space="preserve">1.2.3.1. Parengti studiją dėl </w:t>
      </w:r>
      <w:r w:rsidRPr="00E700F8">
        <w:rPr>
          <w:noProof/>
        </w:rPr>
        <w:t>Pajuosčio</w:t>
      </w:r>
      <w:r w:rsidRPr="00E700F8">
        <w:t xml:space="preserve"> teritorijos panaudojimo verslo ir sportinio turizmo reikmėms. </w:t>
      </w:r>
    </w:p>
    <w:p w:rsidR="00E700F8" w:rsidRPr="00E700F8" w:rsidRDefault="00E700F8" w:rsidP="00FD1BB2">
      <w:pPr>
        <w:ind w:firstLine="720"/>
        <w:jc w:val="both"/>
      </w:pPr>
      <w:r w:rsidRPr="00E700F8">
        <w:rPr>
          <w:noProof/>
        </w:rPr>
        <w:t>Pajuosčio</w:t>
      </w:r>
      <w:r w:rsidRPr="00E700F8">
        <w:t xml:space="preserve"> žemė priklauso Panevėžio raj</w:t>
      </w:r>
      <w:r w:rsidR="00EE4F7E">
        <w:t>ono</w:t>
      </w:r>
      <w:r w:rsidRPr="00E700F8">
        <w:t xml:space="preserve"> savivaldybei. Nėra priimto konkretaus politinio sprendimo dėl žemės panaudojimo ar perėmimo ir tolimesnių veiksmų. Panevėžio miesto savivaldybės tarybos 2016-02-22 sprendimu Nr.1-41 atlikta Panevėžio miesto plėtros 2014-2020 metų strateginio plano korektūra ir priemonė išbraukta.</w:t>
      </w:r>
    </w:p>
    <w:p w:rsidR="00734571" w:rsidRDefault="00FD1BB2" w:rsidP="00FD1BB2">
      <w:pPr>
        <w:ind w:firstLine="720"/>
        <w:jc w:val="both"/>
      </w:pPr>
      <w:r w:rsidRPr="000B73AC">
        <w:t>1.2.</w:t>
      </w:r>
      <w:r w:rsidR="00276AAB">
        <w:t>3</w:t>
      </w:r>
      <w:r w:rsidRPr="000B73AC">
        <w:t>.</w:t>
      </w:r>
      <w:r w:rsidR="00276AAB">
        <w:t>5</w:t>
      </w:r>
      <w:r w:rsidRPr="000B73AC">
        <w:t xml:space="preserve">. </w:t>
      </w:r>
      <w:r w:rsidR="00734571" w:rsidRPr="00734571">
        <w:t>Įrengti požeminę automobilių stovėjimo aikštelę A. Jakšto gatvėje ir kitas antžemines automobilių stovėjimo aikšteles Panevėžio mieste ir jas prižiūrėti</w:t>
      </w:r>
      <w:r w:rsidR="00734571">
        <w:t>.</w:t>
      </w:r>
    </w:p>
    <w:p w:rsidR="00FD1BB2" w:rsidRPr="000B73AC" w:rsidRDefault="00734571" w:rsidP="00FD1BB2">
      <w:pPr>
        <w:ind w:firstLine="720"/>
        <w:jc w:val="both"/>
      </w:pPr>
      <w:r w:rsidRPr="00734571">
        <w:t xml:space="preserve">Panevėžio miesto savivaldybės tarybos 2016-02-22 sprendimu Nr.1-41 atlikta Panevėžio miesto plėtros 2014-2020 metų strateginio plano korektūra ir  priemonė pakoreguota „Įrengti automobilių stovėjimo aikšteles ". </w:t>
      </w:r>
    </w:p>
    <w:p w:rsidR="003B3532" w:rsidRPr="00800C4F" w:rsidRDefault="003B3532" w:rsidP="00845C55">
      <w:pPr>
        <w:ind w:firstLine="748"/>
        <w:jc w:val="both"/>
        <w:rPr>
          <w:noProof/>
          <w:color w:val="FF0000"/>
        </w:rPr>
      </w:pPr>
    </w:p>
    <w:p w:rsidR="00E31BA3" w:rsidRPr="00500EEB" w:rsidRDefault="008F6506" w:rsidP="00845C55">
      <w:pPr>
        <w:ind w:firstLine="748"/>
        <w:jc w:val="both"/>
      </w:pPr>
      <w:r w:rsidRPr="00500EEB">
        <w:rPr>
          <w:noProof/>
        </w:rPr>
        <w:t>I Prioritet</w:t>
      </w:r>
      <w:r w:rsidR="00BD0A9A" w:rsidRPr="00500EEB">
        <w:rPr>
          <w:noProof/>
        </w:rPr>
        <w:t>e nurodytos priemonės</w:t>
      </w:r>
      <w:r w:rsidRPr="00500EEB">
        <w:rPr>
          <w:noProof/>
        </w:rPr>
        <w:t xml:space="preserve"> apima </w:t>
      </w:r>
      <w:r w:rsidR="00E31BA3" w:rsidRPr="00500EEB">
        <w:t>palanki</w:t>
      </w:r>
      <w:r w:rsidR="00544F6A" w:rsidRPr="00500EEB">
        <w:t>os</w:t>
      </w:r>
      <w:r w:rsidR="00E31BA3" w:rsidRPr="00500EEB">
        <w:t xml:space="preserve"> investicijoms ir bendradarbiavimui aplinkos sudarymą, darbo vietų kūrimą ir užimtumo didinimą</w:t>
      </w:r>
      <w:r w:rsidR="00831E03" w:rsidRPr="00500EEB">
        <w:t>.</w:t>
      </w:r>
    </w:p>
    <w:p w:rsidR="00E31BA3" w:rsidRPr="00500EEB" w:rsidRDefault="00E31BA3" w:rsidP="00845C55">
      <w:pPr>
        <w:ind w:firstLine="748"/>
        <w:jc w:val="both"/>
        <w:rPr>
          <w:noProof/>
        </w:rPr>
      </w:pPr>
    </w:p>
    <w:p w:rsidR="00942ED9" w:rsidRPr="00500EEB" w:rsidRDefault="00F8757C" w:rsidP="003D57F9">
      <w:pPr>
        <w:ind w:firstLine="748"/>
        <w:jc w:val="both"/>
        <w:rPr>
          <w:noProof/>
        </w:rPr>
      </w:pPr>
      <w:r w:rsidRPr="00500EEB">
        <w:rPr>
          <w:noProof/>
        </w:rPr>
        <w:t xml:space="preserve">Pagal bendrąjį vidaus produktą, tenkantį vienam gyventojui, Panevėžio apskritis užima </w:t>
      </w:r>
      <w:r w:rsidR="00F0782E" w:rsidRPr="00500EEB">
        <w:rPr>
          <w:noProof/>
        </w:rPr>
        <w:t>5</w:t>
      </w:r>
      <w:r w:rsidRPr="00500EEB">
        <w:rPr>
          <w:noProof/>
        </w:rPr>
        <w:t xml:space="preserve">-ąją vietą </w:t>
      </w:r>
      <w:r w:rsidR="00D0777F" w:rsidRPr="00500EEB">
        <w:rPr>
          <w:noProof/>
        </w:rPr>
        <w:t>(iš penkių didžiųjų Lietuvos  miestų)</w:t>
      </w:r>
      <w:r w:rsidR="003D57F9" w:rsidRPr="00500EEB">
        <w:rPr>
          <w:noProof/>
        </w:rPr>
        <w:t>, tačiau pagal šį rodiklį</w:t>
      </w:r>
      <w:r w:rsidR="00544F6A" w:rsidRPr="00500EEB">
        <w:rPr>
          <w:noProof/>
        </w:rPr>
        <w:t>,</w:t>
      </w:r>
      <w:r w:rsidR="00D0777F" w:rsidRPr="00500EEB">
        <w:rPr>
          <w:noProof/>
        </w:rPr>
        <w:t xml:space="preserve"> </w:t>
      </w:r>
      <w:r w:rsidR="003D57F9" w:rsidRPr="00500EEB">
        <w:rPr>
          <w:noProof/>
        </w:rPr>
        <w:t xml:space="preserve"> </w:t>
      </w:r>
      <w:r w:rsidR="003D57F9" w:rsidRPr="00500EEB">
        <w:t>Panevėžio apskritis tesiekia apie 7</w:t>
      </w:r>
      <w:r w:rsidR="00403FC2" w:rsidRPr="00500EEB">
        <w:t>4</w:t>
      </w:r>
      <w:r w:rsidR="003D57F9" w:rsidRPr="00500EEB">
        <w:t xml:space="preserve"> % šalies lygio ir nusileidžia mažesn</w:t>
      </w:r>
      <w:r w:rsidR="00F0782E" w:rsidRPr="00500EEB">
        <w:t>ei</w:t>
      </w:r>
      <w:r w:rsidR="003D57F9" w:rsidRPr="00500EEB">
        <w:t xml:space="preserve"> </w:t>
      </w:r>
      <w:r w:rsidR="00544F6A" w:rsidRPr="00500EEB">
        <w:t xml:space="preserve">- </w:t>
      </w:r>
      <w:r w:rsidR="00A34283" w:rsidRPr="00500EEB">
        <w:t>Telšių</w:t>
      </w:r>
      <w:r w:rsidR="00F0782E" w:rsidRPr="00500EEB">
        <w:t xml:space="preserve"> apskričiai</w:t>
      </w:r>
      <w:r w:rsidR="003D57F9" w:rsidRPr="00500EEB">
        <w:t xml:space="preserve">  </w:t>
      </w:r>
      <w:r w:rsidR="00942ED9" w:rsidRPr="00500EEB">
        <w:rPr>
          <w:noProof/>
        </w:rPr>
        <w:t>(5 diagrama)</w:t>
      </w:r>
      <w:r w:rsidRPr="00500EEB">
        <w:rPr>
          <w:noProof/>
        </w:rPr>
        <w:t>.</w:t>
      </w:r>
      <w:r w:rsidR="001232DD" w:rsidRPr="00500EEB">
        <w:rPr>
          <w:noProof/>
        </w:rPr>
        <w:t xml:space="preserve"> </w:t>
      </w:r>
    </w:p>
    <w:p w:rsidR="003D57F9" w:rsidRPr="00500EEB" w:rsidRDefault="003D57F9" w:rsidP="00845C55">
      <w:pPr>
        <w:ind w:firstLine="748"/>
        <w:jc w:val="both"/>
        <w:rPr>
          <w:noProof/>
        </w:rPr>
      </w:pPr>
    </w:p>
    <w:p w:rsidR="00942ED9" w:rsidRPr="00500EEB" w:rsidRDefault="00942ED9" w:rsidP="00845C55">
      <w:pPr>
        <w:ind w:firstLine="748"/>
        <w:jc w:val="both"/>
        <w:rPr>
          <w:noProof/>
        </w:rPr>
      </w:pPr>
      <w:r w:rsidRPr="00500EEB">
        <w:rPr>
          <w:noProof/>
        </w:rPr>
        <w:t>5.</w:t>
      </w:r>
      <w:r w:rsidR="003A024E" w:rsidRPr="00500EEB">
        <w:rPr>
          <w:noProof/>
        </w:rPr>
        <w:t xml:space="preserve"> </w:t>
      </w:r>
      <w:r w:rsidRPr="00500EEB">
        <w:rPr>
          <w:noProof/>
        </w:rPr>
        <w:t>diagrama. Bendrasis vidaus produktas, tenkantis 1-am gyventojui</w:t>
      </w:r>
      <w:r w:rsidR="001232DD" w:rsidRPr="00500EEB">
        <w:rPr>
          <w:noProof/>
        </w:rPr>
        <w:t xml:space="preserve"> Panevėžio apskrityje</w:t>
      </w:r>
      <w:r w:rsidR="00853117" w:rsidRPr="00500EEB">
        <w:rPr>
          <w:noProof/>
        </w:rPr>
        <w:t xml:space="preserve"> (</w:t>
      </w:r>
      <w:r w:rsidR="00403FC2" w:rsidRPr="00500EEB">
        <w:rPr>
          <w:noProof/>
        </w:rPr>
        <w:t>tūkst.EUR</w:t>
      </w:r>
      <w:r w:rsidR="00853117" w:rsidRPr="00500EEB">
        <w:rPr>
          <w:noProof/>
        </w:rPr>
        <w:t>)</w:t>
      </w:r>
      <w:r w:rsidR="001232DD" w:rsidRPr="00500EEB">
        <w:rPr>
          <w:noProof/>
        </w:rPr>
        <w:t>.</w:t>
      </w:r>
    </w:p>
    <w:p w:rsidR="00500EEB" w:rsidRDefault="00500EEB" w:rsidP="00845C55">
      <w:pPr>
        <w:ind w:firstLine="748"/>
        <w:jc w:val="both"/>
        <w:rPr>
          <w:noProof/>
          <w:color w:val="FF0000"/>
        </w:rPr>
      </w:pPr>
      <w:r>
        <w:rPr>
          <w:noProof/>
          <w:color w:val="FF0000"/>
        </w:rPr>
        <w:drawing>
          <wp:inline distT="0" distB="0" distL="0" distR="0">
            <wp:extent cx="5486400" cy="2247900"/>
            <wp:effectExtent l="0" t="0" r="0" b="0"/>
            <wp:docPr id="14" name="Diagrama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00EEB" w:rsidRPr="00800C4F" w:rsidRDefault="00500EEB" w:rsidP="00845C55">
      <w:pPr>
        <w:ind w:firstLine="748"/>
        <w:jc w:val="both"/>
        <w:rPr>
          <w:noProof/>
          <w:color w:val="FF0000"/>
        </w:rPr>
      </w:pPr>
    </w:p>
    <w:p w:rsidR="00F8757C" w:rsidRPr="00800C4F" w:rsidRDefault="00F8757C" w:rsidP="00845C55">
      <w:pPr>
        <w:ind w:firstLine="748"/>
        <w:jc w:val="both"/>
        <w:rPr>
          <w:noProof/>
          <w:color w:val="FF0000"/>
        </w:rPr>
      </w:pPr>
    </w:p>
    <w:p w:rsidR="00845C55" w:rsidRPr="00F34BF5" w:rsidRDefault="00E63F59" w:rsidP="00845C55">
      <w:pPr>
        <w:ind w:firstLine="748"/>
        <w:jc w:val="both"/>
        <w:rPr>
          <w:noProof/>
        </w:rPr>
      </w:pPr>
      <w:r w:rsidRPr="00360C47">
        <w:t xml:space="preserve">Vienas svarbiausių konkurencingumo rodiklių yra pritraukiamos tiesioginės užsienio investicijos (toliau – </w:t>
      </w:r>
      <w:smartTag w:uri="urn:schemas-microsoft-com:office:smarttags" w:element="stockticker">
        <w:r w:rsidRPr="00360C47">
          <w:t>TUI</w:t>
        </w:r>
      </w:smartTag>
      <w:r w:rsidR="009807B7" w:rsidRPr="00360C47">
        <w:t xml:space="preserve">) šalyje, nes </w:t>
      </w:r>
      <w:smartTag w:uri="urn:schemas-microsoft-com:office:smarttags" w:element="stockticker">
        <w:r w:rsidR="009807B7" w:rsidRPr="00360C47">
          <w:t>TUI</w:t>
        </w:r>
      </w:smartTag>
      <w:r w:rsidR="009807B7" w:rsidRPr="00360C47">
        <w:t xml:space="preserve"> – labai svarbi ekonomikos augimo prielaida. Statistikos departamento duomenimis </w:t>
      </w:r>
      <w:r w:rsidR="0011554D" w:rsidRPr="00360C47">
        <w:t>Panevėžyje</w:t>
      </w:r>
      <w:r w:rsidR="009807B7" w:rsidRPr="00360C47">
        <w:t xml:space="preserve"> 20</w:t>
      </w:r>
      <w:r w:rsidR="0011554D" w:rsidRPr="00360C47">
        <w:t>1</w:t>
      </w:r>
      <w:r w:rsidR="00360C47" w:rsidRPr="00360C47">
        <w:t>4</w:t>
      </w:r>
      <w:r w:rsidR="009807B7" w:rsidRPr="00360C47">
        <w:t xml:space="preserve"> m. buvo sukaupta</w:t>
      </w:r>
      <w:r w:rsidR="009807B7" w:rsidRPr="00800C4F">
        <w:rPr>
          <w:color w:val="FF0000"/>
        </w:rPr>
        <w:t xml:space="preserve"> </w:t>
      </w:r>
      <w:r w:rsidR="00360C47" w:rsidRPr="004A14F1">
        <w:t>236,6</w:t>
      </w:r>
      <w:r w:rsidR="00C22151" w:rsidRPr="004A14F1">
        <w:t xml:space="preserve"> </w:t>
      </w:r>
      <w:r w:rsidR="0011554D" w:rsidRPr="004A14F1">
        <w:t>mln.</w:t>
      </w:r>
      <w:r w:rsidR="009807B7" w:rsidRPr="004A14F1">
        <w:t xml:space="preserve"> </w:t>
      </w:r>
      <w:r w:rsidR="00A537A9" w:rsidRPr="004A14F1">
        <w:t>EUR</w:t>
      </w:r>
      <w:r w:rsidR="009807B7" w:rsidRPr="004A14F1">
        <w:t xml:space="preserve"> </w:t>
      </w:r>
      <w:smartTag w:uri="urn:schemas-microsoft-com:office:smarttags" w:element="stockticker">
        <w:r w:rsidR="009807B7" w:rsidRPr="004A14F1">
          <w:t>TUI</w:t>
        </w:r>
      </w:smartTag>
      <w:r w:rsidR="009807B7" w:rsidRPr="004A14F1">
        <w:t xml:space="preserve">, tai sudaro </w:t>
      </w:r>
      <w:r w:rsidR="0035744B" w:rsidRPr="004A14F1">
        <w:t>apie 2</w:t>
      </w:r>
      <w:r w:rsidR="009807B7" w:rsidRPr="004A14F1">
        <w:t xml:space="preserve"> % šalies </w:t>
      </w:r>
      <w:smartTag w:uri="urn:schemas-microsoft-com:office:smarttags" w:element="stockticker">
        <w:r w:rsidR="009807B7" w:rsidRPr="004A14F1">
          <w:t>TUI</w:t>
        </w:r>
      </w:smartTag>
      <w:r w:rsidR="009807B7" w:rsidRPr="004A14F1">
        <w:t xml:space="preserve">. </w:t>
      </w:r>
      <w:r w:rsidR="00845C55" w:rsidRPr="004A14F1">
        <w:rPr>
          <w:noProof/>
        </w:rPr>
        <w:t xml:space="preserve"> Pagal </w:t>
      </w:r>
      <w:smartTag w:uri="urn:schemas-microsoft-com:office:smarttags" w:element="stockticker">
        <w:r w:rsidR="00845C55" w:rsidRPr="004A14F1">
          <w:rPr>
            <w:noProof/>
          </w:rPr>
          <w:t>TUI</w:t>
        </w:r>
      </w:smartTag>
      <w:r w:rsidR="00845C55" w:rsidRPr="004A14F1">
        <w:rPr>
          <w:noProof/>
        </w:rPr>
        <w:t xml:space="preserve"> tenkančias vienam gyventojui iš penkių didžiųjų </w:t>
      </w:r>
      <w:r w:rsidR="00845C55" w:rsidRPr="004A14F1">
        <w:rPr>
          <w:noProof/>
        </w:rPr>
        <w:lastRenderedPageBreak/>
        <w:t>Lietuvos miestų Panevėžys užima 4-ą vietą</w:t>
      </w:r>
      <w:r w:rsidR="00F34BF5">
        <w:rPr>
          <w:noProof/>
        </w:rPr>
        <w:t xml:space="preserve"> – (2486 EUR)</w:t>
      </w:r>
      <w:r w:rsidR="00845C55" w:rsidRPr="004A14F1">
        <w:rPr>
          <w:noProof/>
        </w:rPr>
        <w:t xml:space="preserve">, tačiau jos </w:t>
      </w:r>
      <w:r w:rsidR="00DE5705" w:rsidRPr="004A14F1">
        <w:rPr>
          <w:noProof/>
        </w:rPr>
        <w:t>beveik du kartus mažesnės</w:t>
      </w:r>
      <w:r w:rsidR="00DE5705" w:rsidRPr="00800C4F">
        <w:rPr>
          <w:noProof/>
          <w:color w:val="FF0000"/>
        </w:rPr>
        <w:t xml:space="preserve"> </w:t>
      </w:r>
      <w:r w:rsidR="00DE5705" w:rsidRPr="00F34BF5">
        <w:rPr>
          <w:noProof/>
        </w:rPr>
        <w:t xml:space="preserve">nei </w:t>
      </w:r>
      <w:r w:rsidR="00845C55" w:rsidRPr="00F34BF5">
        <w:rPr>
          <w:noProof/>
        </w:rPr>
        <w:t>Lietuvos Respublikos vidurki</w:t>
      </w:r>
      <w:r w:rsidR="00DE5705" w:rsidRPr="00F34BF5">
        <w:rPr>
          <w:noProof/>
        </w:rPr>
        <w:t xml:space="preserve">s </w:t>
      </w:r>
      <w:r w:rsidR="00474C90" w:rsidRPr="00F34BF5">
        <w:rPr>
          <w:noProof/>
        </w:rPr>
        <w:t xml:space="preserve"> (</w:t>
      </w:r>
      <w:r w:rsidR="00F34BF5" w:rsidRPr="00F34BF5">
        <w:rPr>
          <w:noProof/>
        </w:rPr>
        <w:t>4404</w:t>
      </w:r>
      <w:r w:rsidR="00A537A9" w:rsidRPr="00F34BF5">
        <w:rPr>
          <w:noProof/>
        </w:rPr>
        <w:t xml:space="preserve"> EUR</w:t>
      </w:r>
      <w:r w:rsidR="00474C90" w:rsidRPr="00F34BF5">
        <w:rPr>
          <w:noProof/>
        </w:rPr>
        <w:t>)</w:t>
      </w:r>
      <w:r w:rsidR="00F34BF5">
        <w:rPr>
          <w:noProof/>
        </w:rPr>
        <w:t xml:space="preserve">, </w:t>
      </w:r>
      <w:r w:rsidR="00F34BF5" w:rsidRPr="004A14F1">
        <w:rPr>
          <w:noProof/>
        </w:rPr>
        <w:t>(6 diagrama)</w:t>
      </w:r>
      <w:r w:rsidR="00845C55" w:rsidRPr="00F34BF5">
        <w:rPr>
          <w:noProof/>
        </w:rPr>
        <w:t>.</w:t>
      </w:r>
      <w:r w:rsidR="00334357" w:rsidRPr="00F34BF5">
        <w:rPr>
          <w:noProof/>
        </w:rPr>
        <w:t xml:space="preserve"> </w:t>
      </w:r>
    </w:p>
    <w:p w:rsidR="00334357" w:rsidRPr="00800C4F" w:rsidRDefault="00334357" w:rsidP="00845C55">
      <w:pPr>
        <w:ind w:firstLine="748"/>
        <w:jc w:val="both"/>
        <w:rPr>
          <w:noProof/>
          <w:color w:val="FF0000"/>
        </w:rPr>
      </w:pPr>
    </w:p>
    <w:p w:rsidR="00845C55" w:rsidRDefault="00942ED9" w:rsidP="00845C55">
      <w:pPr>
        <w:ind w:firstLine="748"/>
        <w:jc w:val="both"/>
        <w:rPr>
          <w:noProof/>
        </w:rPr>
      </w:pPr>
      <w:r w:rsidRPr="00F34BF5">
        <w:rPr>
          <w:noProof/>
        </w:rPr>
        <w:t>6</w:t>
      </w:r>
      <w:r w:rsidR="00845C55" w:rsidRPr="00F34BF5">
        <w:rPr>
          <w:noProof/>
        </w:rPr>
        <w:t xml:space="preserve"> diagrama. Tiesioginės užsienio investicijos</w:t>
      </w:r>
      <w:r w:rsidR="005B041F">
        <w:rPr>
          <w:noProof/>
        </w:rPr>
        <w:t>,</w:t>
      </w:r>
      <w:r w:rsidR="00845C55" w:rsidRPr="00F34BF5">
        <w:rPr>
          <w:noProof/>
        </w:rPr>
        <w:t xml:space="preserve"> tenkančios vienam gyventojui, </w:t>
      </w:r>
      <w:r w:rsidR="00765172" w:rsidRPr="00F34BF5">
        <w:rPr>
          <w:noProof/>
        </w:rPr>
        <w:t>EUR</w:t>
      </w:r>
    </w:p>
    <w:p w:rsidR="00F34BF5" w:rsidRPr="00F34BF5" w:rsidRDefault="00F34BF5" w:rsidP="00845C55">
      <w:pPr>
        <w:ind w:firstLine="748"/>
        <w:jc w:val="both"/>
        <w:rPr>
          <w:noProof/>
        </w:rPr>
      </w:pPr>
      <w:r>
        <w:rPr>
          <w:noProof/>
        </w:rPr>
        <w:drawing>
          <wp:inline distT="0" distB="0" distL="0" distR="0">
            <wp:extent cx="5486400" cy="2301240"/>
            <wp:effectExtent l="0" t="0" r="0" b="0"/>
            <wp:docPr id="17" name="Diagrama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34357" w:rsidRPr="00F34BF5" w:rsidRDefault="00334357" w:rsidP="00845C55">
      <w:pPr>
        <w:ind w:firstLine="748"/>
        <w:jc w:val="both"/>
        <w:rPr>
          <w:noProof/>
        </w:rPr>
      </w:pPr>
    </w:p>
    <w:p w:rsidR="00F34BF5" w:rsidRPr="00800C4F" w:rsidRDefault="00F34BF5" w:rsidP="00845C55">
      <w:pPr>
        <w:ind w:firstLine="748"/>
        <w:jc w:val="both"/>
        <w:rPr>
          <w:noProof/>
          <w:color w:val="FF0000"/>
        </w:rPr>
      </w:pPr>
    </w:p>
    <w:p w:rsidR="00845C55" w:rsidRPr="00AC1A07" w:rsidRDefault="00845C55" w:rsidP="00845C55">
      <w:pPr>
        <w:ind w:firstLine="748"/>
        <w:jc w:val="both"/>
        <w:rPr>
          <w:noProof/>
        </w:rPr>
      </w:pPr>
      <w:r w:rsidRPr="00AC1A07">
        <w:rPr>
          <w:noProof/>
        </w:rPr>
        <w:t>Panevėžio miesto tiesioginės užsienio investicijos per 5 metus (nuo 20</w:t>
      </w:r>
      <w:r w:rsidR="004A14F1" w:rsidRPr="00AC1A07">
        <w:rPr>
          <w:noProof/>
        </w:rPr>
        <w:t>10</w:t>
      </w:r>
      <w:r w:rsidR="004C2AB4" w:rsidRPr="00AC1A07">
        <w:rPr>
          <w:noProof/>
        </w:rPr>
        <w:t xml:space="preserve"> m. </w:t>
      </w:r>
      <w:r w:rsidRPr="00AC1A07">
        <w:rPr>
          <w:noProof/>
        </w:rPr>
        <w:t>iki 20</w:t>
      </w:r>
      <w:r w:rsidR="00A3762B" w:rsidRPr="00AC1A07">
        <w:rPr>
          <w:noProof/>
        </w:rPr>
        <w:t>1</w:t>
      </w:r>
      <w:r w:rsidR="004A14F1" w:rsidRPr="00AC1A07">
        <w:rPr>
          <w:noProof/>
        </w:rPr>
        <w:t>4</w:t>
      </w:r>
      <w:r w:rsidR="004C2AB4" w:rsidRPr="00AC1A07">
        <w:rPr>
          <w:noProof/>
        </w:rPr>
        <w:t xml:space="preserve"> </w:t>
      </w:r>
      <w:r w:rsidRPr="00AC1A07">
        <w:rPr>
          <w:noProof/>
        </w:rPr>
        <w:t xml:space="preserve">m.) </w:t>
      </w:r>
      <w:r w:rsidR="00A3762B" w:rsidRPr="00AC1A07">
        <w:rPr>
          <w:noProof/>
        </w:rPr>
        <w:t>didėjo</w:t>
      </w:r>
      <w:r w:rsidRPr="00AC1A07">
        <w:rPr>
          <w:noProof/>
        </w:rPr>
        <w:t xml:space="preserve"> </w:t>
      </w:r>
      <w:r w:rsidR="00845742" w:rsidRPr="00AC1A07">
        <w:rPr>
          <w:noProof/>
        </w:rPr>
        <w:t xml:space="preserve">daugiau kaip </w:t>
      </w:r>
      <w:r w:rsidR="00A12687" w:rsidRPr="00AC1A07">
        <w:rPr>
          <w:noProof/>
        </w:rPr>
        <w:t xml:space="preserve">50 </w:t>
      </w:r>
      <w:r w:rsidRPr="00AC1A07">
        <w:rPr>
          <w:noProof/>
        </w:rPr>
        <w:t>proc. (</w:t>
      </w:r>
      <w:r w:rsidR="00942ED9" w:rsidRPr="00AC1A07">
        <w:rPr>
          <w:noProof/>
        </w:rPr>
        <w:t>7</w:t>
      </w:r>
      <w:r w:rsidRPr="00AC1A07">
        <w:rPr>
          <w:noProof/>
        </w:rPr>
        <w:t xml:space="preserve"> diagrama).</w:t>
      </w:r>
      <w:r w:rsidR="00465149" w:rsidRPr="00AC1A07">
        <w:rPr>
          <w:noProof/>
        </w:rPr>
        <w:t xml:space="preserve"> </w:t>
      </w:r>
    </w:p>
    <w:p w:rsidR="00845C55" w:rsidRPr="00AC1A07" w:rsidRDefault="00845C55" w:rsidP="00641CFF">
      <w:pPr>
        <w:tabs>
          <w:tab w:val="left" w:pos="3735"/>
        </w:tabs>
        <w:ind w:firstLine="748"/>
        <w:jc w:val="both"/>
        <w:rPr>
          <w:noProof/>
        </w:rPr>
      </w:pPr>
      <w:r w:rsidRPr="00AC1A07">
        <w:rPr>
          <w:noProof/>
        </w:rPr>
        <w:t xml:space="preserve"> </w:t>
      </w:r>
      <w:r w:rsidR="00942ED9" w:rsidRPr="00AC1A07">
        <w:rPr>
          <w:noProof/>
        </w:rPr>
        <w:t>7</w:t>
      </w:r>
      <w:r w:rsidRPr="00AC1A07">
        <w:rPr>
          <w:noProof/>
        </w:rPr>
        <w:t xml:space="preserve"> diagrama. Tiesioginių užsienio investicijų dinamika Panevėžio mieste</w:t>
      </w:r>
      <w:r w:rsidR="00DB173E" w:rsidRPr="00AC1A07">
        <w:rPr>
          <w:noProof/>
        </w:rPr>
        <w:t xml:space="preserve">, </w:t>
      </w:r>
      <w:r w:rsidR="00764FFB" w:rsidRPr="00AC1A07">
        <w:rPr>
          <w:noProof/>
        </w:rPr>
        <w:t>mln</w:t>
      </w:r>
      <w:r w:rsidR="00DB173E" w:rsidRPr="00AC1A07">
        <w:rPr>
          <w:noProof/>
        </w:rPr>
        <w:t>.</w:t>
      </w:r>
      <w:r w:rsidR="00AD6A01">
        <w:rPr>
          <w:noProof/>
        </w:rPr>
        <w:t xml:space="preserve"> </w:t>
      </w:r>
      <w:r w:rsidR="004C2AB4" w:rsidRPr="00AC1A07">
        <w:rPr>
          <w:noProof/>
        </w:rPr>
        <w:t>EUR</w:t>
      </w:r>
    </w:p>
    <w:p w:rsidR="004F564C" w:rsidRDefault="00AC1A07" w:rsidP="00641CFF">
      <w:pPr>
        <w:tabs>
          <w:tab w:val="left" w:pos="3735"/>
        </w:tabs>
        <w:ind w:firstLine="748"/>
        <w:jc w:val="both"/>
        <w:rPr>
          <w:noProof/>
          <w:color w:val="FF0000"/>
        </w:rPr>
      </w:pPr>
      <w:r>
        <w:rPr>
          <w:noProof/>
          <w:color w:val="FF0000"/>
        </w:rPr>
        <w:drawing>
          <wp:inline distT="0" distB="0" distL="0" distR="0">
            <wp:extent cx="5486400" cy="2080260"/>
            <wp:effectExtent l="0" t="0" r="0" b="0"/>
            <wp:docPr id="16" name="Diagrama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F564C" w:rsidRPr="00800C4F" w:rsidRDefault="004F564C" w:rsidP="00641CFF">
      <w:pPr>
        <w:tabs>
          <w:tab w:val="left" w:pos="3735"/>
        </w:tabs>
        <w:ind w:firstLine="748"/>
        <w:jc w:val="both"/>
        <w:rPr>
          <w:noProof/>
          <w:color w:val="FF0000"/>
        </w:rPr>
      </w:pPr>
    </w:p>
    <w:p w:rsidR="00845C55" w:rsidRPr="00800C4F" w:rsidRDefault="00845C55" w:rsidP="00845C55">
      <w:pPr>
        <w:ind w:firstLine="748"/>
        <w:jc w:val="both"/>
        <w:rPr>
          <w:noProof/>
          <w:color w:val="FF0000"/>
        </w:rPr>
      </w:pPr>
    </w:p>
    <w:p w:rsidR="00AF428B" w:rsidRPr="006959A6" w:rsidRDefault="00AF428B" w:rsidP="00AF428B">
      <w:pPr>
        <w:ind w:firstLine="748"/>
        <w:jc w:val="both"/>
      </w:pPr>
      <w:r w:rsidRPr="006959A6">
        <w:t xml:space="preserve">Į Panevėžio įmones investuota per 2 proc. viso Lietuvoje investuoto kapitalo. Savo verslo vystymui Panevėžio apskritį pasirinko tokios šalys, kaip Danija, Vokietija, Norvegija,  </w:t>
      </w:r>
      <w:r w:rsidR="006959A6" w:rsidRPr="006959A6">
        <w:t>Latvija</w:t>
      </w:r>
      <w:r w:rsidR="006959A6">
        <w:t>,</w:t>
      </w:r>
      <w:r w:rsidR="006959A6" w:rsidRPr="006959A6">
        <w:t xml:space="preserve"> </w:t>
      </w:r>
      <w:r w:rsidR="00E056B7" w:rsidRPr="006959A6">
        <w:t xml:space="preserve">Suomija, </w:t>
      </w:r>
      <w:r w:rsidRPr="006959A6">
        <w:t>Estija,</w:t>
      </w:r>
      <w:r w:rsidR="00DF4BC3" w:rsidRPr="006959A6">
        <w:t xml:space="preserve"> </w:t>
      </w:r>
      <w:r w:rsidR="006959A6" w:rsidRPr="006959A6">
        <w:t xml:space="preserve">Prancūzija. </w:t>
      </w:r>
      <w:r w:rsidRPr="006959A6">
        <w:t>(8 diagrama).</w:t>
      </w:r>
    </w:p>
    <w:p w:rsidR="00E056B7" w:rsidRPr="006959A6" w:rsidRDefault="00E056B7" w:rsidP="00AF428B">
      <w:pPr>
        <w:ind w:firstLine="748"/>
        <w:jc w:val="both"/>
      </w:pPr>
    </w:p>
    <w:p w:rsidR="00AF428B" w:rsidRPr="006959A6" w:rsidRDefault="00AF428B" w:rsidP="00AF428B">
      <w:pPr>
        <w:ind w:firstLine="748"/>
        <w:jc w:val="both"/>
      </w:pPr>
      <w:r w:rsidRPr="006959A6">
        <w:t>8 diagrama. Šalys investuotojos į Panevėžio apskritį 201</w:t>
      </w:r>
      <w:r w:rsidR="00496461" w:rsidRPr="006959A6">
        <w:t>4</w:t>
      </w:r>
      <w:r w:rsidRPr="006959A6">
        <w:t xml:space="preserve"> metai (mln.</w:t>
      </w:r>
      <w:r w:rsidR="008B1D34" w:rsidRPr="006959A6">
        <w:t xml:space="preserve"> </w:t>
      </w:r>
      <w:r w:rsidR="00E056B7" w:rsidRPr="006959A6">
        <w:t>EUR</w:t>
      </w:r>
      <w:r w:rsidRPr="006959A6">
        <w:t>)</w:t>
      </w:r>
    </w:p>
    <w:p w:rsidR="00496461" w:rsidRPr="006959A6" w:rsidRDefault="00496461" w:rsidP="00AF428B">
      <w:pPr>
        <w:ind w:firstLine="748"/>
        <w:jc w:val="both"/>
      </w:pPr>
    </w:p>
    <w:p w:rsidR="00496461" w:rsidRPr="00800C4F" w:rsidRDefault="006959A6" w:rsidP="00AF428B">
      <w:pPr>
        <w:ind w:firstLine="748"/>
        <w:jc w:val="both"/>
        <w:rPr>
          <w:color w:val="FF0000"/>
        </w:rPr>
      </w:pPr>
      <w:r>
        <w:rPr>
          <w:noProof/>
          <w:color w:val="FF0000"/>
        </w:rPr>
        <w:drawing>
          <wp:inline distT="0" distB="0" distL="0" distR="0">
            <wp:extent cx="5486400" cy="1524000"/>
            <wp:effectExtent l="0" t="0" r="0" b="0"/>
            <wp:docPr id="25" name="Diagrama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959A6" w:rsidRDefault="00E056B7" w:rsidP="00E056B7">
      <w:pPr>
        <w:jc w:val="both"/>
        <w:rPr>
          <w:color w:val="FF0000"/>
        </w:rPr>
      </w:pPr>
      <w:r w:rsidRPr="00800C4F">
        <w:rPr>
          <w:color w:val="FF0000"/>
        </w:rPr>
        <w:t xml:space="preserve">     </w:t>
      </w:r>
    </w:p>
    <w:p w:rsidR="00AF428B" w:rsidRPr="00660122" w:rsidRDefault="00E056B7" w:rsidP="00E056B7">
      <w:pPr>
        <w:jc w:val="both"/>
        <w:rPr>
          <w:noProof/>
        </w:rPr>
      </w:pPr>
      <w:r w:rsidRPr="00800C4F">
        <w:rPr>
          <w:color w:val="FF0000"/>
        </w:rPr>
        <w:t xml:space="preserve">   </w:t>
      </w:r>
      <w:r w:rsidR="006A02EF" w:rsidRPr="00660122">
        <w:t>Naujau</w:t>
      </w:r>
      <w:r w:rsidR="00AF428B" w:rsidRPr="00660122">
        <w:t xml:space="preserve">si materialinių investicijų duomenys rodo, kad  verslas </w:t>
      </w:r>
      <w:r w:rsidR="00920098" w:rsidRPr="00660122">
        <w:t>teigiamai</w:t>
      </w:r>
      <w:r w:rsidR="00AF428B" w:rsidRPr="00660122">
        <w:t xml:space="preserve"> vertina ateities perspektyvas. Materialinių investicijų apimtys per paskutinius 5 metus Panevėžio mieste </w:t>
      </w:r>
      <w:r w:rsidR="00920098" w:rsidRPr="00660122">
        <w:t>augo</w:t>
      </w:r>
      <w:r w:rsidR="00AF428B" w:rsidRPr="00660122">
        <w:t xml:space="preserve"> beveik </w:t>
      </w:r>
      <w:r w:rsidR="00920098" w:rsidRPr="00660122">
        <w:t xml:space="preserve">apie </w:t>
      </w:r>
      <w:r w:rsidR="00660122" w:rsidRPr="00660122">
        <w:t>2 kartus</w:t>
      </w:r>
      <w:r w:rsidR="00920098" w:rsidRPr="00660122">
        <w:t>.</w:t>
      </w:r>
      <w:r w:rsidR="00AF428B" w:rsidRPr="00660122">
        <w:t xml:space="preserve"> </w:t>
      </w:r>
      <w:r w:rsidR="00920098" w:rsidRPr="00660122">
        <w:t xml:space="preserve">Tačiau tai sudaro tik apie 3 % šalies materialinių investicijų. </w:t>
      </w:r>
      <w:r w:rsidR="00AF428B" w:rsidRPr="00660122">
        <w:t xml:space="preserve">Šio rodiklio </w:t>
      </w:r>
      <w:r w:rsidR="00920098" w:rsidRPr="00660122">
        <w:lastRenderedPageBreak/>
        <w:t>nepakankamas augimas</w:t>
      </w:r>
      <w:r w:rsidR="00AF428B" w:rsidRPr="00660122">
        <w:t xml:space="preserve"> stabdo inovacijų ir naujų technologijų diegimą, konkurencingą verslo plėtrą. </w:t>
      </w:r>
    </w:p>
    <w:p w:rsidR="00AF428B" w:rsidRPr="00660122" w:rsidRDefault="00AF428B" w:rsidP="00AF428B">
      <w:pPr>
        <w:ind w:firstLine="748"/>
      </w:pPr>
    </w:p>
    <w:p w:rsidR="00C0558F" w:rsidRPr="00660122" w:rsidRDefault="00C0558F" w:rsidP="00C0558F">
      <w:pPr>
        <w:ind w:firstLine="748"/>
        <w:rPr>
          <w:noProof/>
        </w:rPr>
      </w:pPr>
      <w:r w:rsidRPr="00660122">
        <w:rPr>
          <w:noProof/>
        </w:rPr>
        <w:t xml:space="preserve">Materialinių investicijų dinamika Panevėžio mieste, </w:t>
      </w:r>
      <w:r w:rsidR="00920098" w:rsidRPr="00660122">
        <w:rPr>
          <w:noProof/>
        </w:rPr>
        <w:t>mln.</w:t>
      </w:r>
      <w:r w:rsidR="00D1343F">
        <w:rPr>
          <w:noProof/>
        </w:rPr>
        <w:t xml:space="preserve"> </w:t>
      </w:r>
      <w:r w:rsidR="00920098" w:rsidRPr="00660122">
        <w:rPr>
          <w:noProof/>
        </w:rPr>
        <w:t>EUR</w:t>
      </w:r>
      <w:r w:rsidRPr="00660122">
        <w:rPr>
          <w:noProof/>
        </w:rPr>
        <w:t>.</w:t>
      </w:r>
    </w:p>
    <w:p w:rsidR="00660122" w:rsidRDefault="00660122" w:rsidP="00C0558F">
      <w:pPr>
        <w:ind w:firstLine="748"/>
        <w:rPr>
          <w:noProof/>
          <w:color w:val="FF0000"/>
        </w:rPr>
      </w:pPr>
      <w:r>
        <w:rPr>
          <w:noProof/>
          <w:color w:val="FF0000"/>
        </w:rPr>
        <w:drawing>
          <wp:inline distT="0" distB="0" distL="0" distR="0">
            <wp:extent cx="5486400" cy="1935480"/>
            <wp:effectExtent l="0" t="0" r="0" b="0"/>
            <wp:docPr id="19" name="Diagrama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60122" w:rsidRPr="00800C4F" w:rsidRDefault="00660122" w:rsidP="00C0558F">
      <w:pPr>
        <w:ind w:firstLine="748"/>
        <w:rPr>
          <w:noProof/>
          <w:color w:val="FF0000"/>
        </w:rPr>
      </w:pPr>
    </w:p>
    <w:p w:rsidR="00125B60" w:rsidRPr="00496461" w:rsidRDefault="00125B60" w:rsidP="00125B60">
      <w:pPr>
        <w:ind w:firstLine="748"/>
        <w:jc w:val="both"/>
      </w:pPr>
      <w:r w:rsidRPr="00496461">
        <w:t xml:space="preserve">I prioriteto vienas iš tikslų – sukurti palankiausią verslui ir investicijoms aplinką Lietuvos šiaurės regione. </w:t>
      </w:r>
      <w:r w:rsidR="00496461" w:rsidRPr="00496461">
        <w:t xml:space="preserve">Toliau vykdoma </w:t>
      </w:r>
      <w:r w:rsidRPr="00496461">
        <w:t xml:space="preserve"> Panevėžio pramoninio parko (LEZ) rinkodaros projekt</w:t>
      </w:r>
      <w:r w:rsidR="00496461" w:rsidRPr="00496461">
        <w:t>as</w:t>
      </w:r>
      <w:r w:rsidRPr="00496461">
        <w:t xml:space="preserve"> (parengta rinkodaros strategija, sukurtas filmas, dalyvauta viešinimo renginiuose).</w:t>
      </w:r>
    </w:p>
    <w:p w:rsidR="00125B60" w:rsidRPr="00800C4F" w:rsidRDefault="00125B60" w:rsidP="00125B60">
      <w:pPr>
        <w:ind w:firstLine="748"/>
        <w:jc w:val="both"/>
        <w:rPr>
          <w:color w:val="FF0000"/>
        </w:rPr>
      </w:pPr>
    </w:p>
    <w:p w:rsidR="00125B60" w:rsidRPr="00751C41" w:rsidRDefault="00125B60" w:rsidP="00125B60">
      <w:pPr>
        <w:ind w:firstLine="748"/>
        <w:jc w:val="both"/>
      </w:pPr>
      <w:r w:rsidRPr="00751C41">
        <w:rPr>
          <w:rFonts w:eastAsia="Arial Unicode MS"/>
        </w:rPr>
        <w:t xml:space="preserve">Savivaldybė kartu su partneriais </w:t>
      </w:r>
      <w:r w:rsidR="00751C41" w:rsidRPr="00751C41">
        <w:rPr>
          <w:rFonts w:eastAsia="Arial Unicode MS"/>
        </w:rPr>
        <w:t xml:space="preserve">(LIC, PMTP, PPAR, PVKC) </w:t>
      </w:r>
      <w:r w:rsidRPr="00751C41">
        <w:rPr>
          <w:rFonts w:eastAsia="Arial Unicode MS"/>
        </w:rPr>
        <w:t xml:space="preserve">teikė nemokamą informaciją, konsultacijas verslo klausimais, buvo organizuoti mokymai ir seminarai norintiems pradėti verslą, įmonėms inovacijų svarbai propaguoti. </w:t>
      </w:r>
      <w:r w:rsidR="00751C41" w:rsidRPr="00751C41">
        <w:rPr>
          <w:noProof/>
        </w:rPr>
        <w:t xml:space="preserve">Siekiant plėtoti palankią investicijoms ir bendradarbiavimui aplinką, kartu su  Panevėžio </w:t>
      </w:r>
      <w:r w:rsidR="00751C41" w:rsidRPr="00751C41">
        <w:t xml:space="preserve"> prekybos, pramonės ir amatų rūmais (PPAR) 2015 m. organizuotos miesto verslininkų misijos tikslinėse užsienio rinkose, organizuotos konferencijos verslo temomis, dalyvauta tarptautinėje parodoje „Expo Aukštaitija 2015“.</w:t>
      </w:r>
    </w:p>
    <w:p w:rsidR="00125B60" w:rsidRPr="00751C41" w:rsidRDefault="00125B60" w:rsidP="0091161D">
      <w:pPr>
        <w:ind w:right="89" w:firstLine="748"/>
        <w:jc w:val="both"/>
        <w:rPr>
          <w:noProof/>
        </w:rPr>
      </w:pPr>
      <w:r w:rsidRPr="00751C41">
        <w:rPr>
          <w:rFonts w:eastAsia="Arial Unicode MS"/>
        </w:rPr>
        <w:t>201</w:t>
      </w:r>
      <w:r w:rsidR="00751C41" w:rsidRPr="00751C41">
        <w:rPr>
          <w:rFonts w:eastAsia="Arial Unicode MS"/>
        </w:rPr>
        <w:t>5</w:t>
      </w:r>
      <w:r w:rsidRPr="00751C41">
        <w:rPr>
          <w:rFonts w:eastAsia="Arial Unicode MS"/>
        </w:rPr>
        <w:t xml:space="preserve"> m. buvo organizuotas Panevėžio miesto geriausios inovacinės įmonės konkursas, toliau tęsiama  </w:t>
      </w:r>
      <w:proofErr w:type="spellStart"/>
      <w:r w:rsidRPr="00751C41">
        <w:rPr>
          <w:rFonts w:eastAsia="Arial Unicode MS"/>
        </w:rPr>
        <w:t>FIBA</w:t>
      </w:r>
      <w:r w:rsidRPr="00751C41">
        <w:t>ssociation</w:t>
      </w:r>
      <w:proofErr w:type="spellEnd"/>
      <w:r w:rsidRPr="00751C41">
        <w:rPr>
          <w:rFonts w:eastAsia="Arial Unicode MS"/>
        </w:rPr>
        <w:t xml:space="preserve"> veikla </w:t>
      </w:r>
      <w:r w:rsidRPr="00751C41">
        <w:t>(</w:t>
      </w:r>
      <w:proofErr w:type="spellStart"/>
      <w:r w:rsidRPr="00751C41">
        <w:t>Foreign</w:t>
      </w:r>
      <w:proofErr w:type="spellEnd"/>
      <w:r w:rsidRPr="00751C41">
        <w:t xml:space="preserve"> </w:t>
      </w:r>
      <w:proofErr w:type="spellStart"/>
      <w:r w:rsidRPr="00751C41">
        <w:t>Investment</w:t>
      </w:r>
      <w:proofErr w:type="spellEnd"/>
      <w:r w:rsidRPr="00751C41">
        <w:t xml:space="preserve"> </w:t>
      </w:r>
      <w:proofErr w:type="spellStart"/>
      <w:r w:rsidRPr="00751C41">
        <w:t>Business</w:t>
      </w:r>
      <w:proofErr w:type="spellEnd"/>
      <w:r w:rsidRPr="00751C41">
        <w:t xml:space="preserve"> </w:t>
      </w:r>
      <w:proofErr w:type="spellStart"/>
      <w:r w:rsidRPr="00751C41">
        <w:t>Association</w:t>
      </w:r>
      <w:proofErr w:type="spellEnd"/>
      <w:r w:rsidRPr="00751C41">
        <w:t xml:space="preserve">) (Užsienio investuotojų verslo asociacija). </w:t>
      </w:r>
    </w:p>
    <w:p w:rsidR="00125B60" w:rsidRPr="00583FF4" w:rsidRDefault="00583FF4" w:rsidP="00845C55">
      <w:pPr>
        <w:ind w:firstLine="748"/>
        <w:jc w:val="both"/>
      </w:pPr>
      <w:r w:rsidRPr="00583FF4">
        <w:t>2015 m. parengta galimybių studija „Panevėžio geležinkelio krovinių regioninio terminalo (logistikos centro prie „</w:t>
      </w:r>
      <w:proofErr w:type="spellStart"/>
      <w:r w:rsidRPr="00583FF4">
        <w:t>Rail</w:t>
      </w:r>
      <w:proofErr w:type="spellEnd"/>
      <w:r w:rsidRPr="00583FF4">
        <w:t xml:space="preserve"> </w:t>
      </w:r>
      <w:proofErr w:type="spellStart"/>
      <w:r w:rsidRPr="00583FF4">
        <w:t>Baltica</w:t>
      </w:r>
      <w:proofErr w:type="spellEnd"/>
      <w:r w:rsidRPr="00583FF4">
        <w:t>“) įrengimas.</w:t>
      </w:r>
    </w:p>
    <w:p w:rsidR="00731FE7" w:rsidRPr="00583FF4" w:rsidRDefault="00731FE7" w:rsidP="0091161D">
      <w:pPr>
        <w:ind w:firstLine="748"/>
        <w:jc w:val="both"/>
      </w:pPr>
      <w:r w:rsidRPr="00583FF4">
        <w:t>Stiprinant miesto rinkodarą šalyje ir užsienyje</w:t>
      </w:r>
      <w:r w:rsidR="0020318A" w:rsidRPr="00583FF4">
        <w:t>,</w:t>
      </w:r>
      <w:r w:rsidRPr="00583FF4">
        <w:t xml:space="preserve"> Savivaldybė įgyvendino rinkodaros programą</w:t>
      </w:r>
      <w:r w:rsidR="009125B1" w:rsidRPr="00583FF4">
        <w:t xml:space="preserve">, </w:t>
      </w:r>
      <w:r w:rsidR="006B766F" w:rsidRPr="00583FF4">
        <w:t>sukurta nauja miesto rinkodaros grupė</w:t>
      </w:r>
      <w:r w:rsidRPr="00583FF4">
        <w:t xml:space="preserve">. </w:t>
      </w:r>
    </w:p>
    <w:p w:rsidR="004965AF" w:rsidRPr="00583FF4" w:rsidRDefault="004965AF" w:rsidP="004965AF">
      <w:pPr>
        <w:ind w:firstLine="748"/>
        <w:jc w:val="both"/>
      </w:pPr>
      <w:r w:rsidRPr="00583FF4">
        <w:rPr>
          <w:rFonts w:eastAsia="Arial Unicode MS"/>
        </w:rPr>
        <w:t xml:space="preserve">Kitas I prioriteto tikslų – skatinti darbo vietų kūrimą. </w:t>
      </w:r>
      <w:r w:rsidRPr="00583FF4">
        <w:t>Pagal patvirtintą Panevėžio miesto Viešųjų darbų programą per 201</w:t>
      </w:r>
      <w:r w:rsidR="00583FF4" w:rsidRPr="00583FF4">
        <w:t>5</w:t>
      </w:r>
      <w:r w:rsidRPr="00583FF4">
        <w:t xml:space="preserve"> metus įdarbinta </w:t>
      </w:r>
      <w:r w:rsidR="00583FF4" w:rsidRPr="00583FF4">
        <w:t>458</w:t>
      </w:r>
      <w:r w:rsidRPr="00583FF4">
        <w:t xml:space="preserve"> Panevėžio teritorinės darbo biržos siųstų asmenų. Už viešųjų darbų atlikimą iš Savivaldybės biudžeto išmokėta </w:t>
      </w:r>
      <w:r w:rsidR="00583FF4" w:rsidRPr="00583FF4">
        <w:t>166,2</w:t>
      </w:r>
      <w:r w:rsidRPr="00583FF4">
        <w:t xml:space="preserve"> tūkst.</w:t>
      </w:r>
      <w:r w:rsidR="00434210" w:rsidRPr="00583FF4">
        <w:t xml:space="preserve"> EUR</w:t>
      </w:r>
      <w:r w:rsidRPr="00583FF4">
        <w:t xml:space="preserve">. Į šių priemonių įgyvendinimą įtrauktos ne tik savivaldos bei valstybinės institucijos, bet ir socialiniai partneriai (Darbo birža). </w:t>
      </w:r>
    </w:p>
    <w:p w:rsidR="008F6506" w:rsidRPr="00583FF4" w:rsidRDefault="008F6506" w:rsidP="00164E07">
      <w:pPr>
        <w:ind w:firstLine="748"/>
        <w:jc w:val="both"/>
      </w:pPr>
    </w:p>
    <w:p w:rsidR="008F6506" w:rsidRPr="00C61773" w:rsidRDefault="00740910" w:rsidP="008F6506">
      <w:pPr>
        <w:ind w:firstLine="748"/>
        <w:jc w:val="both"/>
        <w:rPr>
          <w:noProof/>
        </w:rPr>
      </w:pPr>
      <w:r w:rsidRPr="00C61773">
        <w:rPr>
          <w:noProof/>
        </w:rPr>
        <w:t xml:space="preserve">Panevėžio </w:t>
      </w:r>
      <w:r w:rsidR="001232DD" w:rsidRPr="00C61773">
        <w:rPr>
          <w:noProof/>
        </w:rPr>
        <w:t>m</w:t>
      </w:r>
      <w:r w:rsidR="008F6506" w:rsidRPr="00C61773">
        <w:rPr>
          <w:noProof/>
        </w:rPr>
        <w:t xml:space="preserve">ieste nedarbo lygis </w:t>
      </w:r>
      <w:r w:rsidR="00E96C0D" w:rsidRPr="00C61773">
        <w:rPr>
          <w:noProof/>
        </w:rPr>
        <w:t>penki me</w:t>
      </w:r>
      <w:r w:rsidRPr="00C61773">
        <w:rPr>
          <w:noProof/>
        </w:rPr>
        <w:t xml:space="preserve">tai iš eilės mažėja </w:t>
      </w:r>
      <w:r w:rsidR="00202FCE" w:rsidRPr="00C61773">
        <w:rPr>
          <w:noProof/>
        </w:rPr>
        <w:t xml:space="preserve"> ir per 201</w:t>
      </w:r>
      <w:r w:rsidR="00583FF4" w:rsidRPr="00C61773">
        <w:rPr>
          <w:noProof/>
        </w:rPr>
        <w:t>5</w:t>
      </w:r>
      <w:r w:rsidR="00202FCE" w:rsidRPr="00C61773">
        <w:rPr>
          <w:noProof/>
        </w:rPr>
        <w:t xml:space="preserve"> metus</w:t>
      </w:r>
      <w:r w:rsidR="008F6506" w:rsidRPr="00C61773">
        <w:rPr>
          <w:noProof/>
        </w:rPr>
        <w:t xml:space="preserve"> </w:t>
      </w:r>
      <w:r w:rsidR="00202FCE" w:rsidRPr="00C61773">
        <w:rPr>
          <w:noProof/>
        </w:rPr>
        <w:t xml:space="preserve">sudarė </w:t>
      </w:r>
      <w:r w:rsidR="00583FF4" w:rsidRPr="00C61773">
        <w:rPr>
          <w:noProof/>
        </w:rPr>
        <w:t>8,3</w:t>
      </w:r>
      <w:r w:rsidR="008F6506" w:rsidRPr="00C61773">
        <w:rPr>
          <w:noProof/>
        </w:rPr>
        <w:t xml:space="preserve">  procento. (žr.</w:t>
      </w:r>
      <w:r w:rsidR="00942ED9" w:rsidRPr="00C61773">
        <w:rPr>
          <w:noProof/>
        </w:rPr>
        <w:t>9</w:t>
      </w:r>
      <w:r w:rsidR="008F6506" w:rsidRPr="00C61773">
        <w:rPr>
          <w:noProof/>
        </w:rPr>
        <w:t xml:space="preserve"> diagramą). </w:t>
      </w:r>
    </w:p>
    <w:p w:rsidR="00473249" w:rsidRPr="00C61773" w:rsidRDefault="00473249" w:rsidP="008F6506">
      <w:pPr>
        <w:ind w:firstLine="748"/>
        <w:jc w:val="both"/>
        <w:rPr>
          <w:noProof/>
        </w:rPr>
      </w:pPr>
    </w:p>
    <w:p w:rsidR="008F6506" w:rsidRPr="00C61773" w:rsidRDefault="00942ED9" w:rsidP="008F6506">
      <w:pPr>
        <w:ind w:firstLine="748"/>
        <w:jc w:val="both"/>
        <w:rPr>
          <w:noProof/>
        </w:rPr>
      </w:pPr>
      <w:r w:rsidRPr="00C61773">
        <w:rPr>
          <w:noProof/>
        </w:rPr>
        <w:t>9</w:t>
      </w:r>
      <w:r w:rsidR="008F6506" w:rsidRPr="00C61773">
        <w:rPr>
          <w:noProof/>
        </w:rPr>
        <w:t xml:space="preserve"> diagrama. Nedarbo lygis Panevėžio mieste, </w:t>
      </w:r>
      <w:r w:rsidR="00D1343F">
        <w:rPr>
          <w:noProof/>
        </w:rPr>
        <w:t>procentai</w:t>
      </w:r>
    </w:p>
    <w:p w:rsidR="00C61773" w:rsidRPr="00800C4F" w:rsidRDefault="00C61773" w:rsidP="008F6506">
      <w:pPr>
        <w:ind w:firstLine="748"/>
        <w:jc w:val="both"/>
        <w:rPr>
          <w:noProof/>
          <w:color w:val="FF0000"/>
        </w:rPr>
      </w:pPr>
      <w:r>
        <w:rPr>
          <w:noProof/>
          <w:color w:val="FF0000"/>
        </w:rPr>
        <w:drawing>
          <wp:inline distT="0" distB="0" distL="0" distR="0">
            <wp:extent cx="5486400" cy="1653540"/>
            <wp:effectExtent l="0" t="0" r="0" b="0"/>
            <wp:docPr id="29" name="Diagrama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F6506" w:rsidRPr="00800C4F" w:rsidRDefault="008F6506" w:rsidP="008F6506">
      <w:pPr>
        <w:ind w:firstLine="748"/>
        <w:jc w:val="both"/>
        <w:rPr>
          <w:noProof/>
          <w:color w:val="FF0000"/>
        </w:rPr>
      </w:pPr>
    </w:p>
    <w:p w:rsidR="008F6506" w:rsidRPr="00742385" w:rsidRDefault="008F6506" w:rsidP="008F6506">
      <w:pPr>
        <w:ind w:firstLine="748"/>
        <w:jc w:val="both"/>
        <w:rPr>
          <w:noProof/>
        </w:rPr>
      </w:pPr>
      <w:r w:rsidRPr="00742385">
        <w:lastRenderedPageBreak/>
        <w:t>201</w:t>
      </w:r>
      <w:r w:rsidR="007E7A96">
        <w:t>5</w:t>
      </w:r>
      <w:r w:rsidRPr="00742385">
        <w:t xml:space="preserve"> m. Panevėžyje veikė 3</w:t>
      </w:r>
      <w:r w:rsidR="007319AB" w:rsidRPr="00742385">
        <w:t>32</w:t>
      </w:r>
      <w:r w:rsidR="00985741" w:rsidRPr="00742385">
        <w:t>8</w:t>
      </w:r>
      <w:r w:rsidRPr="00742385">
        <w:t xml:space="preserve"> ūkio subjekta</w:t>
      </w:r>
      <w:r w:rsidR="00FD43B1" w:rsidRPr="00742385">
        <w:t>i</w:t>
      </w:r>
      <w:r w:rsidRPr="00742385">
        <w:t xml:space="preserve"> ir </w:t>
      </w:r>
      <w:r w:rsidR="00F45903" w:rsidRPr="00742385">
        <w:t xml:space="preserve">per 5 metus sumažėjo </w:t>
      </w:r>
      <w:r w:rsidR="00985741" w:rsidRPr="00742385">
        <w:t>4</w:t>
      </w:r>
      <w:r w:rsidR="00F45903" w:rsidRPr="00742385">
        <w:t xml:space="preserve"> p</w:t>
      </w:r>
      <w:r w:rsidRPr="00742385">
        <w:t xml:space="preserve">roc. </w:t>
      </w:r>
      <w:r w:rsidRPr="00742385">
        <w:rPr>
          <w:noProof/>
        </w:rPr>
        <w:t>(žr.</w:t>
      </w:r>
      <w:r w:rsidR="00031224" w:rsidRPr="00742385">
        <w:rPr>
          <w:noProof/>
        </w:rPr>
        <w:t>10</w:t>
      </w:r>
      <w:r w:rsidRPr="00742385">
        <w:rPr>
          <w:noProof/>
        </w:rPr>
        <w:t xml:space="preserve"> diagramą). Mieste dominuoja įmonės, kuriose dirba 1-9 dirbantieji.</w:t>
      </w:r>
    </w:p>
    <w:p w:rsidR="00473249" w:rsidRPr="00742385" w:rsidRDefault="00473249" w:rsidP="008F6506">
      <w:pPr>
        <w:ind w:firstLine="748"/>
        <w:jc w:val="both"/>
        <w:rPr>
          <w:noProof/>
        </w:rPr>
      </w:pPr>
    </w:p>
    <w:p w:rsidR="008F6506" w:rsidRPr="00742385" w:rsidRDefault="00031224" w:rsidP="008F6506">
      <w:pPr>
        <w:ind w:firstLine="748"/>
        <w:jc w:val="both"/>
        <w:rPr>
          <w:noProof/>
        </w:rPr>
      </w:pPr>
      <w:r w:rsidRPr="00742385">
        <w:rPr>
          <w:noProof/>
        </w:rPr>
        <w:t>10</w:t>
      </w:r>
      <w:r w:rsidR="008F6506" w:rsidRPr="00742385">
        <w:rPr>
          <w:noProof/>
        </w:rPr>
        <w:t xml:space="preserve"> diagrama. Veikiantys ūkio subjektai Panevėžio mieste, vnt.</w:t>
      </w:r>
    </w:p>
    <w:p w:rsidR="00DE3076" w:rsidRPr="00742385" w:rsidRDefault="00DE3076" w:rsidP="008F6506">
      <w:pPr>
        <w:ind w:firstLine="748"/>
        <w:jc w:val="both"/>
        <w:rPr>
          <w:noProof/>
        </w:rPr>
      </w:pPr>
    </w:p>
    <w:p w:rsidR="00DD7F0A" w:rsidRPr="00742385" w:rsidRDefault="00DE3076" w:rsidP="008F6506">
      <w:pPr>
        <w:ind w:firstLine="748"/>
        <w:jc w:val="both"/>
        <w:rPr>
          <w:noProof/>
        </w:rPr>
      </w:pPr>
      <w:r w:rsidRPr="00742385">
        <w:rPr>
          <w:noProof/>
        </w:rPr>
        <w:drawing>
          <wp:inline distT="0" distB="0" distL="0" distR="0">
            <wp:extent cx="5486400" cy="1539240"/>
            <wp:effectExtent l="0" t="0" r="0" b="0"/>
            <wp:docPr id="34" name="Diagrama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F6506" w:rsidRPr="00742385" w:rsidRDefault="008F6506" w:rsidP="008F6506">
      <w:pPr>
        <w:ind w:firstLine="748"/>
        <w:jc w:val="both"/>
      </w:pPr>
    </w:p>
    <w:p w:rsidR="006B59A5" w:rsidRPr="00742385" w:rsidRDefault="006B59A5" w:rsidP="00845C55">
      <w:pPr>
        <w:tabs>
          <w:tab w:val="left" w:pos="748"/>
        </w:tabs>
        <w:ind w:left="187" w:firstLine="561"/>
        <w:jc w:val="both"/>
        <w:rPr>
          <w:b/>
          <w:noProof/>
        </w:rPr>
      </w:pPr>
    </w:p>
    <w:p w:rsidR="00F45903" w:rsidRPr="00742385" w:rsidRDefault="00F45903" w:rsidP="00845C55">
      <w:pPr>
        <w:tabs>
          <w:tab w:val="left" w:pos="748"/>
        </w:tabs>
        <w:ind w:left="187" w:firstLine="561"/>
        <w:jc w:val="both"/>
      </w:pPr>
      <w:r w:rsidRPr="00742385">
        <w:t xml:space="preserve">Įmonių skaičius, tenkantis tūkstančiui gyventojų, parodo verslumo lygį. Lietuvos verslumo lygis </w:t>
      </w:r>
      <w:r w:rsidR="00D235B9" w:rsidRPr="00742385">
        <w:t xml:space="preserve">2 </w:t>
      </w:r>
      <w:r w:rsidRPr="00742385">
        <w:t xml:space="preserve"> kartus mažesnis, nei ES</w:t>
      </w:r>
      <w:r w:rsidR="00D235B9" w:rsidRPr="00742385">
        <w:t xml:space="preserve"> (tūkstančiui gyventojų tenka maždaug 55 įmonės)</w:t>
      </w:r>
      <w:r w:rsidRPr="00742385">
        <w:t xml:space="preserve">, o Panevėžio mieste verslumo lygis </w:t>
      </w:r>
      <w:r w:rsidR="00CD73FB" w:rsidRPr="00742385">
        <w:t xml:space="preserve">yra mažiausias iš 5 didžiųjų miestų ir tūkstančiui gyventojų tenka </w:t>
      </w:r>
      <w:r w:rsidR="00E14B5A" w:rsidRPr="00742385">
        <w:t>3</w:t>
      </w:r>
      <w:r w:rsidR="00742385">
        <w:t>7</w:t>
      </w:r>
      <w:r w:rsidR="00CD73FB" w:rsidRPr="00742385">
        <w:t xml:space="preserve"> įmonės.</w:t>
      </w:r>
    </w:p>
    <w:p w:rsidR="00F45903" w:rsidRPr="00800C4F" w:rsidRDefault="00F45903" w:rsidP="00845C55">
      <w:pPr>
        <w:tabs>
          <w:tab w:val="left" w:pos="748"/>
        </w:tabs>
        <w:ind w:left="187" w:firstLine="561"/>
        <w:jc w:val="both"/>
        <w:rPr>
          <w:b/>
          <w:noProof/>
          <w:color w:val="FF0000"/>
        </w:rPr>
      </w:pPr>
    </w:p>
    <w:p w:rsidR="00845C55" w:rsidRPr="000A7F1A" w:rsidRDefault="006E14D9" w:rsidP="00845C55">
      <w:pPr>
        <w:tabs>
          <w:tab w:val="left" w:pos="748"/>
        </w:tabs>
        <w:ind w:left="187" w:firstLine="561"/>
        <w:jc w:val="both"/>
      </w:pPr>
      <w:r w:rsidRPr="000A7F1A">
        <w:rPr>
          <w:b/>
          <w:noProof/>
        </w:rPr>
        <w:t>II PRIORITETAS.</w:t>
      </w:r>
      <w:r w:rsidR="000072D9" w:rsidRPr="000A7F1A">
        <w:rPr>
          <w:b/>
          <w:noProof/>
        </w:rPr>
        <w:t xml:space="preserve"> </w:t>
      </w:r>
      <w:r w:rsidR="000072D9" w:rsidRPr="000A7F1A">
        <w:t>Kokybiškų gyvenimo sąlygų ir aukštos socialinės gerovės kūrimas</w:t>
      </w:r>
      <w:r w:rsidR="005251A3" w:rsidRPr="000A7F1A">
        <w:t>.</w:t>
      </w:r>
    </w:p>
    <w:p w:rsidR="00013AFD" w:rsidRPr="000A7F1A" w:rsidRDefault="00013AFD" w:rsidP="00845C55">
      <w:pPr>
        <w:tabs>
          <w:tab w:val="left" w:pos="748"/>
        </w:tabs>
        <w:ind w:left="187" w:firstLine="561"/>
        <w:jc w:val="both"/>
      </w:pPr>
    </w:p>
    <w:p w:rsidR="00031224" w:rsidRPr="000A7F1A" w:rsidRDefault="00BD0A9A" w:rsidP="00845C55">
      <w:pPr>
        <w:tabs>
          <w:tab w:val="left" w:pos="748"/>
        </w:tabs>
        <w:ind w:left="187" w:firstLine="561"/>
        <w:jc w:val="both"/>
        <w:rPr>
          <w:noProof/>
        </w:rPr>
      </w:pPr>
      <w:r w:rsidRPr="000A7F1A">
        <w:rPr>
          <w:noProof/>
        </w:rPr>
        <w:t xml:space="preserve">II prioritete nurodytos priemonės </w:t>
      </w:r>
      <w:r w:rsidR="00044667" w:rsidRPr="000A7F1A">
        <w:rPr>
          <w:noProof/>
        </w:rPr>
        <w:t>apima švietimą, sveikatos, socialinę apsaugą, kultūrą ir meną</w:t>
      </w:r>
      <w:r w:rsidR="005E7A56" w:rsidRPr="000A7F1A">
        <w:rPr>
          <w:noProof/>
        </w:rPr>
        <w:t xml:space="preserve">, </w:t>
      </w:r>
      <w:r w:rsidR="00044667" w:rsidRPr="000A7F1A">
        <w:rPr>
          <w:noProof/>
        </w:rPr>
        <w:t>kūno kultūrą ir sportą, viešąjį saugumą.</w:t>
      </w:r>
    </w:p>
    <w:p w:rsidR="00845C55" w:rsidRPr="000A7F1A" w:rsidRDefault="00845C55" w:rsidP="00845C55">
      <w:pPr>
        <w:ind w:firstLine="748"/>
        <w:jc w:val="both"/>
        <w:rPr>
          <w:noProof/>
        </w:rPr>
      </w:pPr>
      <w:r w:rsidRPr="000A7F1A">
        <w:rPr>
          <w:noProof/>
        </w:rPr>
        <w:t xml:space="preserve">Strateginio plano II-o prioriteto priemonių vykdymas pavaizduotas </w:t>
      </w:r>
      <w:r w:rsidR="00031224" w:rsidRPr="000A7F1A">
        <w:rPr>
          <w:noProof/>
        </w:rPr>
        <w:t>11</w:t>
      </w:r>
      <w:r w:rsidRPr="000A7F1A">
        <w:rPr>
          <w:noProof/>
        </w:rPr>
        <w:t xml:space="preserve"> diagramoje.</w:t>
      </w:r>
    </w:p>
    <w:p w:rsidR="00845C55" w:rsidRPr="000A7F1A" w:rsidRDefault="00845C55" w:rsidP="00845C55">
      <w:pPr>
        <w:ind w:firstLine="748"/>
        <w:jc w:val="both"/>
        <w:rPr>
          <w:noProof/>
        </w:rPr>
      </w:pPr>
    </w:p>
    <w:p w:rsidR="00641CFF" w:rsidRPr="00800C4F" w:rsidRDefault="00641CFF" w:rsidP="00845C55">
      <w:pPr>
        <w:ind w:firstLine="748"/>
        <w:jc w:val="both"/>
        <w:rPr>
          <w:noProof/>
          <w:color w:val="FF0000"/>
        </w:rPr>
      </w:pPr>
    </w:p>
    <w:p w:rsidR="00641CFF" w:rsidRPr="00800C4F" w:rsidRDefault="00641CFF" w:rsidP="00845C55">
      <w:pPr>
        <w:ind w:firstLine="748"/>
        <w:jc w:val="both"/>
        <w:rPr>
          <w:noProof/>
          <w:color w:val="FF0000"/>
        </w:rPr>
      </w:pPr>
      <w:r w:rsidRPr="00800C4F">
        <w:rPr>
          <w:noProof/>
          <w:color w:val="FF0000"/>
        </w:rPr>
        <w:drawing>
          <wp:inline distT="0" distB="0" distL="0" distR="0">
            <wp:extent cx="4676775" cy="2019300"/>
            <wp:effectExtent l="0" t="0" r="0" b="0"/>
            <wp:docPr id="30"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A7F1A" w:rsidRDefault="00845C55" w:rsidP="000A7F1A">
      <w:pPr>
        <w:ind w:firstLine="748"/>
        <w:jc w:val="both"/>
        <w:rPr>
          <w:noProof/>
        </w:rPr>
      </w:pPr>
      <w:r w:rsidRPr="000A7F1A">
        <w:rPr>
          <w:noProof/>
        </w:rPr>
        <w:t>II prioriteto neįgyvendintos priemonės 20</w:t>
      </w:r>
      <w:r w:rsidR="006E1DF4" w:rsidRPr="000A7F1A">
        <w:rPr>
          <w:noProof/>
        </w:rPr>
        <w:t>1</w:t>
      </w:r>
      <w:r w:rsidR="00143838">
        <w:rPr>
          <w:noProof/>
        </w:rPr>
        <w:t>5</w:t>
      </w:r>
      <w:r w:rsidRPr="000A7F1A">
        <w:rPr>
          <w:noProof/>
        </w:rPr>
        <w:t xml:space="preserve"> m.:</w:t>
      </w:r>
    </w:p>
    <w:p w:rsidR="000A7F1A" w:rsidRDefault="006D319E" w:rsidP="000A7F1A">
      <w:pPr>
        <w:ind w:firstLine="748"/>
        <w:jc w:val="both"/>
        <w:rPr>
          <w:noProof/>
        </w:rPr>
      </w:pPr>
      <w:r>
        <w:rPr>
          <w:noProof/>
        </w:rPr>
        <w:t xml:space="preserve">2.1.2.3. </w:t>
      </w:r>
      <w:r w:rsidRPr="006D319E">
        <w:rPr>
          <w:noProof/>
        </w:rPr>
        <w:t>Nuolatinis jaunimo politikos įgyvendinimo vertinimas</w:t>
      </w:r>
      <w:r>
        <w:rPr>
          <w:noProof/>
        </w:rPr>
        <w:t>.</w:t>
      </w:r>
    </w:p>
    <w:p w:rsidR="006D319E" w:rsidRDefault="006D319E" w:rsidP="000A7F1A">
      <w:pPr>
        <w:ind w:firstLine="748"/>
        <w:jc w:val="both"/>
        <w:rPr>
          <w:noProof/>
        </w:rPr>
      </w:pPr>
      <w:r w:rsidRPr="006D319E">
        <w:rPr>
          <w:noProof/>
        </w:rPr>
        <w:t>Jaunimo poreikių t</w:t>
      </w:r>
      <w:r w:rsidR="00D1343F">
        <w:rPr>
          <w:noProof/>
        </w:rPr>
        <w:t>yrimui 2014-2015 m. nebuvo skirta</w:t>
      </w:r>
      <w:r w:rsidRPr="006D319E">
        <w:rPr>
          <w:noProof/>
        </w:rPr>
        <w:t xml:space="preserve"> lėšų. Toks tyrimas numatytas 2016 m.</w:t>
      </w:r>
    </w:p>
    <w:p w:rsidR="006D319E" w:rsidRDefault="006D319E" w:rsidP="000A7F1A">
      <w:pPr>
        <w:ind w:firstLine="748"/>
        <w:jc w:val="both"/>
        <w:rPr>
          <w:noProof/>
        </w:rPr>
      </w:pPr>
      <w:r>
        <w:rPr>
          <w:noProof/>
        </w:rPr>
        <w:t xml:space="preserve">2.2.1.3. </w:t>
      </w:r>
      <w:r w:rsidRPr="006D319E">
        <w:rPr>
          <w:noProof/>
        </w:rPr>
        <w:t>Socialinio būsto plėtra ir kokybės gerinimas</w:t>
      </w:r>
      <w:r>
        <w:rPr>
          <w:noProof/>
        </w:rPr>
        <w:t>.</w:t>
      </w:r>
    </w:p>
    <w:p w:rsidR="006D319E" w:rsidRDefault="006D319E" w:rsidP="006D319E">
      <w:pPr>
        <w:ind w:firstLine="748"/>
        <w:jc w:val="both"/>
        <w:rPr>
          <w:noProof/>
        </w:rPr>
      </w:pPr>
      <w:r>
        <w:rPr>
          <w:noProof/>
        </w:rPr>
        <w:t>2015 m. nebuvo skirta Valstybės biudžeto lėšų, todėl nenupirktas nei vienas socialinis būstas. 2015 m. parengtas investicijų projektas "Socialinio būsto plėtra". Preliminari projekto vertė 2086 tūkst. Eur, planuojamas  įgyvendinimo laikotarpis 2017-2019 m.</w:t>
      </w:r>
    </w:p>
    <w:p w:rsidR="006D319E" w:rsidRDefault="001B7524" w:rsidP="006D319E">
      <w:pPr>
        <w:ind w:firstLine="748"/>
        <w:jc w:val="both"/>
        <w:rPr>
          <w:noProof/>
        </w:rPr>
      </w:pPr>
      <w:r>
        <w:rPr>
          <w:noProof/>
        </w:rPr>
        <w:t xml:space="preserve">2.3.3.3. </w:t>
      </w:r>
      <w:r w:rsidRPr="001B7524">
        <w:rPr>
          <w:noProof/>
        </w:rPr>
        <w:t>Parengti kūrybinių industrijų galimybių plėtros studiją ir pagal ją įgyvendinti priemones</w:t>
      </w:r>
      <w:r>
        <w:rPr>
          <w:noProof/>
        </w:rPr>
        <w:t>.</w:t>
      </w:r>
    </w:p>
    <w:p w:rsidR="001B7524" w:rsidRDefault="001B7524" w:rsidP="006D319E">
      <w:pPr>
        <w:ind w:firstLine="748"/>
        <w:jc w:val="both"/>
        <w:rPr>
          <w:noProof/>
        </w:rPr>
      </w:pPr>
      <w:r>
        <w:rPr>
          <w:noProof/>
        </w:rPr>
        <w:t>2014-</w:t>
      </w:r>
      <w:r w:rsidRPr="001B7524">
        <w:rPr>
          <w:noProof/>
        </w:rPr>
        <w:t>2015 m. biudžete nenumatytos lėšos. Studija neparengta. Planuojama parengti 2017</w:t>
      </w:r>
      <w:r>
        <w:rPr>
          <w:noProof/>
        </w:rPr>
        <w:t>-2018</w:t>
      </w:r>
      <w:r w:rsidRPr="001B7524">
        <w:rPr>
          <w:noProof/>
        </w:rPr>
        <w:t xml:space="preserve"> m.</w:t>
      </w:r>
      <w:r w:rsidR="00E94145">
        <w:rPr>
          <w:noProof/>
        </w:rPr>
        <w:t xml:space="preserve"> Reikalinga kreiptis į Kultūros ir meno tarybą dėl tokios studijos tikslingumo. </w:t>
      </w:r>
    </w:p>
    <w:p w:rsidR="00E94145" w:rsidRDefault="00E94145" w:rsidP="006D319E">
      <w:pPr>
        <w:ind w:firstLine="748"/>
        <w:jc w:val="both"/>
        <w:rPr>
          <w:noProof/>
        </w:rPr>
      </w:pPr>
      <w:r>
        <w:rPr>
          <w:noProof/>
        </w:rPr>
        <w:t xml:space="preserve">2.3.5.1.   </w:t>
      </w:r>
      <w:r w:rsidRPr="00E94145">
        <w:rPr>
          <w:noProof/>
        </w:rPr>
        <w:t>3. Poeto J.Čerkeso-Besparnio sodybos atstatymas ir pritaikymas</w:t>
      </w:r>
      <w:r>
        <w:rPr>
          <w:noProof/>
        </w:rPr>
        <w:t>.</w:t>
      </w:r>
    </w:p>
    <w:p w:rsidR="00E94145" w:rsidRDefault="00E94145" w:rsidP="006D319E">
      <w:pPr>
        <w:ind w:firstLine="748"/>
        <w:jc w:val="both"/>
        <w:rPr>
          <w:noProof/>
        </w:rPr>
      </w:pPr>
      <w:r>
        <w:rPr>
          <w:noProof/>
        </w:rPr>
        <w:t>Nevykdoma, neskirtas finasavimas.</w:t>
      </w:r>
    </w:p>
    <w:p w:rsidR="00E94145" w:rsidRDefault="00E94145" w:rsidP="006D319E">
      <w:pPr>
        <w:ind w:firstLine="748"/>
        <w:jc w:val="both"/>
        <w:rPr>
          <w:noProof/>
        </w:rPr>
      </w:pPr>
      <w:r>
        <w:rPr>
          <w:noProof/>
        </w:rPr>
        <w:t xml:space="preserve">                6.</w:t>
      </w:r>
      <w:r w:rsidRPr="00E94145">
        <w:t xml:space="preserve"> </w:t>
      </w:r>
      <w:r w:rsidRPr="00E94145">
        <w:rPr>
          <w:noProof/>
        </w:rPr>
        <w:t>Namo, kuriame gyveno G.Petkevičaitė-Bitė, rekonstravimas ir pritaikymas</w:t>
      </w:r>
      <w:r>
        <w:rPr>
          <w:noProof/>
        </w:rPr>
        <w:t xml:space="preserve">. </w:t>
      </w:r>
    </w:p>
    <w:p w:rsidR="00E94145" w:rsidRDefault="00E94145" w:rsidP="006D319E">
      <w:pPr>
        <w:ind w:firstLine="748"/>
        <w:jc w:val="both"/>
        <w:rPr>
          <w:noProof/>
        </w:rPr>
      </w:pPr>
      <w:r w:rsidRPr="00E94145">
        <w:rPr>
          <w:noProof/>
        </w:rPr>
        <w:lastRenderedPageBreak/>
        <w:t>Nevykdoma, objektas priklauso keliems savininkams. Reikalingas politinis sprendimas</w:t>
      </w:r>
      <w:r>
        <w:rPr>
          <w:noProof/>
        </w:rPr>
        <w:t>.</w:t>
      </w:r>
    </w:p>
    <w:p w:rsidR="00E94145" w:rsidRDefault="00BA0AA7" w:rsidP="006D319E">
      <w:pPr>
        <w:ind w:firstLine="748"/>
        <w:jc w:val="both"/>
        <w:rPr>
          <w:noProof/>
        </w:rPr>
      </w:pPr>
      <w:r>
        <w:rPr>
          <w:noProof/>
        </w:rPr>
        <w:t xml:space="preserve">2.4.1.6. </w:t>
      </w:r>
      <w:r w:rsidRPr="00BA0AA7">
        <w:rPr>
          <w:noProof/>
        </w:rPr>
        <w:t>Plėtoti tarptautinį bendradarbiavimą su miestais partneriais kūno kultūros ir sporto srityje</w:t>
      </w:r>
      <w:r>
        <w:rPr>
          <w:noProof/>
        </w:rPr>
        <w:t>.</w:t>
      </w:r>
    </w:p>
    <w:p w:rsidR="00BA0AA7" w:rsidRDefault="00BA0AA7" w:rsidP="006D319E">
      <w:pPr>
        <w:ind w:firstLine="748"/>
        <w:jc w:val="both"/>
        <w:rPr>
          <w:noProof/>
        </w:rPr>
      </w:pPr>
      <w:r w:rsidRPr="00BA0AA7">
        <w:rPr>
          <w:noProof/>
        </w:rPr>
        <w:t>2015 m. neskirta Savivaldybės biudžeto lėšų. Planuojama 2017 m.</w:t>
      </w:r>
    </w:p>
    <w:p w:rsidR="00BA0AA7" w:rsidRDefault="00BA0AA7" w:rsidP="006D319E">
      <w:pPr>
        <w:ind w:firstLine="748"/>
        <w:jc w:val="both"/>
        <w:rPr>
          <w:noProof/>
        </w:rPr>
      </w:pPr>
      <w:r>
        <w:rPr>
          <w:noProof/>
        </w:rPr>
        <w:t xml:space="preserve">2.5.4.6. </w:t>
      </w:r>
      <w:r w:rsidRPr="00BA0AA7">
        <w:rPr>
          <w:noProof/>
        </w:rPr>
        <w:t>Savivaldybės ekstremaliųjų situacijų operacijų centro patalpų įrengimas ir aprūpinimas privalomomis techninėmis priemonėmis</w:t>
      </w:r>
      <w:r>
        <w:rPr>
          <w:noProof/>
        </w:rPr>
        <w:t>.</w:t>
      </w:r>
    </w:p>
    <w:p w:rsidR="00BA0AA7" w:rsidRDefault="001A7CBD" w:rsidP="006D319E">
      <w:pPr>
        <w:ind w:firstLine="748"/>
        <w:jc w:val="both"/>
        <w:rPr>
          <w:noProof/>
        </w:rPr>
      </w:pPr>
      <w:r w:rsidRPr="00BA0AA7">
        <w:rPr>
          <w:noProof/>
        </w:rPr>
        <w:t xml:space="preserve">2015 m. neskirta Savivaldybės biudžeto lėšų. </w:t>
      </w:r>
      <w:r w:rsidR="00BA0AA7" w:rsidRPr="00BA0AA7">
        <w:rPr>
          <w:noProof/>
        </w:rPr>
        <w:t>2017 m. planuojama skirti  lėšas  techninės įrangos įsigyjimui</w:t>
      </w:r>
      <w:r w:rsidR="00BA0AA7">
        <w:rPr>
          <w:noProof/>
        </w:rPr>
        <w:t>.</w:t>
      </w:r>
    </w:p>
    <w:p w:rsidR="000A40C9" w:rsidRDefault="00BA0AA7" w:rsidP="006D319E">
      <w:pPr>
        <w:ind w:firstLine="748"/>
        <w:jc w:val="both"/>
        <w:rPr>
          <w:noProof/>
        </w:rPr>
      </w:pPr>
      <w:r>
        <w:rPr>
          <w:noProof/>
        </w:rPr>
        <w:t xml:space="preserve">2.5.4.7. </w:t>
      </w:r>
      <w:r w:rsidRPr="00BA0AA7">
        <w:rPr>
          <w:noProof/>
        </w:rPr>
        <w:t>Įkurti koordinacinę tarybą, kuri koordinuotų ir vykdytų visas saugaus miesto veiklos kryptis</w:t>
      </w:r>
      <w:r w:rsidR="000A40C9">
        <w:rPr>
          <w:noProof/>
        </w:rPr>
        <w:t>.</w:t>
      </w:r>
    </w:p>
    <w:p w:rsidR="006A6723" w:rsidRDefault="006A6723" w:rsidP="006D319E">
      <w:pPr>
        <w:ind w:firstLine="748"/>
        <w:jc w:val="both"/>
        <w:rPr>
          <w:noProof/>
        </w:rPr>
      </w:pPr>
      <w:r w:rsidRPr="006A6723">
        <w:rPr>
          <w:noProof/>
        </w:rPr>
        <w:t>2017 m. planuojama įkurti koordinacinę tarybą</w:t>
      </w:r>
      <w:r>
        <w:rPr>
          <w:noProof/>
        </w:rPr>
        <w:t>.</w:t>
      </w:r>
    </w:p>
    <w:p w:rsidR="006A6723" w:rsidRDefault="00143838" w:rsidP="006D319E">
      <w:pPr>
        <w:ind w:firstLine="748"/>
        <w:jc w:val="both"/>
        <w:rPr>
          <w:noProof/>
        </w:rPr>
      </w:pPr>
      <w:r>
        <w:rPr>
          <w:noProof/>
        </w:rPr>
        <w:t xml:space="preserve">2.6.3.3. </w:t>
      </w:r>
      <w:r w:rsidRPr="00143838">
        <w:rPr>
          <w:noProof/>
        </w:rPr>
        <w:t>Įkurti dviračių namus</w:t>
      </w:r>
      <w:r>
        <w:rPr>
          <w:noProof/>
        </w:rPr>
        <w:t>.</w:t>
      </w:r>
    </w:p>
    <w:p w:rsidR="00143838" w:rsidRDefault="00143838" w:rsidP="006D319E">
      <w:pPr>
        <w:ind w:firstLine="748"/>
        <w:jc w:val="both"/>
        <w:rPr>
          <w:noProof/>
        </w:rPr>
      </w:pPr>
      <w:r w:rsidRPr="00143838">
        <w:rPr>
          <w:noProof/>
        </w:rPr>
        <w:t>Dviračių namams ieškoma tinkamų patalpų</w:t>
      </w:r>
      <w:r>
        <w:rPr>
          <w:noProof/>
        </w:rPr>
        <w:t>.</w:t>
      </w:r>
    </w:p>
    <w:p w:rsidR="00641CFF" w:rsidRPr="00800C4F" w:rsidRDefault="00641CFF" w:rsidP="004F1A34">
      <w:pPr>
        <w:ind w:firstLine="720"/>
        <w:jc w:val="both"/>
        <w:rPr>
          <w:color w:val="FF0000"/>
        </w:rPr>
      </w:pPr>
    </w:p>
    <w:p w:rsidR="00641CFF" w:rsidRPr="008A6B67" w:rsidRDefault="00641CFF" w:rsidP="00641CFF">
      <w:pPr>
        <w:ind w:firstLine="748"/>
        <w:jc w:val="both"/>
        <w:rPr>
          <w:noProof/>
        </w:rPr>
      </w:pPr>
      <w:r w:rsidRPr="008A6B67">
        <w:rPr>
          <w:noProof/>
        </w:rPr>
        <w:t>Statistikos departamento duomenimis vidutinis metinis gyventojų skaičius 201</w:t>
      </w:r>
      <w:r w:rsidR="008A6B67" w:rsidRPr="008A6B67">
        <w:rPr>
          <w:noProof/>
        </w:rPr>
        <w:t>5</w:t>
      </w:r>
      <w:r w:rsidRPr="008A6B67">
        <w:rPr>
          <w:noProof/>
        </w:rPr>
        <w:t xml:space="preserve"> m. Panevėžio mieste buvo 9</w:t>
      </w:r>
      <w:r w:rsidR="008A6B67" w:rsidRPr="008A6B67">
        <w:rPr>
          <w:noProof/>
        </w:rPr>
        <w:t>4</w:t>
      </w:r>
      <w:r w:rsidRPr="008A6B67">
        <w:rPr>
          <w:noProof/>
        </w:rPr>
        <w:t xml:space="preserve"> </w:t>
      </w:r>
      <w:r w:rsidR="008A6B67" w:rsidRPr="008A6B67">
        <w:rPr>
          <w:noProof/>
        </w:rPr>
        <w:t>400</w:t>
      </w:r>
      <w:r w:rsidRPr="008A6B67">
        <w:rPr>
          <w:noProof/>
        </w:rPr>
        <w:t xml:space="preserve">  ir palyginus su 201</w:t>
      </w:r>
      <w:r w:rsidR="008A6B67" w:rsidRPr="008A6B67">
        <w:rPr>
          <w:noProof/>
        </w:rPr>
        <w:t>4</w:t>
      </w:r>
      <w:r w:rsidRPr="008A6B67">
        <w:rPr>
          <w:noProof/>
        </w:rPr>
        <w:t xml:space="preserve"> m. (9</w:t>
      </w:r>
      <w:r w:rsidR="008A6B67" w:rsidRPr="008A6B67">
        <w:rPr>
          <w:noProof/>
        </w:rPr>
        <w:t>5</w:t>
      </w:r>
      <w:r w:rsidRPr="008A6B67">
        <w:rPr>
          <w:noProof/>
        </w:rPr>
        <w:t xml:space="preserve"> </w:t>
      </w:r>
      <w:r w:rsidR="008A6B67" w:rsidRPr="008A6B67">
        <w:rPr>
          <w:noProof/>
        </w:rPr>
        <w:t>765</w:t>
      </w:r>
      <w:r w:rsidRPr="008A6B67">
        <w:rPr>
          <w:noProof/>
        </w:rPr>
        <w:t xml:space="preserve">), sumažėjo 1,0 proc. Panevėžyje gyventojų skaičiaus mažėjimas yra gana ženklus, per paskutinius 5 metus gyventojų mieste sumažėjo </w:t>
      </w:r>
      <w:r w:rsidR="008A6B67" w:rsidRPr="008A6B67">
        <w:rPr>
          <w:noProof/>
        </w:rPr>
        <w:t>4848</w:t>
      </w:r>
      <w:r w:rsidRPr="008A6B67">
        <w:rPr>
          <w:noProof/>
        </w:rPr>
        <w:t xml:space="preserve"> arba </w:t>
      </w:r>
      <w:r w:rsidR="008A6B67" w:rsidRPr="008A6B67">
        <w:rPr>
          <w:noProof/>
        </w:rPr>
        <w:t>4,9</w:t>
      </w:r>
      <w:r w:rsidRPr="008A6B67">
        <w:rPr>
          <w:noProof/>
        </w:rPr>
        <w:t xml:space="preserve"> proc. (žr.12 diagramą)</w:t>
      </w:r>
    </w:p>
    <w:p w:rsidR="00641CFF" w:rsidRPr="00800C4F" w:rsidRDefault="00641CFF" w:rsidP="00641CFF">
      <w:pPr>
        <w:ind w:firstLine="748"/>
        <w:jc w:val="both"/>
        <w:rPr>
          <w:noProof/>
          <w:color w:val="FF0000"/>
        </w:rPr>
      </w:pPr>
    </w:p>
    <w:p w:rsidR="00641CFF" w:rsidRDefault="00641CFF" w:rsidP="00641CFF">
      <w:pPr>
        <w:ind w:firstLine="748"/>
        <w:jc w:val="both"/>
        <w:rPr>
          <w:noProof/>
        </w:rPr>
      </w:pPr>
      <w:r w:rsidRPr="008A6B67">
        <w:rPr>
          <w:noProof/>
        </w:rPr>
        <w:t>12 diagrama. Gyventojų skaičiaus kaita Panevėžio mieste</w:t>
      </w:r>
    </w:p>
    <w:p w:rsidR="008A6B67" w:rsidRPr="008A6B67" w:rsidRDefault="008A6B67" w:rsidP="00641CFF">
      <w:pPr>
        <w:ind w:firstLine="748"/>
        <w:jc w:val="both"/>
        <w:rPr>
          <w:noProof/>
        </w:rPr>
      </w:pPr>
      <w:r>
        <w:rPr>
          <w:noProof/>
        </w:rPr>
        <w:drawing>
          <wp:inline distT="0" distB="0" distL="0" distR="0">
            <wp:extent cx="5486400" cy="2087880"/>
            <wp:effectExtent l="0" t="0" r="0" b="0"/>
            <wp:docPr id="35" name="Diagrama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25C73" w:rsidRPr="00800C4F" w:rsidRDefault="00225C73" w:rsidP="00641CFF">
      <w:pPr>
        <w:ind w:firstLine="748"/>
        <w:jc w:val="both"/>
        <w:rPr>
          <w:noProof/>
          <w:color w:val="FF0000"/>
        </w:rPr>
      </w:pPr>
    </w:p>
    <w:p w:rsidR="00225C73" w:rsidRPr="00800C4F" w:rsidRDefault="00225C73" w:rsidP="00641CFF">
      <w:pPr>
        <w:ind w:firstLine="748"/>
        <w:jc w:val="both"/>
        <w:rPr>
          <w:noProof/>
          <w:color w:val="FF0000"/>
        </w:rPr>
      </w:pPr>
    </w:p>
    <w:p w:rsidR="00641CFF" w:rsidRPr="009D1892" w:rsidRDefault="00641CFF" w:rsidP="00641CFF">
      <w:pPr>
        <w:ind w:firstLine="748"/>
        <w:jc w:val="both"/>
        <w:rPr>
          <w:noProof/>
        </w:rPr>
      </w:pPr>
      <w:r w:rsidRPr="00800C4F">
        <w:rPr>
          <w:noProof/>
          <w:color w:val="FF0000"/>
        </w:rPr>
        <w:tab/>
        <w:t xml:space="preserve"> </w:t>
      </w:r>
      <w:r w:rsidRPr="009D1892">
        <w:rPr>
          <w:noProof/>
        </w:rPr>
        <w:t xml:space="preserve">Žemas gimstamumo lygis neužtikrina kartų kaitos. Dėl neigiamos natūralios kaitos gyventojų skaičius sumažėjo </w:t>
      </w:r>
      <w:r w:rsidR="00831734" w:rsidRPr="009D1892">
        <w:rPr>
          <w:noProof/>
        </w:rPr>
        <w:t>2</w:t>
      </w:r>
      <w:r w:rsidR="009D1892" w:rsidRPr="009D1892">
        <w:rPr>
          <w:noProof/>
        </w:rPr>
        <w:t>90</w:t>
      </w:r>
      <w:r w:rsidRPr="009D1892">
        <w:rPr>
          <w:noProof/>
        </w:rPr>
        <w:t>. Gimstamumas, palyginus su ankstesniais metais, sumažėjo 7 procentais, o mirštamumas sumažėjo 5 proc.</w:t>
      </w:r>
      <w:r w:rsidR="00831734" w:rsidRPr="009D1892">
        <w:rPr>
          <w:noProof/>
        </w:rPr>
        <w:t xml:space="preserve">, </w:t>
      </w:r>
      <w:r w:rsidRPr="009D1892">
        <w:rPr>
          <w:noProof/>
        </w:rPr>
        <w:t xml:space="preserve"> migracijos saldo</w:t>
      </w:r>
      <w:r w:rsidR="00831734" w:rsidRPr="009D1892">
        <w:rPr>
          <w:noProof/>
        </w:rPr>
        <w:t xml:space="preserve"> - neigiamas</w:t>
      </w:r>
      <w:r w:rsidRPr="009D1892">
        <w:rPr>
          <w:noProof/>
        </w:rPr>
        <w:t xml:space="preserve"> </w:t>
      </w:r>
      <w:r w:rsidR="00831734" w:rsidRPr="009D1892">
        <w:rPr>
          <w:noProof/>
        </w:rPr>
        <w:t>(</w:t>
      </w:r>
      <w:r w:rsidR="009D1892" w:rsidRPr="009D1892">
        <w:rPr>
          <w:noProof/>
        </w:rPr>
        <w:t>1314</w:t>
      </w:r>
      <w:r w:rsidR="00831734" w:rsidRPr="009D1892">
        <w:rPr>
          <w:noProof/>
        </w:rPr>
        <w:t>)</w:t>
      </w:r>
      <w:r w:rsidRPr="009D1892">
        <w:rPr>
          <w:noProof/>
        </w:rPr>
        <w:t>.</w:t>
      </w:r>
    </w:p>
    <w:p w:rsidR="00BD0A9A" w:rsidRPr="00800C4F" w:rsidRDefault="00BD0A9A" w:rsidP="00BD0A9A">
      <w:pPr>
        <w:pStyle w:val="Porat"/>
        <w:tabs>
          <w:tab w:val="clear" w:pos="4153"/>
          <w:tab w:val="clear" w:pos="8306"/>
        </w:tabs>
        <w:ind w:firstLine="748"/>
        <w:jc w:val="both"/>
        <w:outlineLvl w:val="0"/>
        <w:rPr>
          <w:color w:val="FF0000"/>
        </w:rPr>
      </w:pPr>
    </w:p>
    <w:p w:rsidR="00BD0A9A" w:rsidRPr="009D1892" w:rsidRDefault="00BD0A9A" w:rsidP="00BD0A9A">
      <w:pPr>
        <w:pStyle w:val="Porat"/>
        <w:tabs>
          <w:tab w:val="clear" w:pos="4153"/>
          <w:tab w:val="clear" w:pos="8306"/>
        </w:tabs>
        <w:ind w:firstLine="748"/>
        <w:jc w:val="both"/>
        <w:outlineLvl w:val="0"/>
      </w:pPr>
      <w:r w:rsidRPr="009D1892">
        <w:t>Švietim</w:t>
      </w:r>
      <w:r w:rsidR="0058758D" w:rsidRPr="009D1892">
        <w:t xml:space="preserve">as </w:t>
      </w:r>
      <w:r w:rsidRPr="009D1892">
        <w:t xml:space="preserve">ir </w:t>
      </w:r>
      <w:r w:rsidR="0058758D" w:rsidRPr="009D1892">
        <w:t>mokslas</w:t>
      </w:r>
      <w:r w:rsidRPr="009D1892">
        <w:t>.</w:t>
      </w:r>
      <w:r w:rsidRPr="009D1892">
        <w:rPr>
          <w:b/>
        </w:rPr>
        <w:t xml:space="preserve"> </w:t>
      </w:r>
      <w:r w:rsidRPr="009D1892">
        <w:t>Savivaldybės</w:t>
      </w:r>
      <w:r w:rsidR="000F0745" w:rsidRPr="009D1892">
        <w:t xml:space="preserve"> ir valstybės</w:t>
      </w:r>
      <w:r w:rsidRPr="009D1892">
        <w:t xml:space="preserve"> biudžeto išlaidų švietimui dinamika pavaizduota  1</w:t>
      </w:r>
      <w:r w:rsidR="00DA3725" w:rsidRPr="009D1892">
        <w:t>3</w:t>
      </w:r>
      <w:r w:rsidRPr="009D1892">
        <w:t xml:space="preserve"> diagramoje.</w:t>
      </w:r>
    </w:p>
    <w:p w:rsidR="00BD0A9A" w:rsidRPr="00506B0B" w:rsidRDefault="00BD0A9A" w:rsidP="00BD0A9A">
      <w:pPr>
        <w:pStyle w:val="Porat"/>
        <w:tabs>
          <w:tab w:val="clear" w:pos="4153"/>
          <w:tab w:val="clear" w:pos="8306"/>
        </w:tabs>
        <w:ind w:firstLine="748"/>
        <w:jc w:val="both"/>
        <w:outlineLvl w:val="0"/>
      </w:pPr>
    </w:p>
    <w:p w:rsidR="00BD0A9A" w:rsidRPr="00506B0B" w:rsidRDefault="00BD0A9A" w:rsidP="00BD0A9A">
      <w:pPr>
        <w:pStyle w:val="Porat"/>
        <w:tabs>
          <w:tab w:val="clear" w:pos="4153"/>
          <w:tab w:val="clear" w:pos="8306"/>
        </w:tabs>
        <w:ind w:firstLine="748"/>
        <w:jc w:val="both"/>
        <w:outlineLvl w:val="0"/>
      </w:pPr>
      <w:r w:rsidRPr="00506B0B">
        <w:t>1</w:t>
      </w:r>
      <w:r w:rsidR="000C08DF" w:rsidRPr="00506B0B">
        <w:t>3</w:t>
      </w:r>
      <w:r w:rsidRPr="00506B0B">
        <w:t xml:space="preserve"> diagrama. Savivaldybės</w:t>
      </w:r>
      <w:r w:rsidR="000F0745" w:rsidRPr="00506B0B">
        <w:t xml:space="preserve"> ir valstybės</w:t>
      </w:r>
      <w:r w:rsidRPr="00506B0B">
        <w:t xml:space="preserve"> biudžeto išlaidos švietimui, tūkst. </w:t>
      </w:r>
      <w:r w:rsidR="005955DA" w:rsidRPr="00506B0B">
        <w:t>EUR</w:t>
      </w:r>
    </w:p>
    <w:p w:rsidR="00506B0B" w:rsidRPr="00800C4F" w:rsidRDefault="00506B0B" w:rsidP="00BD0A9A">
      <w:pPr>
        <w:pStyle w:val="Porat"/>
        <w:tabs>
          <w:tab w:val="clear" w:pos="4153"/>
          <w:tab w:val="clear" w:pos="8306"/>
        </w:tabs>
        <w:ind w:firstLine="748"/>
        <w:jc w:val="both"/>
        <w:outlineLvl w:val="0"/>
        <w:rPr>
          <w:color w:val="FF0000"/>
        </w:rPr>
      </w:pPr>
      <w:r>
        <w:rPr>
          <w:noProof/>
          <w:color w:val="FF0000"/>
        </w:rPr>
        <w:drawing>
          <wp:inline distT="0" distB="0" distL="0" distR="0">
            <wp:extent cx="5486400" cy="1341120"/>
            <wp:effectExtent l="0" t="0" r="0" b="0"/>
            <wp:docPr id="36" name="Diagrama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D0A9A" w:rsidRPr="00800C4F" w:rsidRDefault="00BD0A9A" w:rsidP="00BD0A9A">
      <w:pPr>
        <w:pStyle w:val="Porat"/>
        <w:tabs>
          <w:tab w:val="clear" w:pos="4153"/>
          <w:tab w:val="clear" w:pos="8306"/>
        </w:tabs>
        <w:ind w:firstLine="748"/>
        <w:jc w:val="both"/>
        <w:outlineLvl w:val="0"/>
        <w:rPr>
          <w:color w:val="FF0000"/>
        </w:rPr>
      </w:pPr>
    </w:p>
    <w:p w:rsidR="00BD0A9A" w:rsidRPr="00314203" w:rsidRDefault="00BD0A9A" w:rsidP="001C595B">
      <w:pPr>
        <w:ind w:firstLine="748"/>
        <w:jc w:val="both"/>
      </w:pPr>
      <w:r w:rsidRPr="00314203">
        <w:t xml:space="preserve">Vienas iš II prioriteto uždavinių – </w:t>
      </w:r>
      <w:r w:rsidR="002551C3" w:rsidRPr="00314203">
        <w:t>užtikrinti aukštą švietimo paslaugų kokybę</w:t>
      </w:r>
      <w:r w:rsidRPr="00314203">
        <w:t xml:space="preserve">. Tuo tikslu </w:t>
      </w:r>
      <w:r w:rsidR="002551C3" w:rsidRPr="00314203">
        <w:t xml:space="preserve">patvirtintas Panevėžio miesto savivaldybės bendrojo ugdymo mokyklų tinklo pertvarkos </w:t>
      </w:r>
      <w:r w:rsidR="00314203" w:rsidRPr="00314203">
        <w:t>2016-2020 metų bendrasis planas</w:t>
      </w:r>
      <w:r w:rsidR="001C595B" w:rsidRPr="00314203">
        <w:t>.</w:t>
      </w:r>
      <w:r w:rsidR="00314203" w:rsidRPr="00314203">
        <w:t xml:space="preserve"> Gavus papildomą finansavimą buvo tęsiamas  2 ugdymo įstaigų</w:t>
      </w:r>
      <w:r w:rsidR="000A40C9">
        <w:t>-</w:t>
      </w:r>
      <w:r w:rsidR="00314203" w:rsidRPr="00314203">
        <w:t xml:space="preserve"> „Ąžuolo“ ir  „Vyturio“ progimnazijų pastatų atnaujinimas. 2015 m. užbaigti šių lopšelių - </w:t>
      </w:r>
      <w:r w:rsidR="00314203" w:rsidRPr="00314203">
        <w:lastRenderedPageBreak/>
        <w:t>darželių rekonstravimo, modernizavimo darbai: „Jūratė", „Rūta", „Pušynėlis". Panevėžio miesto savivaldybės tarybos 2015 m. sausio 29 d. sprendimu Nr. 1-2 „Dėl pritarimo bendradarbiavimo deklaracijai“, pasirašyta bendradarbiavimo deklaracija su Panevėžio miesto ir rajono savivaldybėmis, 16 įvairių mokslo ir verslo institucij</w:t>
      </w:r>
      <w:r w:rsidR="000A40C9">
        <w:t>ų</w:t>
      </w:r>
      <w:r w:rsidR="00314203" w:rsidRPr="00314203">
        <w:t>.</w:t>
      </w:r>
    </w:p>
    <w:p w:rsidR="00BD0A9A" w:rsidRPr="00800C4F" w:rsidRDefault="00BD0A9A" w:rsidP="00BD0A9A">
      <w:pPr>
        <w:ind w:firstLine="748"/>
        <w:jc w:val="both"/>
        <w:rPr>
          <w:color w:val="FF0000"/>
        </w:rPr>
      </w:pPr>
    </w:p>
    <w:p w:rsidR="00BD0A9A" w:rsidRPr="00CF4FEA" w:rsidRDefault="00BD0A9A" w:rsidP="00BD0A9A">
      <w:pPr>
        <w:ind w:firstLine="748"/>
        <w:jc w:val="both"/>
      </w:pPr>
      <w:r w:rsidRPr="00CF4FEA">
        <w:t xml:space="preserve">Bendrojo </w:t>
      </w:r>
      <w:r w:rsidR="001C595B" w:rsidRPr="00CF4FEA">
        <w:t>ugdymo įstaigas lankančių mokinių</w:t>
      </w:r>
      <w:r w:rsidRPr="00CF4FEA">
        <w:t xml:space="preserve"> skaičius per paskutinius penkerius metus sumažėjo </w:t>
      </w:r>
      <w:r w:rsidR="001C595B" w:rsidRPr="00CF4FEA">
        <w:t>1</w:t>
      </w:r>
      <w:r w:rsidR="00CF4FEA" w:rsidRPr="00CF4FEA">
        <w:t>7</w:t>
      </w:r>
      <w:r w:rsidRPr="00CF4FEA">
        <w:t xml:space="preserve"> proc. Žiūrėti 1</w:t>
      </w:r>
      <w:r w:rsidR="000C08DF" w:rsidRPr="00CF4FEA">
        <w:t>4</w:t>
      </w:r>
      <w:r w:rsidRPr="00CF4FEA">
        <w:t xml:space="preserve"> diagramą.</w:t>
      </w:r>
    </w:p>
    <w:p w:rsidR="001C595B" w:rsidRPr="00CF4FEA" w:rsidRDefault="001C595B" w:rsidP="00BD0A9A">
      <w:pPr>
        <w:ind w:firstLine="748"/>
        <w:jc w:val="both"/>
      </w:pPr>
    </w:p>
    <w:p w:rsidR="00BD0A9A" w:rsidRPr="00CF4FEA" w:rsidRDefault="00BD0A9A" w:rsidP="00BD0A9A">
      <w:pPr>
        <w:pStyle w:val="Porat"/>
        <w:tabs>
          <w:tab w:val="clear" w:pos="4153"/>
          <w:tab w:val="clear" w:pos="8306"/>
        </w:tabs>
        <w:ind w:firstLine="748"/>
        <w:jc w:val="both"/>
        <w:outlineLvl w:val="0"/>
      </w:pPr>
      <w:r w:rsidRPr="00CF4FEA">
        <w:t>1</w:t>
      </w:r>
      <w:r w:rsidR="000C08DF" w:rsidRPr="00CF4FEA">
        <w:t>4</w:t>
      </w:r>
      <w:r w:rsidRPr="00CF4FEA">
        <w:t xml:space="preserve"> diagrama. </w:t>
      </w:r>
      <w:r w:rsidR="00905876" w:rsidRPr="00CF4FEA">
        <w:t xml:space="preserve">Ikimokyklinio ir priešmokyklinio ugdymo įstaigas lankančių vaikų </w:t>
      </w:r>
      <w:r w:rsidRPr="00CF4FEA">
        <w:t xml:space="preserve">ir </w:t>
      </w:r>
      <w:r w:rsidR="00905876" w:rsidRPr="00CF4FEA">
        <w:t xml:space="preserve">bendrojo ugdymo įstaigas lankančių mokinių </w:t>
      </w:r>
      <w:r w:rsidRPr="00CF4FEA">
        <w:t>skaičius, vnt.</w:t>
      </w:r>
    </w:p>
    <w:p w:rsidR="00BD0A9A" w:rsidRPr="00800C4F" w:rsidRDefault="00CF4FEA" w:rsidP="00BD0A9A">
      <w:pPr>
        <w:pStyle w:val="Porat"/>
        <w:tabs>
          <w:tab w:val="clear" w:pos="4153"/>
          <w:tab w:val="clear" w:pos="8306"/>
        </w:tabs>
        <w:ind w:firstLine="748"/>
        <w:jc w:val="both"/>
        <w:outlineLvl w:val="0"/>
        <w:rPr>
          <w:color w:val="FF0000"/>
        </w:rPr>
      </w:pPr>
      <w:r>
        <w:rPr>
          <w:noProof/>
          <w:color w:val="FF0000"/>
        </w:rPr>
        <w:drawing>
          <wp:inline distT="0" distB="0" distL="0" distR="0">
            <wp:extent cx="5486400" cy="2423160"/>
            <wp:effectExtent l="0" t="0" r="0" b="0"/>
            <wp:docPr id="37" name="Diagrama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641CFF" w:rsidRPr="00800C4F" w:rsidRDefault="00641CFF" w:rsidP="00BD0A9A">
      <w:pPr>
        <w:pStyle w:val="Porat"/>
        <w:tabs>
          <w:tab w:val="clear" w:pos="4153"/>
          <w:tab w:val="clear" w:pos="8306"/>
        </w:tabs>
        <w:ind w:firstLine="748"/>
        <w:jc w:val="both"/>
        <w:outlineLvl w:val="0"/>
        <w:rPr>
          <w:color w:val="FF0000"/>
        </w:rPr>
      </w:pPr>
    </w:p>
    <w:p w:rsidR="00BD0A9A" w:rsidRPr="000F1F57" w:rsidRDefault="00BD0A9A" w:rsidP="00BD0A9A">
      <w:pPr>
        <w:pStyle w:val="Porat"/>
        <w:tabs>
          <w:tab w:val="clear" w:pos="4153"/>
          <w:tab w:val="clear" w:pos="8306"/>
        </w:tabs>
        <w:ind w:firstLine="748"/>
        <w:jc w:val="both"/>
        <w:outlineLvl w:val="0"/>
      </w:pPr>
      <w:r w:rsidRPr="000F1F57">
        <w:t xml:space="preserve">Savivaldybės biudžeto išlaidų kultūrai dinamika pavaizduota  </w:t>
      </w:r>
      <w:r w:rsidR="005568D5" w:rsidRPr="000F1F57">
        <w:t>1</w:t>
      </w:r>
      <w:r w:rsidR="000C08DF" w:rsidRPr="000F1F57">
        <w:t>5</w:t>
      </w:r>
      <w:r w:rsidRPr="000F1F57">
        <w:t xml:space="preserve"> diagramoje.</w:t>
      </w:r>
    </w:p>
    <w:p w:rsidR="00BD0A9A" w:rsidRPr="000F1F57" w:rsidRDefault="00BD0A9A" w:rsidP="00BD0A9A">
      <w:pPr>
        <w:pStyle w:val="Porat"/>
        <w:tabs>
          <w:tab w:val="clear" w:pos="4153"/>
          <w:tab w:val="clear" w:pos="8306"/>
        </w:tabs>
        <w:ind w:firstLine="748"/>
        <w:jc w:val="both"/>
        <w:outlineLvl w:val="0"/>
      </w:pPr>
    </w:p>
    <w:p w:rsidR="00BD0A9A" w:rsidRPr="000F1F57" w:rsidRDefault="005568D5" w:rsidP="00BD0A9A">
      <w:pPr>
        <w:pStyle w:val="Porat"/>
        <w:tabs>
          <w:tab w:val="clear" w:pos="4153"/>
          <w:tab w:val="clear" w:pos="8306"/>
        </w:tabs>
        <w:ind w:firstLine="748"/>
        <w:jc w:val="both"/>
        <w:outlineLvl w:val="0"/>
      </w:pPr>
      <w:r w:rsidRPr="000F1F57">
        <w:t>1</w:t>
      </w:r>
      <w:r w:rsidR="000C08DF" w:rsidRPr="000F1F57">
        <w:t>5</w:t>
      </w:r>
      <w:r w:rsidR="00BD0A9A" w:rsidRPr="000F1F57">
        <w:t xml:space="preserve"> diagrama. Savivaldybės biudžeto išlaidos kultūrai, tūkst. </w:t>
      </w:r>
      <w:r w:rsidR="005955DA" w:rsidRPr="000F1F57">
        <w:t>EUR</w:t>
      </w:r>
    </w:p>
    <w:p w:rsidR="00BD0A9A" w:rsidRDefault="00BD0A9A" w:rsidP="00BD0A9A">
      <w:pPr>
        <w:pStyle w:val="Porat"/>
        <w:tabs>
          <w:tab w:val="clear" w:pos="4153"/>
          <w:tab w:val="clear" w:pos="8306"/>
        </w:tabs>
        <w:ind w:firstLine="748"/>
        <w:jc w:val="both"/>
        <w:outlineLvl w:val="0"/>
        <w:rPr>
          <w:noProof/>
          <w:color w:val="FF0000"/>
        </w:rPr>
      </w:pPr>
    </w:p>
    <w:p w:rsidR="000F1F57" w:rsidRPr="00800C4F" w:rsidRDefault="000F1F57" w:rsidP="00BD0A9A">
      <w:pPr>
        <w:pStyle w:val="Porat"/>
        <w:tabs>
          <w:tab w:val="clear" w:pos="4153"/>
          <w:tab w:val="clear" w:pos="8306"/>
        </w:tabs>
        <w:ind w:firstLine="748"/>
        <w:jc w:val="both"/>
        <w:outlineLvl w:val="0"/>
        <w:rPr>
          <w:color w:val="FF0000"/>
        </w:rPr>
      </w:pPr>
      <w:r>
        <w:rPr>
          <w:noProof/>
          <w:color w:val="FF0000"/>
        </w:rPr>
        <w:drawing>
          <wp:inline distT="0" distB="0" distL="0" distR="0">
            <wp:extent cx="5486400" cy="1615440"/>
            <wp:effectExtent l="0" t="0" r="0" b="0"/>
            <wp:docPr id="38" name="Diagrama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BD0A9A" w:rsidRPr="006C3B7F" w:rsidRDefault="00BD0A9A" w:rsidP="00BD0A9A">
      <w:pPr>
        <w:pStyle w:val="Porat"/>
        <w:tabs>
          <w:tab w:val="clear" w:pos="4153"/>
          <w:tab w:val="clear" w:pos="8306"/>
        </w:tabs>
        <w:ind w:firstLine="748"/>
        <w:jc w:val="both"/>
        <w:outlineLvl w:val="0"/>
      </w:pPr>
      <w:r w:rsidRPr="006C3B7F">
        <w:t xml:space="preserve">Savivaldybės biudžeto išlaidų kūno kultūrai ir sportui dinamika pavaizduota  </w:t>
      </w:r>
      <w:r w:rsidR="005568D5" w:rsidRPr="006C3B7F">
        <w:t>1</w:t>
      </w:r>
      <w:r w:rsidR="000C08DF" w:rsidRPr="006C3B7F">
        <w:t>6</w:t>
      </w:r>
      <w:r w:rsidRPr="006C3B7F">
        <w:t xml:space="preserve"> diagramoje.</w:t>
      </w:r>
    </w:p>
    <w:p w:rsidR="00BD0A9A" w:rsidRPr="006C3B7F" w:rsidRDefault="00BD0A9A" w:rsidP="00BD0A9A">
      <w:pPr>
        <w:pStyle w:val="Porat"/>
        <w:tabs>
          <w:tab w:val="clear" w:pos="4153"/>
          <w:tab w:val="clear" w:pos="8306"/>
        </w:tabs>
        <w:ind w:firstLine="748"/>
        <w:jc w:val="both"/>
        <w:outlineLvl w:val="0"/>
      </w:pPr>
    </w:p>
    <w:p w:rsidR="00BD0A9A" w:rsidRDefault="005568D5" w:rsidP="00BD0A9A">
      <w:pPr>
        <w:pStyle w:val="Porat"/>
        <w:tabs>
          <w:tab w:val="clear" w:pos="4153"/>
          <w:tab w:val="clear" w:pos="8306"/>
        </w:tabs>
        <w:ind w:firstLine="748"/>
        <w:jc w:val="both"/>
        <w:outlineLvl w:val="0"/>
      </w:pPr>
      <w:r w:rsidRPr="006C3B7F">
        <w:t>1</w:t>
      </w:r>
      <w:r w:rsidR="000C08DF" w:rsidRPr="006C3B7F">
        <w:t>6</w:t>
      </w:r>
      <w:r w:rsidR="00BD0A9A" w:rsidRPr="006C3B7F">
        <w:t xml:space="preserve"> diagrama. Savivaldybės biudžeto išlaidos kūno kultūrai ir sportui, tūkst. </w:t>
      </w:r>
      <w:r w:rsidR="005955DA" w:rsidRPr="006C3B7F">
        <w:t>EUR</w:t>
      </w:r>
    </w:p>
    <w:p w:rsidR="006C3B7F" w:rsidRPr="006C3B7F" w:rsidRDefault="006C3B7F" w:rsidP="00BD0A9A">
      <w:pPr>
        <w:pStyle w:val="Porat"/>
        <w:tabs>
          <w:tab w:val="clear" w:pos="4153"/>
          <w:tab w:val="clear" w:pos="8306"/>
        </w:tabs>
        <w:ind w:firstLine="748"/>
        <w:jc w:val="both"/>
        <w:outlineLvl w:val="0"/>
      </w:pPr>
      <w:r>
        <w:rPr>
          <w:noProof/>
        </w:rPr>
        <w:drawing>
          <wp:inline distT="0" distB="0" distL="0" distR="0">
            <wp:extent cx="5486400" cy="1447800"/>
            <wp:effectExtent l="0" t="0" r="0" b="0"/>
            <wp:docPr id="40" name="Diagrama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BD0A9A" w:rsidRPr="00800C4F" w:rsidRDefault="00BD0A9A" w:rsidP="00BD0A9A">
      <w:pPr>
        <w:pStyle w:val="Porat"/>
        <w:tabs>
          <w:tab w:val="clear" w:pos="4153"/>
          <w:tab w:val="clear" w:pos="8306"/>
        </w:tabs>
        <w:ind w:firstLine="748"/>
        <w:jc w:val="both"/>
        <w:outlineLvl w:val="0"/>
        <w:rPr>
          <w:color w:val="FF0000"/>
        </w:rPr>
      </w:pPr>
    </w:p>
    <w:p w:rsidR="005E7A56" w:rsidRPr="00F466DD" w:rsidRDefault="005E7A56" w:rsidP="004121E0">
      <w:pPr>
        <w:ind w:left="113" w:firstLine="635"/>
        <w:jc w:val="both"/>
      </w:pPr>
      <w:r w:rsidRPr="00F466DD">
        <w:t>Pagal Statistikos Departamento duomenis, 201</w:t>
      </w:r>
      <w:r w:rsidR="00F466DD" w:rsidRPr="00F466DD">
        <w:t>5</w:t>
      </w:r>
      <w:r w:rsidRPr="00F466DD">
        <w:t xml:space="preserve"> m. pradžiai vienas Panevėžio miesto gyventojas vidutiniškai apsilankė poliklinikose ir ambulatorijose </w:t>
      </w:r>
      <w:r w:rsidR="00F466DD" w:rsidRPr="00F466DD">
        <w:t>10,1</w:t>
      </w:r>
      <w:r w:rsidRPr="00F466DD">
        <w:t xml:space="preserve"> karto metuose, kai Lietuvos Respublikos tas pats rodiklis</w:t>
      </w:r>
      <w:r w:rsidR="004121E0" w:rsidRPr="00F466DD">
        <w:t xml:space="preserve"> –</w:t>
      </w:r>
      <w:r w:rsidRPr="00F466DD">
        <w:t xml:space="preserve"> 8</w:t>
      </w:r>
      <w:r w:rsidR="004121E0" w:rsidRPr="00F466DD">
        <w:t>,</w:t>
      </w:r>
      <w:r w:rsidR="00F466DD" w:rsidRPr="00F466DD">
        <w:t>5</w:t>
      </w:r>
      <w:r w:rsidRPr="00F466DD">
        <w:t xml:space="preserve"> (žiūrėti 1</w:t>
      </w:r>
      <w:r w:rsidR="000C08DF" w:rsidRPr="00F466DD">
        <w:t>7</w:t>
      </w:r>
      <w:r w:rsidRPr="00F466DD">
        <w:t xml:space="preserve"> diagramą). </w:t>
      </w:r>
    </w:p>
    <w:p w:rsidR="005E7A56" w:rsidRPr="00F466DD" w:rsidRDefault="005E7A56" w:rsidP="005E7A56">
      <w:pPr>
        <w:ind w:left="113"/>
        <w:jc w:val="both"/>
      </w:pPr>
    </w:p>
    <w:p w:rsidR="005E7A56" w:rsidRDefault="005E7A56" w:rsidP="005E7A56">
      <w:pPr>
        <w:ind w:left="113"/>
        <w:jc w:val="both"/>
      </w:pPr>
      <w:r w:rsidRPr="00F466DD">
        <w:tab/>
        <w:t>1</w:t>
      </w:r>
      <w:r w:rsidR="000C08DF" w:rsidRPr="00F466DD">
        <w:t>7</w:t>
      </w:r>
      <w:r w:rsidRPr="00F466DD">
        <w:t xml:space="preserve"> diagrama.  Vieno gyventojo vidutinis apsilankymų poliklinikose ir ambulatorijose skaičius.</w:t>
      </w:r>
    </w:p>
    <w:p w:rsidR="00F466DD" w:rsidRPr="00F466DD" w:rsidRDefault="00F466DD" w:rsidP="005E7A56">
      <w:pPr>
        <w:ind w:left="113"/>
        <w:jc w:val="both"/>
      </w:pPr>
      <w:r>
        <w:rPr>
          <w:noProof/>
        </w:rPr>
        <w:drawing>
          <wp:inline distT="0" distB="0" distL="0" distR="0">
            <wp:extent cx="5486400" cy="1409700"/>
            <wp:effectExtent l="0" t="0" r="0" b="0"/>
            <wp:docPr id="41" name="Diagrama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E7A56" w:rsidRPr="00800C4F" w:rsidRDefault="005E7A56" w:rsidP="005E7A56">
      <w:pPr>
        <w:ind w:left="113"/>
        <w:jc w:val="both"/>
        <w:rPr>
          <w:color w:val="FF0000"/>
        </w:rPr>
      </w:pPr>
    </w:p>
    <w:p w:rsidR="005E7A56" w:rsidRPr="00596A16" w:rsidRDefault="005E7A56" w:rsidP="005E7A56">
      <w:pPr>
        <w:ind w:left="113"/>
        <w:jc w:val="both"/>
        <w:rPr>
          <w:rFonts w:eastAsia="Arial Unicode MS"/>
        </w:rPr>
      </w:pPr>
      <w:r w:rsidRPr="00800C4F">
        <w:rPr>
          <w:color w:val="FF0000"/>
        </w:rPr>
        <w:tab/>
      </w:r>
      <w:r w:rsidRPr="00596A16">
        <w:rPr>
          <w:rFonts w:eastAsia="Arial Unicode MS"/>
        </w:rPr>
        <w:t xml:space="preserve">Savivaldybės biudžeto </w:t>
      </w:r>
      <w:r w:rsidR="006A7B40" w:rsidRPr="00596A16">
        <w:rPr>
          <w:rFonts w:eastAsia="Arial Unicode MS"/>
        </w:rPr>
        <w:t xml:space="preserve">išlaidų socialinėms pašalpoms Panevėžio mieste (tūkst. EUR)  ir socialinės pašalpos gavėjų skaičiaus </w:t>
      </w:r>
      <w:r w:rsidRPr="00596A16">
        <w:rPr>
          <w:rFonts w:eastAsia="Arial Unicode MS"/>
        </w:rPr>
        <w:t>dinamiką 20</w:t>
      </w:r>
      <w:r w:rsidR="004121E0" w:rsidRPr="00596A16">
        <w:rPr>
          <w:rFonts w:eastAsia="Arial Unicode MS"/>
        </w:rPr>
        <w:t>1</w:t>
      </w:r>
      <w:r w:rsidR="008B7C53" w:rsidRPr="00596A16">
        <w:rPr>
          <w:rFonts w:eastAsia="Arial Unicode MS"/>
        </w:rPr>
        <w:t>1</w:t>
      </w:r>
      <w:r w:rsidRPr="00596A16">
        <w:rPr>
          <w:rFonts w:eastAsia="Arial Unicode MS"/>
        </w:rPr>
        <w:t>-20</w:t>
      </w:r>
      <w:r w:rsidR="004121E0" w:rsidRPr="00596A16">
        <w:rPr>
          <w:rFonts w:eastAsia="Arial Unicode MS"/>
        </w:rPr>
        <w:t>1</w:t>
      </w:r>
      <w:r w:rsidR="008B7C53" w:rsidRPr="00596A16">
        <w:rPr>
          <w:rFonts w:eastAsia="Arial Unicode MS"/>
        </w:rPr>
        <w:t>5</w:t>
      </w:r>
      <w:r w:rsidRPr="00596A16">
        <w:rPr>
          <w:rFonts w:eastAsia="Arial Unicode MS"/>
        </w:rPr>
        <w:t xml:space="preserve"> m. galima matyti 1</w:t>
      </w:r>
      <w:r w:rsidR="000C08DF" w:rsidRPr="00596A16">
        <w:rPr>
          <w:rFonts w:eastAsia="Arial Unicode MS"/>
        </w:rPr>
        <w:t>8</w:t>
      </w:r>
      <w:r w:rsidRPr="00596A16">
        <w:rPr>
          <w:rFonts w:eastAsia="Arial Unicode MS"/>
        </w:rPr>
        <w:t xml:space="preserve"> diagramoje.</w:t>
      </w:r>
    </w:p>
    <w:p w:rsidR="005E7A56" w:rsidRPr="00596A16" w:rsidRDefault="005E7A56" w:rsidP="005E7A56">
      <w:pPr>
        <w:ind w:left="113" w:firstLine="1183"/>
        <w:jc w:val="both"/>
        <w:rPr>
          <w:rFonts w:eastAsia="Arial Unicode MS"/>
        </w:rPr>
      </w:pPr>
    </w:p>
    <w:p w:rsidR="005E7A56" w:rsidRPr="00596A16" w:rsidRDefault="005E7A56" w:rsidP="005E7A56">
      <w:pPr>
        <w:ind w:left="113" w:firstLine="1183"/>
        <w:jc w:val="both"/>
        <w:rPr>
          <w:rFonts w:eastAsia="Arial Unicode MS"/>
        </w:rPr>
      </w:pPr>
      <w:r w:rsidRPr="00596A16">
        <w:rPr>
          <w:rFonts w:eastAsia="Arial Unicode MS"/>
        </w:rPr>
        <w:t>1</w:t>
      </w:r>
      <w:r w:rsidR="000C08DF" w:rsidRPr="00596A16">
        <w:rPr>
          <w:rFonts w:eastAsia="Arial Unicode MS"/>
        </w:rPr>
        <w:t>8</w:t>
      </w:r>
      <w:r w:rsidRPr="00596A16">
        <w:rPr>
          <w:rFonts w:eastAsia="Arial Unicode MS"/>
        </w:rPr>
        <w:t xml:space="preserve"> diagrama. Savivaldybės biudžeto išlaidos </w:t>
      </w:r>
      <w:r w:rsidR="004713E7" w:rsidRPr="00596A16">
        <w:rPr>
          <w:rFonts w:eastAsia="Arial Unicode MS"/>
        </w:rPr>
        <w:t>socialinėms pašalpoms</w:t>
      </w:r>
      <w:r w:rsidRPr="00596A16">
        <w:rPr>
          <w:rFonts w:eastAsia="Arial Unicode MS"/>
        </w:rPr>
        <w:t xml:space="preserve"> Panevėžio mieste</w:t>
      </w:r>
      <w:r w:rsidR="009C0A83" w:rsidRPr="00596A16">
        <w:rPr>
          <w:rFonts w:eastAsia="Arial Unicode MS"/>
        </w:rPr>
        <w:t xml:space="preserve"> </w:t>
      </w:r>
      <w:r w:rsidR="006A7B40" w:rsidRPr="00596A16">
        <w:rPr>
          <w:rFonts w:eastAsia="Arial Unicode MS"/>
        </w:rPr>
        <w:t xml:space="preserve">(tūkst. EUR)  </w:t>
      </w:r>
      <w:r w:rsidR="009C0A83" w:rsidRPr="00596A16">
        <w:rPr>
          <w:rFonts w:eastAsia="Arial Unicode MS"/>
        </w:rPr>
        <w:t>ir socialinės pašalpos gavėjų skaičius</w:t>
      </w:r>
      <w:r w:rsidR="00970B6E">
        <w:rPr>
          <w:rFonts w:eastAsia="Arial Unicode MS"/>
        </w:rPr>
        <w:t>, vnt.</w:t>
      </w:r>
    </w:p>
    <w:p w:rsidR="005E7A56" w:rsidRPr="00800C4F" w:rsidRDefault="00596A16" w:rsidP="005E7A56">
      <w:pPr>
        <w:ind w:left="113"/>
        <w:jc w:val="both"/>
        <w:rPr>
          <w:rFonts w:eastAsia="Arial Unicode MS"/>
          <w:color w:val="FF0000"/>
        </w:rPr>
      </w:pPr>
      <w:r>
        <w:rPr>
          <w:rFonts w:eastAsia="Arial Unicode MS"/>
          <w:noProof/>
          <w:color w:val="FF0000"/>
        </w:rPr>
        <w:drawing>
          <wp:inline distT="0" distB="0" distL="0" distR="0">
            <wp:extent cx="5486400" cy="1828800"/>
            <wp:effectExtent l="0" t="0" r="0" b="0"/>
            <wp:docPr id="42" name="Diagrama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A901D2" w:rsidRPr="00800C4F" w:rsidRDefault="00A901D2" w:rsidP="005E7A56">
      <w:pPr>
        <w:ind w:left="113"/>
        <w:jc w:val="both"/>
        <w:rPr>
          <w:noProof/>
          <w:color w:val="FF0000"/>
        </w:rPr>
      </w:pPr>
    </w:p>
    <w:p w:rsidR="0078626B" w:rsidRPr="00C8132C" w:rsidRDefault="00EB25F3" w:rsidP="0078626B">
      <w:pPr>
        <w:rPr>
          <w:b/>
          <w:caps/>
          <w:sz w:val="20"/>
        </w:rPr>
      </w:pPr>
      <w:smartTag w:uri="urn:schemas-microsoft-com:office:smarttags" w:element="stockticker">
        <w:r w:rsidRPr="00C8132C">
          <w:rPr>
            <w:b/>
            <w:noProof/>
          </w:rPr>
          <w:t>III</w:t>
        </w:r>
      </w:smartTag>
      <w:r w:rsidRPr="00C8132C">
        <w:rPr>
          <w:b/>
          <w:noProof/>
        </w:rPr>
        <w:t xml:space="preserve"> prioritetas.</w:t>
      </w:r>
      <w:r w:rsidR="00641CFF" w:rsidRPr="00C8132C">
        <w:rPr>
          <w:b/>
          <w:noProof/>
        </w:rPr>
        <w:t xml:space="preserve"> </w:t>
      </w:r>
      <w:r w:rsidR="00641CFF" w:rsidRPr="00C8132C">
        <w:rPr>
          <w:i/>
        </w:rPr>
        <w:t>Darni miesto teritorijų ir infrastruktūros plėtra</w:t>
      </w:r>
      <w:r w:rsidR="0078626B" w:rsidRPr="00C8132C">
        <w:rPr>
          <w:b/>
          <w:caps/>
          <w:sz w:val="20"/>
        </w:rPr>
        <w:t>.</w:t>
      </w:r>
    </w:p>
    <w:p w:rsidR="000C08DF" w:rsidRPr="00C8132C" w:rsidRDefault="000C08DF" w:rsidP="000C08DF">
      <w:pPr>
        <w:pStyle w:val="Porat"/>
        <w:tabs>
          <w:tab w:val="clear" w:pos="4153"/>
          <w:tab w:val="clear" w:pos="8306"/>
        </w:tabs>
        <w:jc w:val="both"/>
        <w:outlineLvl w:val="0"/>
      </w:pPr>
    </w:p>
    <w:p w:rsidR="00CE35F6" w:rsidRPr="00C8132C" w:rsidRDefault="00CE35F6" w:rsidP="000C08DF">
      <w:pPr>
        <w:pStyle w:val="Porat"/>
        <w:tabs>
          <w:tab w:val="clear" w:pos="4153"/>
          <w:tab w:val="clear" w:pos="8306"/>
        </w:tabs>
        <w:ind w:firstLine="748"/>
        <w:jc w:val="both"/>
        <w:outlineLvl w:val="0"/>
      </w:pPr>
      <w:smartTag w:uri="urn:schemas-microsoft-com:office:smarttags" w:element="stockticker">
        <w:r w:rsidRPr="00C8132C">
          <w:t>III</w:t>
        </w:r>
      </w:smartTag>
      <w:r w:rsidRPr="00C8132C">
        <w:t xml:space="preserve"> prioritet</w:t>
      </w:r>
      <w:r w:rsidR="000C08DF" w:rsidRPr="00C8132C">
        <w:t>o priemonės</w:t>
      </w:r>
      <w:r w:rsidRPr="00C8132C">
        <w:t xml:space="preserve"> apima </w:t>
      </w:r>
      <w:r w:rsidR="000C08DF" w:rsidRPr="00C8132C">
        <w:t>inžinerinę infrastruktūrą, ekologiją, susisiekimo infrastruktūrą, viešąjį transportą, miesto viešųjų erdvių kompleksinį sutvarkymą</w:t>
      </w:r>
      <w:r w:rsidRPr="00C8132C">
        <w:t xml:space="preserve">. </w:t>
      </w:r>
    </w:p>
    <w:p w:rsidR="000C08DF" w:rsidRPr="00C8132C" w:rsidRDefault="000C08DF" w:rsidP="00845C55">
      <w:pPr>
        <w:ind w:firstLine="748"/>
        <w:jc w:val="both"/>
        <w:rPr>
          <w:noProof/>
        </w:rPr>
      </w:pPr>
    </w:p>
    <w:p w:rsidR="00845C55" w:rsidRPr="00C8132C" w:rsidRDefault="00845C55" w:rsidP="00845C55">
      <w:pPr>
        <w:ind w:firstLine="748"/>
        <w:jc w:val="both"/>
        <w:rPr>
          <w:noProof/>
        </w:rPr>
      </w:pPr>
      <w:r w:rsidRPr="00C8132C">
        <w:rPr>
          <w:noProof/>
        </w:rPr>
        <w:t xml:space="preserve">Strateginio plano </w:t>
      </w:r>
      <w:smartTag w:uri="urn:schemas-microsoft-com:office:smarttags" w:element="stockticker">
        <w:r w:rsidRPr="00C8132C">
          <w:rPr>
            <w:noProof/>
          </w:rPr>
          <w:t>I</w:t>
        </w:r>
        <w:r w:rsidR="0078626B" w:rsidRPr="00C8132C">
          <w:rPr>
            <w:noProof/>
          </w:rPr>
          <w:t>II</w:t>
        </w:r>
      </w:smartTag>
      <w:r w:rsidRPr="00C8132C">
        <w:rPr>
          <w:noProof/>
        </w:rPr>
        <w:t>-</w:t>
      </w:r>
      <w:r w:rsidR="001778D6" w:rsidRPr="00C8132C">
        <w:rPr>
          <w:noProof/>
        </w:rPr>
        <w:t>i</w:t>
      </w:r>
      <w:r w:rsidRPr="00C8132C">
        <w:rPr>
          <w:noProof/>
        </w:rPr>
        <w:t xml:space="preserve">o prioriteto priemonių vykdymas pavaizduotas </w:t>
      </w:r>
      <w:r w:rsidR="0078626B" w:rsidRPr="00C8132C">
        <w:rPr>
          <w:noProof/>
        </w:rPr>
        <w:t>1</w:t>
      </w:r>
      <w:r w:rsidR="000C08DF" w:rsidRPr="00C8132C">
        <w:rPr>
          <w:noProof/>
        </w:rPr>
        <w:t>9</w:t>
      </w:r>
      <w:r w:rsidRPr="00C8132C">
        <w:rPr>
          <w:noProof/>
        </w:rPr>
        <w:t xml:space="preserve"> diagramoje.</w:t>
      </w:r>
    </w:p>
    <w:p w:rsidR="00845C55" w:rsidRPr="00800C4F" w:rsidRDefault="003E03D1" w:rsidP="00845C55">
      <w:pPr>
        <w:pStyle w:val="Porat"/>
        <w:tabs>
          <w:tab w:val="clear" w:pos="4153"/>
          <w:tab w:val="clear" w:pos="8306"/>
        </w:tabs>
        <w:ind w:firstLine="748"/>
        <w:jc w:val="both"/>
        <w:outlineLvl w:val="0"/>
        <w:rPr>
          <w:color w:val="FF0000"/>
        </w:rPr>
      </w:pPr>
      <w:r w:rsidRPr="00800C4F">
        <w:rPr>
          <w:noProof/>
          <w:color w:val="FF0000"/>
        </w:rPr>
        <w:drawing>
          <wp:inline distT="0" distB="0" distL="0" distR="0">
            <wp:extent cx="4676775" cy="1990725"/>
            <wp:effectExtent l="0" t="0" r="0" b="0"/>
            <wp:docPr id="1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845C55" w:rsidRPr="00C8132C" w:rsidRDefault="00845C55" w:rsidP="00845C55">
      <w:pPr>
        <w:ind w:firstLine="748"/>
        <w:jc w:val="both"/>
        <w:rPr>
          <w:noProof/>
        </w:rPr>
      </w:pPr>
      <w:r w:rsidRPr="00C8132C">
        <w:rPr>
          <w:noProof/>
        </w:rPr>
        <w:t>I</w:t>
      </w:r>
      <w:r w:rsidR="0037113A" w:rsidRPr="00C8132C">
        <w:rPr>
          <w:noProof/>
        </w:rPr>
        <w:t>II</w:t>
      </w:r>
      <w:r w:rsidRPr="00C8132C">
        <w:rPr>
          <w:noProof/>
        </w:rPr>
        <w:t xml:space="preserve"> prioriteto neįgyvendintos priemonės per 20</w:t>
      </w:r>
      <w:r w:rsidR="0037113A" w:rsidRPr="00C8132C">
        <w:rPr>
          <w:noProof/>
        </w:rPr>
        <w:t>1</w:t>
      </w:r>
      <w:r w:rsidR="00C8132C" w:rsidRPr="00C8132C">
        <w:rPr>
          <w:noProof/>
        </w:rPr>
        <w:t>5</w:t>
      </w:r>
      <w:r w:rsidRPr="00C8132C">
        <w:rPr>
          <w:noProof/>
        </w:rPr>
        <w:t xml:space="preserve"> m.:</w:t>
      </w:r>
    </w:p>
    <w:p w:rsidR="004F1A34" w:rsidRPr="00C8132C" w:rsidRDefault="004F1A34" w:rsidP="004F1A34">
      <w:pPr>
        <w:ind w:firstLine="720"/>
        <w:jc w:val="both"/>
      </w:pPr>
      <w:r w:rsidRPr="00C8132C">
        <w:t>3.1.2.7. Remti atsinaujinančių energijos išteklių naudojimo, energijos vartojimo efektyvumo didinimo priemones viešuosiuose pastatuose ir daugiabučiuose namuose.</w:t>
      </w:r>
    </w:p>
    <w:p w:rsidR="004F1A34" w:rsidRDefault="004F1A34" w:rsidP="004F1A34">
      <w:pPr>
        <w:ind w:firstLine="720"/>
        <w:jc w:val="both"/>
      </w:pPr>
      <w:r w:rsidRPr="00C8132C">
        <w:t>Finansavimo programa neparengta dėl lėšų trūkumo. Planuojama parengti 201</w:t>
      </w:r>
      <w:r w:rsidR="00C8132C" w:rsidRPr="00C8132C">
        <w:t>7</w:t>
      </w:r>
      <w:r w:rsidRPr="00C8132C">
        <w:t>-2018 m.</w:t>
      </w:r>
    </w:p>
    <w:p w:rsidR="00512CE5" w:rsidRDefault="00512CE5" w:rsidP="004F1A34">
      <w:pPr>
        <w:ind w:firstLine="720"/>
        <w:jc w:val="both"/>
      </w:pPr>
      <w:r>
        <w:t>3.3.2.4.</w:t>
      </w:r>
      <w:r w:rsidRPr="00512CE5">
        <w:t xml:space="preserve"> Diegti naujas Panevėžio miesto viešojo keleivinio transporto keleivių informavimo priemones</w:t>
      </w:r>
      <w:r>
        <w:t>.</w:t>
      </w:r>
    </w:p>
    <w:p w:rsidR="00512CE5" w:rsidRDefault="00512CE5" w:rsidP="004F1A34">
      <w:pPr>
        <w:ind w:firstLine="720"/>
        <w:jc w:val="both"/>
      </w:pPr>
      <w:r w:rsidRPr="00512CE5">
        <w:lastRenderedPageBreak/>
        <w:t>2015 m. neskirtos lėšos. Darbai artimiausiu metu neplanuojami dėl lėšų stokos</w:t>
      </w:r>
      <w:r>
        <w:t xml:space="preserve"> ir didelių investicijų.</w:t>
      </w:r>
    </w:p>
    <w:p w:rsidR="00B1225B" w:rsidRDefault="00B1225B" w:rsidP="004F1A34">
      <w:pPr>
        <w:ind w:firstLine="720"/>
        <w:jc w:val="both"/>
      </w:pPr>
      <w:r>
        <w:t xml:space="preserve">3.4.2.5. </w:t>
      </w:r>
      <w:r w:rsidRPr="00B1225B">
        <w:t>Dviračių parkavimo vietų įrengimas „</w:t>
      </w:r>
      <w:proofErr w:type="spellStart"/>
      <w:r w:rsidRPr="00B1225B">
        <w:t>Park</w:t>
      </w:r>
      <w:proofErr w:type="spellEnd"/>
      <w:r w:rsidRPr="00B1225B">
        <w:t xml:space="preserve"> </w:t>
      </w:r>
      <w:proofErr w:type="spellStart"/>
      <w:r w:rsidRPr="00B1225B">
        <w:t>and</w:t>
      </w:r>
      <w:proofErr w:type="spellEnd"/>
      <w:r w:rsidRPr="00B1225B">
        <w:t xml:space="preserve"> </w:t>
      </w:r>
      <w:proofErr w:type="spellStart"/>
      <w:r w:rsidRPr="00B1225B">
        <w:t>ride</w:t>
      </w:r>
      <w:proofErr w:type="spellEnd"/>
      <w:r w:rsidRPr="00B1225B">
        <w:t>“ principu</w:t>
      </w:r>
      <w:r>
        <w:t>.</w:t>
      </w:r>
    </w:p>
    <w:p w:rsidR="00B1225B" w:rsidRPr="00C8132C" w:rsidRDefault="00B1225B" w:rsidP="004F1A34">
      <w:pPr>
        <w:ind w:firstLine="720"/>
        <w:jc w:val="both"/>
      </w:pPr>
      <w:r w:rsidRPr="00B1225B">
        <w:t xml:space="preserve">Projektą planuojama vykdyti  iš 2014-2020 m. ES finansinės paramos. Atlikus strateginio plano korektūrą pasikeitė priemonės pavadinimas ir yra „Įdiegti </w:t>
      </w:r>
      <w:proofErr w:type="spellStart"/>
      <w:r w:rsidRPr="00B1225B">
        <w:t>Bike</w:t>
      </w:r>
      <w:proofErr w:type="spellEnd"/>
      <w:r w:rsidRPr="00B1225B">
        <w:t xml:space="preserve"> </w:t>
      </w:r>
      <w:proofErr w:type="spellStart"/>
      <w:r w:rsidRPr="00B1225B">
        <w:t>sharing</w:t>
      </w:r>
      <w:proofErr w:type="spellEnd"/>
      <w:r w:rsidRPr="00B1225B">
        <w:t xml:space="preserve"> sistemą ir įrengti dviračių statymo vietas"</w:t>
      </w:r>
      <w:r>
        <w:t>.</w:t>
      </w:r>
    </w:p>
    <w:p w:rsidR="004F1A34" w:rsidRPr="00C8132C" w:rsidRDefault="004F1A34" w:rsidP="004F1A34">
      <w:pPr>
        <w:ind w:firstLine="720"/>
        <w:jc w:val="both"/>
      </w:pPr>
      <w:r w:rsidRPr="00C8132C">
        <w:t>3.4.2.6. Parengti pagrindinių įvažiavimų į miestą formavimo urbanistinius projektinius pasiūlymus ir įgyvendinti sprendinius.</w:t>
      </w:r>
    </w:p>
    <w:p w:rsidR="00FD69B3" w:rsidRDefault="00C8132C" w:rsidP="00D43ECC">
      <w:pPr>
        <w:ind w:firstLine="748"/>
        <w:jc w:val="both"/>
        <w:rPr>
          <w:noProof/>
        </w:rPr>
      </w:pPr>
      <w:r w:rsidRPr="00C8132C">
        <w:rPr>
          <w:noProof/>
        </w:rPr>
        <w:t>201</w:t>
      </w:r>
      <w:r>
        <w:rPr>
          <w:noProof/>
        </w:rPr>
        <w:t>3</w:t>
      </w:r>
      <w:r w:rsidRPr="00C8132C">
        <w:rPr>
          <w:noProof/>
        </w:rPr>
        <w:t xml:space="preserve"> m. įvyko konkursas dėl pagrindinių įvažiavimų į miestą formavimo urbanistinių projektinių pasiūlymų. Visi pateikti projektiniai pasiūlymai ženkliai viršijo Savivaldybės finansavimo galimybes. Panevėžio miesto savivaldybės tarybos 2016-02-22 sprendimu Nr.1-41, atlikta Panevėžio miesto plėtros 2014-2020 metų strateginio plano korektūra ir 3.4.2.6. priemonė  iš</w:t>
      </w:r>
      <w:r w:rsidR="004F2870">
        <w:rPr>
          <w:noProof/>
        </w:rPr>
        <w:t>braukta</w:t>
      </w:r>
      <w:r>
        <w:rPr>
          <w:noProof/>
        </w:rPr>
        <w:t>.</w:t>
      </w:r>
    </w:p>
    <w:p w:rsidR="00512CE5" w:rsidRPr="00C8132C" w:rsidRDefault="00512CE5" w:rsidP="00D43ECC">
      <w:pPr>
        <w:ind w:firstLine="748"/>
        <w:jc w:val="both"/>
        <w:rPr>
          <w:noProof/>
        </w:rPr>
      </w:pPr>
    </w:p>
    <w:p w:rsidR="00FD69B3" w:rsidRPr="00BE57B4" w:rsidRDefault="00FD69B3" w:rsidP="00FD69B3">
      <w:pPr>
        <w:ind w:firstLine="1296"/>
        <w:jc w:val="both"/>
        <w:rPr>
          <w:noProof/>
        </w:rPr>
      </w:pPr>
      <w:r w:rsidRPr="00BE57B4">
        <w:rPr>
          <w:noProof/>
        </w:rPr>
        <w:t xml:space="preserve">Susisiekimo sąlygos priklauso nuo automobilizacijos lygio bei tokių urbanistinių faktorių, kaip gyventojų ir gatvių infrastruktūros tankis, darbo ir gyvenamosios vietos balanso. Kaip matome </w:t>
      </w:r>
      <w:r w:rsidR="00E4377D" w:rsidRPr="00BE57B4">
        <w:rPr>
          <w:noProof/>
        </w:rPr>
        <w:t>20</w:t>
      </w:r>
      <w:r w:rsidRPr="00BE57B4">
        <w:rPr>
          <w:noProof/>
        </w:rPr>
        <w:t xml:space="preserve"> diagramoje, automobilizacijos lygis Panevėžio mieste 20</w:t>
      </w:r>
      <w:r w:rsidR="00E4377D" w:rsidRPr="00BE57B4">
        <w:rPr>
          <w:noProof/>
        </w:rPr>
        <w:t>10</w:t>
      </w:r>
      <w:r w:rsidRPr="00BE57B4">
        <w:rPr>
          <w:noProof/>
        </w:rPr>
        <w:t>-20</w:t>
      </w:r>
      <w:r w:rsidR="00E4377D" w:rsidRPr="00BE57B4">
        <w:rPr>
          <w:noProof/>
        </w:rPr>
        <w:t>14</w:t>
      </w:r>
      <w:r w:rsidRPr="00BE57B4">
        <w:rPr>
          <w:noProof/>
        </w:rPr>
        <w:t xml:space="preserve"> metais išaugo 7 proc. ir yra lygus Lietuvos vidurkiui (541). </w:t>
      </w:r>
    </w:p>
    <w:p w:rsidR="00FD69B3" w:rsidRPr="00BE57B4" w:rsidRDefault="00FD69B3" w:rsidP="00FD69B3">
      <w:pPr>
        <w:jc w:val="both"/>
        <w:rPr>
          <w:noProof/>
        </w:rPr>
      </w:pPr>
      <w:r w:rsidRPr="00BE57B4">
        <w:rPr>
          <w:noProof/>
        </w:rPr>
        <w:tab/>
      </w:r>
      <w:r w:rsidR="00E4377D" w:rsidRPr="00BE57B4">
        <w:rPr>
          <w:noProof/>
        </w:rPr>
        <w:t>20</w:t>
      </w:r>
      <w:r w:rsidRPr="00BE57B4">
        <w:rPr>
          <w:noProof/>
        </w:rPr>
        <w:t xml:space="preserve"> diagrama. Automobilizacijos lygis (individualių automobilių skaičius /1000-iui gyventojų) Panevėžio mieste </w:t>
      </w:r>
    </w:p>
    <w:p w:rsidR="00FD69B3" w:rsidRPr="00800C4F" w:rsidRDefault="00FD69B3" w:rsidP="00FD69B3">
      <w:pPr>
        <w:jc w:val="both"/>
        <w:rPr>
          <w:noProof/>
          <w:color w:val="FF0000"/>
        </w:rPr>
      </w:pPr>
      <w:r w:rsidRPr="00800C4F">
        <w:rPr>
          <w:noProof/>
          <w:color w:val="FF0000"/>
        </w:rPr>
        <w:drawing>
          <wp:inline distT="0" distB="0" distL="0" distR="0">
            <wp:extent cx="5200650" cy="1638300"/>
            <wp:effectExtent l="0" t="0" r="0" b="0"/>
            <wp:docPr id="22" name="Object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FD69B3" w:rsidRPr="00BE57B4" w:rsidRDefault="00FD69B3" w:rsidP="00FD69B3">
      <w:pPr>
        <w:jc w:val="both"/>
        <w:rPr>
          <w:noProof/>
        </w:rPr>
      </w:pPr>
      <w:r w:rsidRPr="00800C4F">
        <w:rPr>
          <w:noProof/>
          <w:color w:val="FF0000"/>
        </w:rPr>
        <w:tab/>
      </w:r>
      <w:r w:rsidRPr="00BE57B4">
        <w:rPr>
          <w:noProof/>
        </w:rPr>
        <w:t>Dviračių takų ilgis Panevėžyje</w:t>
      </w:r>
      <w:r w:rsidR="00BE57B4" w:rsidRPr="00BE57B4">
        <w:rPr>
          <w:noProof/>
        </w:rPr>
        <w:t xml:space="preserve"> yra 92 km ir</w:t>
      </w:r>
      <w:r w:rsidRPr="00BE57B4">
        <w:rPr>
          <w:noProof/>
        </w:rPr>
        <w:t xml:space="preserve"> per paskutinius 5 metus </w:t>
      </w:r>
      <w:r w:rsidR="00BE57B4" w:rsidRPr="00BE57B4">
        <w:rPr>
          <w:noProof/>
        </w:rPr>
        <w:t xml:space="preserve">kito nežymiai </w:t>
      </w:r>
      <w:r w:rsidRPr="00BE57B4">
        <w:rPr>
          <w:noProof/>
        </w:rPr>
        <w:t xml:space="preserve">. </w:t>
      </w:r>
    </w:p>
    <w:p w:rsidR="00FD69B3" w:rsidRPr="00800C4F" w:rsidRDefault="00FD69B3" w:rsidP="00FD69B3">
      <w:pPr>
        <w:jc w:val="both"/>
        <w:rPr>
          <w:noProof/>
          <w:color w:val="FF0000"/>
        </w:rPr>
      </w:pPr>
      <w:r w:rsidRPr="00800C4F">
        <w:rPr>
          <w:noProof/>
          <w:color w:val="FF0000"/>
        </w:rPr>
        <w:tab/>
      </w:r>
    </w:p>
    <w:p w:rsidR="00FD69B3" w:rsidRDefault="001C209A" w:rsidP="00FD69B3">
      <w:pPr>
        <w:ind w:firstLine="1296"/>
        <w:jc w:val="both"/>
        <w:rPr>
          <w:noProof/>
        </w:rPr>
      </w:pPr>
      <w:r w:rsidRPr="001C209A">
        <w:rPr>
          <w:noProof/>
        </w:rPr>
        <w:t>Miesto viešojo transporto maršrutų skaičius ir vidutinis autobusų parko autobuso amžius pavaizduotas</w:t>
      </w:r>
      <w:r w:rsidR="00FD69B3" w:rsidRPr="001C209A">
        <w:rPr>
          <w:noProof/>
        </w:rPr>
        <w:t xml:space="preserve"> </w:t>
      </w:r>
      <w:r w:rsidR="00E4377D" w:rsidRPr="001C209A">
        <w:rPr>
          <w:noProof/>
        </w:rPr>
        <w:t>21</w:t>
      </w:r>
      <w:r w:rsidR="00FD69B3" w:rsidRPr="001C209A">
        <w:rPr>
          <w:noProof/>
        </w:rPr>
        <w:t xml:space="preserve"> diagramoje.</w:t>
      </w:r>
    </w:p>
    <w:p w:rsidR="001C209A" w:rsidRPr="001C209A" w:rsidRDefault="001C209A" w:rsidP="00FD69B3">
      <w:pPr>
        <w:ind w:firstLine="1296"/>
        <w:jc w:val="both"/>
        <w:rPr>
          <w:noProof/>
        </w:rPr>
      </w:pPr>
    </w:p>
    <w:p w:rsidR="00FD69B3" w:rsidRPr="001C209A" w:rsidRDefault="00E4377D" w:rsidP="001C209A">
      <w:pPr>
        <w:ind w:firstLine="1296"/>
        <w:jc w:val="both"/>
        <w:rPr>
          <w:noProof/>
        </w:rPr>
      </w:pPr>
      <w:r w:rsidRPr="001C209A">
        <w:rPr>
          <w:noProof/>
        </w:rPr>
        <w:t>21</w:t>
      </w:r>
      <w:r w:rsidR="00FD69B3" w:rsidRPr="001C209A">
        <w:rPr>
          <w:noProof/>
        </w:rPr>
        <w:t xml:space="preserve"> diagrama.</w:t>
      </w:r>
      <w:r w:rsidR="001C209A" w:rsidRPr="001C209A">
        <w:rPr>
          <w:noProof/>
        </w:rPr>
        <w:t xml:space="preserve"> Miesto viešojo transporto maršrutų skaičius ir vidutinis autobusų parko autobuso amžius (gamybos m.)</w:t>
      </w:r>
    </w:p>
    <w:p w:rsidR="00FD69B3" w:rsidRPr="00800C4F" w:rsidRDefault="001C209A" w:rsidP="00FD69B3">
      <w:pPr>
        <w:ind w:firstLine="1296"/>
        <w:jc w:val="both"/>
        <w:rPr>
          <w:noProof/>
          <w:color w:val="FF0000"/>
        </w:rPr>
      </w:pPr>
      <w:r>
        <w:rPr>
          <w:noProof/>
          <w:color w:val="FF0000"/>
        </w:rPr>
        <w:drawing>
          <wp:inline distT="0" distB="0" distL="0" distR="0">
            <wp:extent cx="5486400" cy="2301240"/>
            <wp:effectExtent l="0" t="0" r="0" b="0"/>
            <wp:docPr id="44" name="Diagrama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D34D5A" w:rsidRPr="00800C4F" w:rsidRDefault="00FD69B3" w:rsidP="00E4377D">
      <w:pPr>
        <w:ind w:firstLine="748"/>
        <w:jc w:val="both"/>
        <w:rPr>
          <w:rFonts w:eastAsia="Arial Unicode MS"/>
          <w:b/>
          <w:color w:val="FF0000"/>
        </w:rPr>
      </w:pPr>
      <w:r w:rsidRPr="00800C4F">
        <w:rPr>
          <w:noProof/>
          <w:color w:val="FF0000"/>
        </w:rPr>
        <w:tab/>
      </w:r>
    </w:p>
    <w:p w:rsidR="00D34D5A" w:rsidRPr="00800C4F" w:rsidRDefault="00D34D5A" w:rsidP="00845C55">
      <w:pPr>
        <w:pStyle w:val="Porat"/>
        <w:tabs>
          <w:tab w:val="clear" w:pos="4153"/>
          <w:tab w:val="clear" w:pos="8306"/>
        </w:tabs>
        <w:ind w:firstLine="748"/>
        <w:jc w:val="both"/>
        <w:outlineLvl w:val="0"/>
        <w:rPr>
          <w:rFonts w:eastAsia="Arial Unicode MS"/>
          <w:b/>
          <w:color w:val="FF0000"/>
        </w:rPr>
      </w:pPr>
    </w:p>
    <w:p w:rsidR="00045C3E" w:rsidRPr="00800C4F" w:rsidRDefault="00045C3E" w:rsidP="00845C55">
      <w:pPr>
        <w:pStyle w:val="Porat"/>
        <w:tabs>
          <w:tab w:val="clear" w:pos="4153"/>
          <w:tab w:val="clear" w:pos="8306"/>
        </w:tabs>
        <w:ind w:firstLine="748"/>
        <w:jc w:val="both"/>
        <w:outlineLvl w:val="0"/>
        <w:rPr>
          <w:rFonts w:eastAsia="Arial Unicode MS"/>
          <w:b/>
          <w:color w:val="FF0000"/>
        </w:rPr>
      </w:pPr>
    </w:p>
    <w:p w:rsidR="009B5856" w:rsidRDefault="009B5856" w:rsidP="00845C55">
      <w:pPr>
        <w:pStyle w:val="Porat"/>
        <w:tabs>
          <w:tab w:val="clear" w:pos="4153"/>
          <w:tab w:val="clear" w:pos="8306"/>
        </w:tabs>
        <w:ind w:firstLine="748"/>
        <w:jc w:val="both"/>
        <w:outlineLvl w:val="0"/>
        <w:rPr>
          <w:rFonts w:eastAsia="Arial Unicode MS"/>
          <w:b/>
        </w:rPr>
      </w:pPr>
    </w:p>
    <w:p w:rsidR="009B5856" w:rsidRDefault="009B5856" w:rsidP="00845C55">
      <w:pPr>
        <w:pStyle w:val="Porat"/>
        <w:tabs>
          <w:tab w:val="clear" w:pos="4153"/>
          <w:tab w:val="clear" w:pos="8306"/>
        </w:tabs>
        <w:ind w:firstLine="748"/>
        <w:jc w:val="both"/>
        <w:outlineLvl w:val="0"/>
        <w:rPr>
          <w:rFonts w:eastAsia="Arial Unicode MS"/>
          <w:b/>
        </w:rPr>
      </w:pPr>
    </w:p>
    <w:p w:rsidR="00845C55" w:rsidRPr="00023C5E" w:rsidRDefault="00845C55" w:rsidP="00845C55">
      <w:pPr>
        <w:pStyle w:val="Porat"/>
        <w:tabs>
          <w:tab w:val="clear" w:pos="4153"/>
          <w:tab w:val="clear" w:pos="8306"/>
        </w:tabs>
        <w:ind w:firstLine="748"/>
        <w:jc w:val="both"/>
        <w:outlineLvl w:val="0"/>
        <w:rPr>
          <w:rFonts w:eastAsia="Arial Unicode MS"/>
          <w:b/>
        </w:rPr>
      </w:pPr>
      <w:r w:rsidRPr="00023C5E">
        <w:rPr>
          <w:rFonts w:eastAsia="Arial Unicode MS"/>
          <w:b/>
        </w:rPr>
        <w:lastRenderedPageBreak/>
        <w:t>IŠVADOS</w:t>
      </w:r>
    </w:p>
    <w:p w:rsidR="00845C55" w:rsidRPr="00023C5E" w:rsidRDefault="00845C55" w:rsidP="00845C55">
      <w:pPr>
        <w:ind w:firstLine="720"/>
        <w:jc w:val="both"/>
      </w:pPr>
      <w:r w:rsidRPr="00023C5E">
        <w:t xml:space="preserve">1) </w:t>
      </w:r>
      <w:r w:rsidR="00B46C6D" w:rsidRPr="00023C5E">
        <w:t>Panevėžio miesto plėtros 2014 - 2020 metų strateginio plano įgyvendinimas už 201</w:t>
      </w:r>
      <w:r w:rsidR="00023C5E" w:rsidRPr="00023C5E">
        <w:t>5</w:t>
      </w:r>
      <w:r w:rsidR="00B46C6D" w:rsidRPr="00023C5E">
        <w:t xml:space="preserve"> m. siekia 8</w:t>
      </w:r>
      <w:r w:rsidR="00023C5E" w:rsidRPr="00023C5E">
        <w:t>2</w:t>
      </w:r>
      <w:r w:rsidR="00B46C6D" w:rsidRPr="00023C5E">
        <w:t xml:space="preserve"> procentus. </w:t>
      </w:r>
      <w:r w:rsidR="00023C5E" w:rsidRPr="00023C5E">
        <w:t>Įvertinus 2016 m. vasario mėnesio atliktą Strateginio plano 2014-2020 metų korektūrą (atsižvelgus į poreikių dinamiką, geopolitinę situaciją, priemonių aktualumą, pakoreguotas miesto plėtros strateginis planas), Strateginio plano vykdymas už 2015 metus siektų apie 90 procentų.</w:t>
      </w:r>
      <w:r w:rsidR="00023C5E" w:rsidRPr="00023C5E">
        <w:rPr>
          <w:color w:val="FF0000"/>
        </w:rPr>
        <w:t xml:space="preserve"> </w:t>
      </w:r>
      <w:r w:rsidR="00B46C6D" w:rsidRPr="00023C5E">
        <w:t xml:space="preserve">Dauguma priemonių yra pradėtos vykdyti arba vykdomos iš dalies. </w:t>
      </w:r>
      <w:r w:rsidR="00795E2D" w:rsidRPr="00023C5E">
        <w:t>Strateginio plano</w:t>
      </w:r>
      <w:r w:rsidRPr="00023C5E">
        <w:t xml:space="preserve"> vizijos ir prioritetų rodiklių stebėsena parodė, kad dauguma </w:t>
      </w:r>
      <w:r w:rsidR="00023C5E" w:rsidRPr="00023C5E">
        <w:t xml:space="preserve">kokybinių </w:t>
      </w:r>
      <w:r w:rsidRPr="00023C5E">
        <w:t xml:space="preserve">rodiklių </w:t>
      </w:r>
      <w:r w:rsidR="00023C5E">
        <w:t>gerėjo</w:t>
      </w:r>
      <w:r w:rsidR="00CC1188" w:rsidRPr="00023C5E">
        <w:t>. I</w:t>
      </w:r>
      <w:r w:rsidR="00E269D8" w:rsidRPr="00023C5E">
        <w:t>šlaidos</w:t>
      </w:r>
      <w:r w:rsidR="001C0136" w:rsidRPr="00023C5E">
        <w:t xml:space="preserve"> </w:t>
      </w:r>
      <w:r w:rsidR="00023C5E">
        <w:t xml:space="preserve">verslo skatinimui, </w:t>
      </w:r>
      <w:r w:rsidR="00CC1188" w:rsidRPr="00023C5E">
        <w:t>kultūrai</w:t>
      </w:r>
      <w:r w:rsidR="00B46C6D" w:rsidRPr="00023C5E">
        <w:t>, sportui,</w:t>
      </w:r>
      <w:r w:rsidR="00023C5E" w:rsidRPr="00023C5E">
        <w:t xml:space="preserve"> švietimui per paskutinius penkerius metus augo</w:t>
      </w:r>
      <w:r w:rsidR="00CC1188" w:rsidRPr="00023C5E">
        <w:t xml:space="preserve">. </w:t>
      </w:r>
      <w:r w:rsidR="00471357" w:rsidRPr="00023C5E">
        <w:t xml:space="preserve">Išlaidos </w:t>
      </w:r>
      <w:r w:rsidR="00023C5E" w:rsidRPr="00023C5E">
        <w:t>socialinėms pašalpoms ir išmokoms sumažėjo dvigubai.</w:t>
      </w:r>
    </w:p>
    <w:p w:rsidR="00845C55" w:rsidRPr="00023C5E" w:rsidRDefault="00845C55" w:rsidP="00845C55">
      <w:pPr>
        <w:ind w:firstLine="720"/>
        <w:jc w:val="both"/>
      </w:pPr>
      <w:r w:rsidRPr="00023C5E">
        <w:t xml:space="preserve">2) Stebėseną apsunkino tai, kad </w:t>
      </w:r>
      <w:r w:rsidR="00795E2D" w:rsidRPr="00023C5E">
        <w:t>Strateginio plano</w:t>
      </w:r>
      <w:r w:rsidRPr="00023C5E">
        <w:t xml:space="preserve"> vizijos ir prioritetų rodiklių palyginimo su didžiaisiais Lietuvos miestais ir šalies vidurkiu analizei reikalingi duomenys kitų miestų savivaldybėse nerenkami, nes viešojo administravimo įstaigos neturi vieningos matavimo rodiklių sistemos. </w:t>
      </w:r>
      <w:r w:rsidR="00795E2D" w:rsidRPr="00023C5E">
        <w:t xml:space="preserve">Strateginio plano </w:t>
      </w:r>
      <w:r w:rsidRPr="00023C5E">
        <w:t xml:space="preserve">rodiklių palyginimas su didžiaisiais Lietuvos miestais ir šalies vidurkiu buvo atliktas pateikiant tik Statistikos departamento duomenis. </w:t>
      </w:r>
      <w:r w:rsidRPr="00023C5E">
        <w:rPr>
          <w:rFonts w:eastAsia="Arial Unicode MS"/>
        </w:rPr>
        <w:t xml:space="preserve">Be to, Savivaldybės administracijai sunku įtakoti kai kurių veiksmų įgyvendinimo procesus ir rezultatus, kai vykdytojai nėra Savivaldybės </w:t>
      </w:r>
      <w:r w:rsidR="00795E2D" w:rsidRPr="00023C5E">
        <w:rPr>
          <w:rFonts w:eastAsia="Arial Unicode MS"/>
        </w:rPr>
        <w:t xml:space="preserve">administracijos </w:t>
      </w:r>
      <w:r w:rsidRPr="00023C5E">
        <w:rPr>
          <w:rFonts w:eastAsia="Arial Unicode MS"/>
        </w:rPr>
        <w:t>skyriai.</w:t>
      </w:r>
    </w:p>
    <w:p w:rsidR="00113443" w:rsidRPr="005B5721" w:rsidRDefault="00845C55" w:rsidP="007F1F84">
      <w:pPr>
        <w:tabs>
          <w:tab w:val="left" w:pos="1800"/>
        </w:tabs>
        <w:ind w:firstLine="720"/>
        <w:jc w:val="both"/>
      </w:pPr>
      <w:r w:rsidRPr="00023C5E">
        <w:t>3)</w:t>
      </w:r>
      <w:r w:rsidR="000B1A72" w:rsidRPr="00023C5E">
        <w:t xml:space="preserve"> </w:t>
      </w:r>
      <w:r w:rsidR="00A201FA" w:rsidRPr="00023C5E">
        <w:t>Panevėžio miesto savivaldybės taryba 201</w:t>
      </w:r>
      <w:r w:rsidR="00023C5E" w:rsidRPr="00023C5E">
        <w:t>6</w:t>
      </w:r>
      <w:r w:rsidR="00A201FA" w:rsidRPr="00023C5E">
        <w:t xml:space="preserve"> m. </w:t>
      </w:r>
      <w:r w:rsidR="00023C5E" w:rsidRPr="00023C5E">
        <w:t xml:space="preserve">vasario 22 </w:t>
      </w:r>
      <w:r w:rsidR="00A201FA" w:rsidRPr="00023C5E">
        <w:t>d. sprendimu Nr. 1-</w:t>
      </w:r>
      <w:r w:rsidR="00023C5E" w:rsidRPr="00023C5E">
        <w:t>141</w:t>
      </w:r>
      <w:r w:rsidR="00A201FA" w:rsidRPr="00023C5E">
        <w:t xml:space="preserve">  </w:t>
      </w:r>
      <w:r w:rsidR="00023C5E" w:rsidRPr="00023C5E">
        <w:t xml:space="preserve">pakoregavo </w:t>
      </w:r>
      <w:r w:rsidR="00A201FA" w:rsidRPr="00023C5E">
        <w:t>Panevėžio miesto plėtros 2014–2020 metų strateginį planą.</w:t>
      </w:r>
      <w:r w:rsidR="00A201FA" w:rsidRPr="00800C4F">
        <w:rPr>
          <w:color w:val="FF0000"/>
        </w:rPr>
        <w:t xml:space="preserve"> </w:t>
      </w:r>
      <w:r w:rsidR="00A201FA" w:rsidRPr="005B5721">
        <w:t xml:space="preserve">Atlikus Strateginio plano veiksmų stebėseną, </w:t>
      </w:r>
      <w:r w:rsidR="00023C5E" w:rsidRPr="005B5721">
        <w:t>darytina</w:t>
      </w:r>
      <w:r w:rsidR="00A201FA" w:rsidRPr="005B5721">
        <w:t xml:space="preserve"> išvada, kad Panevėžio miesto plėtros 2014 - 2020 metų strateginis  planas </w:t>
      </w:r>
      <w:r w:rsidR="005B5721" w:rsidRPr="005B5721">
        <w:t xml:space="preserve">ir toliau gali būti peržiūrimas, </w:t>
      </w:r>
      <w:r w:rsidR="00A201FA" w:rsidRPr="005B5721">
        <w:t>koreguojamas, papildomas. Planuojamos naujovės, pokyčiai, koreguotinos priemonės</w:t>
      </w:r>
      <w:r w:rsidR="009B5856">
        <w:t xml:space="preserve"> atsižvelgiant į miesto poreikius</w:t>
      </w:r>
      <w:bookmarkStart w:id="0" w:name="_GoBack"/>
      <w:bookmarkEnd w:id="0"/>
      <w:r w:rsidR="00A201FA" w:rsidRPr="005B5721">
        <w:t>.</w:t>
      </w:r>
      <w:r w:rsidR="00023C5E" w:rsidRPr="005B5721">
        <w:t xml:space="preserve"> </w:t>
      </w:r>
    </w:p>
    <w:p w:rsidR="00511F94" w:rsidRPr="005B5721" w:rsidRDefault="00511F94" w:rsidP="00D34D5A">
      <w:pPr>
        <w:ind w:firstLine="748"/>
        <w:jc w:val="both"/>
      </w:pPr>
    </w:p>
    <w:p w:rsidR="00845C55" w:rsidRPr="005B5721" w:rsidRDefault="00113443" w:rsidP="007F1F84">
      <w:pPr>
        <w:ind w:firstLine="748"/>
        <w:jc w:val="both"/>
      </w:pPr>
      <w:r w:rsidRPr="005B5721">
        <w:t>I</w:t>
      </w:r>
      <w:r w:rsidR="00845C55" w:rsidRPr="005B5721">
        <w:t>šsamesnė analizė pateikiama prieduose</w:t>
      </w:r>
      <w:r w:rsidR="00C06126" w:rsidRPr="005B5721">
        <w:t>.</w:t>
      </w:r>
      <w:r w:rsidR="00845C55" w:rsidRPr="005B5721">
        <w:t xml:space="preserve"> </w:t>
      </w:r>
    </w:p>
    <w:sectPr w:rsidR="00845C55" w:rsidRPr="005B5721" w:rsidSect="007F1F84">
      <w:footerReference w:type="even" r:id="rId30"/>
      <w:footerReference w:type="default" r:id="rId31"/>
      <w:pgSz w:w="11906" w:h="16838"/>
      <w:pgMar w:top="896" w:right="890" w:bottom="299" w:left="1701" w:header="561" w:footer="56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C04" w:rsidRDefault="006A3C04">
      <w:r>
        <w:separator/>
      </w:r>
    </w:p>
  </w:endnote>
  <w:endnote w:type="continuationSeparator" w:id="0">
    <w:p w:rsidR="006A3C04" w:rsidRDefault="006A3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E2D" w:rsidRDefault="002312EA" w:rsidP="00E31BA3">
    <w:pPr>
      <w:pStyle w:val="Porat"/>
      <w:framePr w:wrap="around" w:vAnchor="text" w:hAnchor="margin" w:xAlign="right" w:y="1"/>
      <w:rPr>
        <w:rStyle w:val="Puslapionumeris"/>
      </w:rPr>
    </w:pPr>
    <w:r>
      <w:rPr>
        <w:rStyle w:val="Puslapionumeris"/>
      </w:rPr>
      <w:fldChar w:fldCharType="begin"/>
    </w:r>
    <w:r w:rsidR="00795E2D">
      <w:rPr>
        <w:rStyle w:val="Puslapionumeris"/>
      </w:rPr>
      <w:instrText xml:space="preserve">PAGE  </w:instrText>
    </w:r>
    <w:r>
      <w:rPr>
        <w:rStyle w:val="Puslapionumeris"/>
      </w:rPr>
      <w:fldChar w:fldCharType="end"/>
    </w:r>
  </w:p>
  <w:p w:rsidR="00795E2D" w:rsidRDefault="00795E2D" w:rsidP="0050419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E2D" w:rsidRDefault="002312EA" w:rsidP="00E31BA3">
    <w:pPr>
      <w:pStyle w:val="Porat"/>
      <w:framePr w:wrap="around" w:vAnchor="text" w:hAnchor="margin" w:xAlign="right" w:y="1"/>
      <w:rPr>
        <w:rStyle w:val="Puslapionumeris"/>
      </w:rPr>
    </w:pPr>
    <w:r>
      <w:rPr>
        <w:rStyle w:val="Puslapionumeris"/>
      </w:rPr>
      <w:fldChar w:fldCharType="begin"/>
    </w:r>
    <w:r w:rsidR="00795E2D">
      <w:rPr>
        <w:rStyle w:val="Puslapionumeris"/>
      </w:rPr>
      <w:instrText xml:space="preserve">PAGE  </w:instrText>
    </w:r>
    <w:r>
      <w:rPr>
        <w:rStyle w:val="Puslapionumeris"/>
      </w:rPr>
      <w:fldChar w:fldCharType="separate"/>
    </w:r>
    <w:r w:rsidR="009B5856">
      <w:rPr>
        <w:rStyle w:val="Puslapionumeris"/>
        <w:noProof/>
      </w:rPr>
      <w:t>11</w:t>
    </w:r>
    <w:r>
      <w:rPr>
        <w:rStyle w:val="Puslapionumeris"/>
      </w:rPr>
      <w:fldChar w:fldCharType="end"/>
    </w:r>
  </w:p>
  <w:p w:rsidR="00795E2D" w:rsidRDefault="00795E2D" w:rsidP="0050419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C04" w:rsidRDefault="006A3C04">
      <w:r>
        <w:separator/>
      </w:r>
    </w:p>
  </w:footnote>
  <w:footnote w:type="continuationSeparator" w:id="0">
    <w:p w:rsidR="006A3C04" w:rsidRDefault="006A3C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7E34"/>
    <w:multiLevelType w:val="hybridMultilevel"/>
    <w:tmpl w:val="7046AC7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581C6BBF"/>
    <w:multiLevelType w:val="hybridMultilevel"/>
    <w:tmpl w:val="BF34A28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71"/>
  <w:drawingGridVerticalSpacing w:val="299"/>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9390F"/>
    <w:rsid w:val="000072D9"/>
    <w:rsid w:val="00011331"/>
    <w:rsid w:val="000130D9"/>
    <w:rsid w:val="000139A5"/>
    <w:rsid w:val="00013AFD"/>
    <w:rsid w:val="00013DF2"/>
    <w:rsid w:val="00021FF3"/>
    <w:rsid w:val="000231E1"/>
    <w:rsid w:val="00023C5E"/>
    <w:rsid w:val="00024720"/>
    <w:rsid w:val="00026912"/>
    <w:rsid w:val="00031224"/>
    <w:rsid w:val="00033FD3"/>
    <w:rsid w:val="00044667"/>
    <w:rsid w:val="00045C3E"/>
    <w:rsid w:val="0005269C"/>
    <w:rsid w:val="00080DEA"/>
    <w:rsid w:val="00083811"/>
    <w:rsid w:val="00083CE3"/>
    <w:rsid w:val="00086A22"/>
    <w:rsid w:val="00086EA1"/>
    <w:rsid w:val="00091129"/>
    <w:rsid w:val="00091B86"/>
    <w:rsid w:val="00094E46"/>
    <w:rsid w:val="000A40C9"/>
    <w:rsid w:val="000A7F1A"/>
    <w:rsid w:val="000B057D"/>
    <w:rsid w:val="000B1A72"/>
    <w:rsid w:val="000B1CE9"/>
    <w:rsid w:val="000B73AC"/>
    <w:rsid w:val="000C08DF"/>
    <w:rsid w:val="000E774B"/>
    <w:rsid w:val="000F02EB"/>
    <w:rsid w:val="000F0745"/>
    <w:rsid w:val="000F13B7"/>
    <w:rsid w:val="000F1F57"/>
    <w:rsid w:val="000F24CC"/>
    <w:rsid w:val="00113443"/>
    <w:rsid w:val="0011455A"/>
    <w:rsid w:val="0011554D"/>
    <w:rsid w:val="001232DD"/>
    <w:rsid w:val="00125B60"/>
    <w:rsid w:val="00143838"/>
    <w:rsid w:val="001457E6"/>
    <w:rsid w:val="00164E07"/>
    <w:rsid w:val="00176A07"/>
    <w:rsid w:val="001778D6"/>
    <w:rsid w:val="00180A40"/>
    <w:rsid w:val="001860F7"/>
    <w:rsid w:val="00192CC2"/>
    <w:rsid w:val="001973A3"/>
    <w:rsid w:val="001A202A"/>
    <w:rsid w:val="001A334B"/>
    <w:rsid w:val="001A5D0F"/>
    <w:rsid w:val="001A5E2C"/>
    <w:rsid w:val="001A7B89"/>
    <w:rsid w:val="001A7CBD"/>
    <w:rsid w:val="001B6E90"/>
    <w:rsid w:val="001B7524"/>
    <w:rsid w:val="001B7F10"/>
    <w:rsid w:val="001C0136"/>
    <w:rsid w:val="001C209A"/>
    <w:rsid w:val="001C5115"/>
    <w:rsid w:val="001C595B"/>
    <w:rsid w:val="001E7BEF"/>
    <w:rsid w:val="001F06A8"/>
    <w:rsid w:val="001F1AFD"/>
    <w:rsid w:val="001F6918"/>
    <w:rsid w:val="002022F4"/>
    <w:rsid w:val="00202FCE"/>
    <w:rsid w:val="0020318A"/>
    <w:rsid w:val="00204244"/>
    <w:rsid w:val="00217217"/>
    <w:rsid w:val="00224F66"/>
    <w:rsid w:val="00225C73"/>
    <w:rsid w:val="002312EA"/>
    <w:rsid w:val="00232E52"/>
    <w:rsid w:val="00234FE0"/>
    <w:rsid w:val="002355BA"/>
    <w:rsid w:val="00241C53"/>
    <w:rsid w:val="0024790C"/>
    <w:rsid w:val="00253A3F"/>
    <w:rsid w:val="002551C3"/>
    <w:rsid w:val="002573D1"/>
    <w:rsid w:val="002577FE"/>
    <w:rsid w:val="002648D3"/>
    <w:rsid w:val="002708C4"/>
    <w:rsid w:val="0027484F"/>
    <w:rsid w:val="00276AAB"/>
    <w:rsid w:val="00282944"/>
    <w:rsid w:val="00291678"/>
    <w:rsid w:val="00291ECB"/>
    <w:rsid w:val="00296DCE"/>
    <w:rsid w:val="002B0555"/>
    <w:rsid w:val="002B0BCC"/>
    <w:rsid w:val="002B0E6A"/>
    <w:rsid w:val="002B36BD"/>
    <w:rsid w:val="002B5021"/>
    <w:rsid w:val="002C131C"/>
    <w:rsid w:val="002C206A"/>
    <w:rsid w:val="002D1894"/>
    <w:rsid w:val="002E014A"/>
    <w:rsid w:val="002F19A8"/>
    <w:rsid w:val="002F3FF7"/>
    <w:rsid w:val="00306DF8"/>
    <w:rsid w:val="0030700E"/>
    <w:rsid w:val="003102E5"/>
    <w:rsid w:val="00314203"/>
    <w:rsid w:val="003167B7"/>
    <w:rsid w:val="00323714"/>
    <w:rsid w:val="00333352"/>
    <w:rsid w:val="00334357"/>
    <w:rsid w:val="00336C7E"/>
    <w:rsid w:val="003406BE"/>
    <w:rsid w:val="00343D0A"/>
    <w:rsid w:val="0035744B"/>
    <w:rsid w:val="00357ECA"/>
    <w:rsid w:val="0036036D"/>
    <w:rsid w:val="00360C47"/>
    <w:rsid w:val="00363E07"/>
    <w:rsid w:val="00367EA4"/>
    <w:rsid w:val="0037113A"/>
    <w:rsid w:val="00375970"/>
    <w:rsid w:val="00381054"/>
    <w:rsid w:val="00390A85"/>
    <w:rsid w:val="00392404"/>
    <w:rsid w:val="003A024E"/>
    <w:rsid w:val="003A2581"/>
    <w:rsid w:val="003A3710"/>
    <w:rsid w:val="003A614B"/>
    <w:rsid w:val="003B3264"/>
    <w:rsid w:val="003B3532"/>
    <w:rsid w:val="003B4253"/>
    <w:rsid w:val="003C6845"/>
    <w:rsid w:val="003D0780"/>
    <w:rsid w:val="003D57F9"/>
    <w:rsid w:val="003E03D1"/>
    <w:rsid w:val="003E0837"/>
    <w:rsid w:val="003E2C31"/>
    <w:rsid w:val="003E64CE"/>
    <w:rsid w:val="003E67E4"/>
    <w:rsid w:val="003E75F3"/>
    <w:rsid w:val="00403FC2"/>
    <w:rsid w:val="00410F66"/>
    <w:rsid w:val="00411399"/>
    <w:rsid w:val="004121E0"/>
    <w:rsid w:val="00416AA3"/>
    <w:rsid w:val="004177CB"/>
    <w:rsid w:val="0042195F"/>
    <w:rsid w:val="00426688"/>
    <w:rsid w:val="00434210"/>
    <w:rsid w:val="00436158"/>
    <w:rsid w:val="00460499"/>
    <w:rsid w:val="00460F97"/>
    <w:rsid w:val="00465149"/>
    <w:rsid w:val="00471357"/>
    <w:rsid w:val="004713E7"/>
    <w:rsid w:val="00471E27"/>
    <w:rsid w:val="00471FC2"/>
    <w:rsid w:val="004726D4"/>
    <w:rsid w:val="00473249"/>
    <w:rsid w:val="00474C90"/>
    <w:rsid w:val="00482BAE"/>
    <w:rsid w:val="0048550B"/>
    <w:rsid w:val="00486DC6"/>
    <w:rsid w:val="004918B7"/>
    <w:rsid w:val="004946CC"/>
    <w:rsid w:val="00495476"/>
    <w:rsid w:val="004958B1"/>
    <w:rsid w:val="00496461"/>
    <w:rsid w:val="004965AF"/>
    <w:rsid w:val="00496BA8"/>
    <w:rsid w:val="004979C2"/>
    <w:rsid w:val="004A14F1"/>
    <w:rsid w:val="004A22A8"/>
    <w:rsid w:val="004B7778"/>
    <w:rsid w:val="004C2AB4"/>
    <w:rsid w:val="004E2B0F"/>
    <w:rsid w:val="004F1A34"/>
    <w:rsid w:val="004F2870"/>
    <w:rsid w:val="004F564C"/>
    <w:rsid w:val="00500EEB"/>
    <w:rsid w:val="0050419E"/>
    <w:rsid w:val="00506B0B"/>
    <w:rsid w:val="00506DE9"/>
    <w:rsid w:val="00511274"/>
    <w:rsid w:val="00511F94"/>
    <w:rsid w:val="00512CE5"/>
    <w:rsid w:val="005134FA"/>
    <w:rsid w:val="005251A3"/>
    <w:rsid w:val="0053110D"/>
    <w:rsid w:val="00533471"/>
    <w:rsid w:val="00544F6A"/>
    <w:rsid w:val="00545EF9"/>
    <w:rsid w:val="0054611F"/>
    <w:rsid w:val="0055270D"/>
    <w:rsid w:val="00554EF8"/>
    <w:rsid w:val="005568D5"/>
    <w:rsid w:val="00556F88"/>
    <w:rsid w:val="00560002"/>
    <w:rsid w:val="0056283E"/>
    <w:rsid w:val="0056718C"/>
    <w:rsid w:val="005675CB"/>
    <w:rsid w:val="005724CF"/>
    <w:rsid w:val="00572929"/>
    <w:rsid w:val="00580BC4"/>
    <w:rsid w:val="00582E94"/>
    <w:rsid w:val="00583FF4"/>
    <w:rsid w:val="0058758D"/>
    <w:rsid w:val="005955DA"/>
    <w:rsid w:val="00596A16"/>
    <w:rsid w:val="005A0616"/>
    <w:rsid w:val="005A3C6A"/>
    <w:rsid w:val="005A7C18"/>
    <w:rsid w:val="005B041F"/>
    <w:rsid w:val="005B5388"/>
    <w:rsid w:val="005B5689"/>
    <w:rsid w:val="005B5721"/>
    <w:rsid w:val="005C2893"/>
    <w:rsid w:val="005D6099"/>
    <w:rsid w:val="005D71F9"/>
    <w:rsid w:val="005E042B"/>
    <w:rsid w:val="005E7A56"/>
    <w:rsid w:val="005F2CCA"/>
    <w:rsid w:val="005F67AF"/>
    <w:rsid w:val="00616E08"/>
    <w:rsid w:val="00620FA3"/>
    <w:rsid w:val="00624355"/>
    <w:rsid w:val="00627494"/>
    <w:rsid w:val="00630314"/>
    <w:rsid w:val="0063667E"/>
    <w:rsid w:val="00641CFF"/>
    <w:rsid w:val="00645669"/>
    <w:rsid w:val="00653F41"/>
    <w:rsid w:val="00657B4C"/>
    <w:rsid w:val="00660122"/>
    <w:rsid w:val="00665FFD"/>
    <w:rsid w:val="006700D1"/>
    <w:rsid w:val="006770A7"/>
    <w:rsid w:val="00682708"/>
    <w:rsid w:val="006870CF"/>
    <w:rsid w:val="006875D5"/>
    <w:rsid w:val="00691AA0"/>
    <w:rsid w:val="006959A6"/>
    <w:rsid w:val="00697803"/>
    <w:rsid w:val="006A02EF"/>
    <w:rsid w:val="006A0A01"/>
    <w:rsid w:val="006A3C04"/>
    <w:rsid w:val="006A6723"/>
    <w:rsid w:val="006A7B40"/>
    <w:rsid w:val="006B3337"/>
    <w:rsid w:val="006B33D5"/>
    <w:rsid w:val="006B3C22"/>
    <w:rsid w:val="006B3EB9"/>
    <w:rsid w:val="006B59A5"/>
    <w:rsid w:val="006B766F"/>
    <w:rsid w:val="006C3B7F"/>
    <w:rsid w:val="006D319E"/>
    <w:rsid w:val="006D4423"/>
    <w:rsid w:val="006D457C"/>
    <w:rsid w:val="006D4E42"/>
    <w:rsid w:val="006E0520"/>
    <w:rsid w:val="006E14D9"/>
    <w:rsid w:val="006E1DF4"/>
    <w:rsid w:val="006E2DF9"/>
    <w:rsid w:val="006E4197"/>
    <w:rsid w:val="006E6567"/>
    <w:rsid w:val="006F1607"/>
    <w:rsid w:val="00700F2A"/>
    <w:rsid w:val="00710EBA"/>
    <w:rsid w:val="0071629E"/>
    <w:rsid w:val="007170B1"/>
    <w:rsid w:val="00717293"/>
    <w:rsid w:val="00724427"/>
    <w:rsid w:val="00727F4A"/>
    <w:rsid w:val="007306C8"/>
    <w:rsid w:val="00731204"/>
    <w:rsid w:val="007319AB"/>
    <w:rsid w:val="00731FE7"/>
    <w:rsid w:val="00734571"/>
    <w:rsid w:val="00737D39"/>
    <w:rsid w:val="00740910"/>
    <w:rsid w:val="007421B7"/>
    <w:rsid w:val="00742385"/>
    <w:rsid w:val="00746D57"/>
    <w:rsid w:val="00751C41"/>
    <w:rsid w:val="00757DB4"/>
    <w:rsid w:val="0076181C"/>
    <w:rsid w:val="00761848"/>
    <w:rsid w:val="00764231"/>
    <w:rsid w:val="00764FFB"/>
    <w:rsid w:val="00765172"/>
    <w:rsid w:val="0076564F"/>
    <w:rsid w:val="0077421D"/>
    <w:rsid w:val="0077733C"/>
    <w:rsid w:val="0078626B"/>
    <w:rsid w:val="00787E05"/>
    <w:rsid w:val="00792E95"/>
    <w:rsid w:val="00794571"/>
    <w:rsid w:val="00794767"/>
    <w:rsid w:val="00795E2D"/>
    <w:rsid w:val="00797F56"/>
    <w:rsid w:val="007A4F6B"/>
    <w:rsid w:val="007A7173"/>
    <w:rsid w:val="007B0BC5"/>
    <w:rsid w:val="007C078C"/>
    <w:rsid w:val="007D1421"/>
    <w:rsid w:val="007D5D15"/>
    <w:rsid w:val="007D5F06"/>
    <w:rsid w:val="007D7E44"/>
    <w:rsid w:val="007E7A96"/>
    <w:rsid w:val="007F0118"/>
    <w:rsid w:val="007F1F84"/>
    <w:rsid w:val="007F4AF1"/>
    <w:rsid w:val="00800C4F"/>
    <w:rsid w:val="00810A84"/>
    <w:rsid w:val="00810C3D"/>
    <w:rsid w:val="00811507"/>
    <w:rsid w:val="008214B9"/>
    <w:rsid w:val="008263D0"/>
    <w:rsid w:val="008268EF"/>
    <w:rsid w:val="00831734"/>
    <w:rsid w:val="00831D17"/>
    <w:rsid w:val="00831D92"/>
    <w:rsid w:val="00831E03"/>
    <w:rsid w:val="00832A95"/>
    <w:rsid w:val="00845742"/>
    <w:rsid w:val="00845C55"/>
    <w:rsid w:val="00850707"/>
    <w:rsid w:val="00851C9F"/>
    <w:rsid w:val="00853117"/>
    <w:rsid w:val="008539AB"/>
    <w:rsid w:val="00860AE2"/>
    <w:rsid w:val="00862931"/>
    <w:rsid w:val="0086595C"/>
    <w:rsid w:val="008731C8"/>
    <w:rsid w:val="00880BE8"/>
    <w:rsid w:val="008812B0"/>
    <w:rsid w:val="008842D0"/>
    <w:rsid w:val="008842DE"/>
    <w:rsid w:val="00891874"/>
    <w:rsid w:val="008936BF"/>
    <w:rsid w:val="008A6B67"/>
    <w:rsid w:val="008B068B"/>
    <w:rsid w:val="008B1D34"/>
    <w:rsid w:val="008B541F"/>
    <w:rsid w:val="008B5E21"/>
    <w:rsid w:val="008B60C4"/>
    <w:rsid w:val="008B7C53"/>
    <w:rsid w:val="008D40CA"/>
    <w:rsid w:val="008D5979"/>
    <w:rsid w:val="008F6506"/>
    <w:rsid w:val="00905876"/>
    <w:rsid w:val="0091161D"/>
    <w:rsid w:val="009125B1"/>
    <w:rsid w:val="00920098"/>
    <w:rsid w:val="00920541"/>
    <w:rsid w:val="009340CF"/>
    <w:rsid w:val="00936D8B"/>
    <w:rsid w:val="00942ED9"/>
    <w:rsid w:val="00955A2F"/>
    <w:rsid w:val="00960045"/>
    <w:rsid w:val="00963956"/>
    <w:rsid w:val="00970B6E"/>
    <w:rsid w:val="009807B7"/>
    <w:rsid w:val="00985741"/>
    <w:rsid w:val="009904E8"/>
    <w:rsid w:val="00993B2A"/>
    <w:rsid w:val="009A0F96"/>
    <w:rsid w:val="009A6FB3"/>
    <w:rsid w:val="009B5856"/>
    <w:rsid w:val="009C0A83"/>
    <w:rsid w:val="009C527C"/>
    <w:rsid w:val="009D143B"/>
    <w:rsid w:val="009D1892"/>
    <w:rsid w:val="009D2F58"/>
    <w:rsid w:val="009E3206"/>
    <w:rsid w:val="009F73FA"/>
    <w:rsid w:val="00A01F9B"/>
    <w:rsid w:val="00A12687"/>
    <w:rsid w:val="00A201FA"/>
    <w:rsid w:val="00A34283"/>
    <w:rsid w:val="00A3762B"/>
    <w:rsid w:val="00A4344E"/>
    <w:rsid w:val="00A43B8D"/>
    <w:rsid w:val="00A46FB8"/>
    <w:rsid w:val="00A537A9"/>
    <w:rsid w:val="00A562EB"/>
    <w:rsid w:val="00A56B47"/>
    <w:rsid w:val="00A60576"/>
    <w:rsid w:val="00A61199"/>
    <w:rsid w:val="00A637E4"/>
    <w:rsid w:val="00A64C35"/>
    <w:rsid w:val="00A74300"/>
    <w:rsid w:val="00A7459D"/>
    <w:rsid w:val="00A76C14"/>
    <w:rsid w:val="00A770CB"/>
    <w:rsid w:val="00A824EA"/>
    <w:rsid w:val="00A901D2"/>
    <w:rsid w:val="00AA312E"/>
    <w:rsid w:val="00AA5C8D"/>
    <w:rsid w:val="00AA64E3"/>
    <w:rsid w:val="00AA75DA"/>
    <w:rsid w:val="00AB57A9"/>
    <w:rsid w:val="00AB785E"/>
    <w:rsid w:val="00AC1A07"/>
    <w:rsid w:val="00AD4196"/>
    <w:rsid w:val="00AD5F08"/>
    <w:rsid w:val="00AD6A01"/>
    <w:rsid w:val="00AD7F93"/>
    <w:rsid w:val="00AF0B15"/>
    <w:rsid w:val="00AF402B"/>
    <w:rsid w:val="00AF428B"/>
    <w:rsid w:val="00AF5D59"/>
    <w:rsid w:val="00AF644E"/>
    <w:rsid w:val="00B06312"/>
    <w:rsid w:val="00B074D7"/>
    <w:rsid w:val="00B11C77"/>
    <w:rsid w:val="00B1225B"/>
    <w:rsid w:val="00B123CD"/>
    <w:rsid w:val="00B13EE4"/>
    <w:rsid w:val="00B16089"/>
    <w:rsid w:val="00B26F0A"/>
    <w:rsid w:val="00B27777"/>
    <w:rsid w:val="00B33547"/>
    <w:rsid w:val="00B40654"/>
    <w:rsid w:val="00B41146"/>
    <w:rsid w:val="00B463E2"/>
    <w:rsid w:val="00B46B15"/>
    <w:rsid w:val="00B46C6D"/>
    <w:rsid w:val="00B5787A"/>
    <w:rsid w:val="00B622D8"/>
    <w:rsid w:val="00B738C6"/>
    <w:rsid w:val="00B76E45"/>
    <w:rsid w:val="00B77DE8"/>
    <w:rsid w:val="00B87485"/>
    <w:rsid w:val="00B919FE"/>
    <w:rsid w:val="00B9412E"/>
    <w:rsid w:val="00BA0AA7"/>
    <w:rsid w:val="00BB3DBB"/>
    <w:rsid w:val="00BB47B6"/>
    <w:rsid w:val="00BC089A"/>
    <w:rsid w:val="00BD0123"/>
    <w:rsid w:val="00BD0A9A"/>
    <w:rsid w:val="00BD7130"/>
    <w:rsid w:val="00BE0B1A"/>
    <w:rsid w:val="00BE57B4"/>
    <w:rsid w:val="00BE79CC"/>
    <w:rsid w:val="00BF345A"/>
    <w:rsid w:val="00C00C44"/>
    <w:rsid w:val="00C0558F"/>
    <w:rsid w:val="00C05D32"/>
    <w:rsid w:val="00C06126"/>
    <w:rsid w:val="00C11D76"/>
    <w:rsid w:val="00C15060"/>
    <w:rsid w:val="00C22151"/>
    <w:rsid w:val="00C227A9"/>
    <w:rsid w:val="00C257AE"/>
    <w:rsid w:val="00C412C9"/>
    <w:rsid w:val="00C41C15"/>
    <w:rsid w:val="00C45E3D"/>
    <w:rsid w:val="00C47EA6"/>
    <w:rsid w:val="00C61773"/>
    <w:rsid w:val="00C65708"/>
    <w:rsid w:val="00C8132C"/>
    <w:rsid w:val="00C85DBD"/>
    <w:rsid w:val="00C865B3"/>
    <w:rsid w:val="00C90342"/>
    <w:rsid w:val="00CA392A"/>
    <w:rsid w:val="00CB0A40"/>
    <w:rsid w:val="00CB2843"/>
    <w:rsid w:val="00CC1188"/>
    <w:rsid w:val="00CD082F"/>
    <w:rsid w:val="00CD3DA0"/>
    <w:rsid w:val="00CD5540"/>
    <w:rsid w:val="00CD6773"/>
    <w:rsid w:val="00CD73FB"/>
    <w:rsid w:val="00CE1ED9"/>
    <w:rsid w:val="00CE25E9"/>
    <w:rsid w:val="00CE35F6"/>
    <w:rsid w:val="00CF3345"/>
    <w:rsid w:val="00CF4FEA"/>
    <w:rsid w:val="00D00EE9"/>
    <w:rsid w:val="00D02CF5"/>
    <w:rsid w:val="00D0777F"/>
    <w:rsid w:val="00D1343F"/>
    <w:rsid w:val="00D149E9"/>
    <w:rsid w:val="00D235B9"/>
    <w:rsid w:val="00D27BEE"/>
    <w:rsid w:val="00D34D5A"/>
    <w:rsid w:val="00D42D1F"/>
    <w:rsid w:val="00D43ECC"/>
    <w:rsid w:val="00D654B8"/>
    <w:rsid w:val="00D716B7"/>
    <w:rsid w:val="00D868BF"/>
    <w:rsid w:val="00D876B2"/>
    <w:rsid w:val="00D90D1A"/>
    <w:rsid w:val="00D921F0"/>
    <w:rsid w:val="00D9390F"/>
    <w:rsid w:val="00D97226"/>
    <w:rsid w:val="00DA3725"/>
    <w:rsid w:val="00DA50A8"/>
    <w:rsid w:val="00DA7A18"/>
    <w:rsid w:val="00DB0C0B"/>
    <w:rsid w:val="00DB173E"/>
    <w:rsid w:val="00DB1B2C"/>
    <w:rsid w:val="00DD7F0A"/>
    <w:rsid w:val="00DE3076"/>
    <w:rsid w:val="00DE5705"/>
    <w:rsid w:val="00DF1335"/>
    <w:rsid w:val="00DF4BC3"/>
    <w:rsid w:val="00DF7E25"/>
    <w:rsid w:val="00E0103B"/>
    <w:rsid w:val="00E02C36"/>
    <w:rsid w:val="00E056B7"/>
    <w:rsid w:val="00E13330"/>
    <w:rsid w:val="00E14B5A"/>
    <w:rsid w:val="00E175A6"/>
    <w:rsid w:val="00E20E4F"/>
    <w:rsid w:val="00E269D8"/>
    <w:rsid w:val="00E31BA3"/>
    <w:rsid w:val="00E379C2"/>
    <w:rsid w:val="00E4062D"/>
    <w:rsid w:val="00E40BC8"/>
    <w:rsid w:val="00E4299F"/>
    <w:rsid w:val="00E4377D"/>
    <w:rsid w:val="00E547C4"/>
    <w:rsid w:val="00E56E8A"/>
    <w:rsid w:val="00E61621"/>
    <w:rsid w:val="00E63F59"/>
    <w:rsid w:val="00E64FB5"/>
    <w:rsid w:val="00E700F8"/>
    <w:rsid w:val="00E7311F"/>
    <w:rsid w:val="00E7693D"/>
    <w:rsid w:val="00E848D4"/>
    <w:rsid w:val="00E85B38"/>
    <w:rsid w:val="00E94145"/>
    <w:rsid w:val="00E96C0D"/>
    <w:rsid w:val="00E97D56"/>
    <w:rsid w:val="00EA41D9"/>
    <w:rsid w:val="00EB25F3"/>
    <w:rsid w:val="00ED0A81"/>
    <w:rsid w:val="00ED322B"/>
    <w:rsid w:val="00EE29EC"/>
    <w:rsid w:val="00EE4F7E"/>
    <w:rsid w:val="00F00F40"/>
    <w:rsid w:val="00F029C0"/>
    <w:rsid w:val="00F03FA5"/>
    <w:rsid w:val="00F0782E"/>
    <w:rsid w:val="00F17018"/>
    <w:rsid w:val="00F17A52"/>
    <w:rsid w:val="00F23225"/>
    <w:rsid w:val="00F255C4"/>
    <w:rsid w:val="00F318F8"/>
    <w:rsid w:val="00F344BA"/>
    <w:rsid w:val="00F34BF5"/>
    <w:rsid w:val="00F41051"/>
    <w:rsid w:val="00F42A7F"/>
    <w:rsid w:val="00F44379"/>
    <w:rsid w:val="00F45903"/>
    <w:rsid w:val="00F46248"/>
    <w:rsid w:val="00F466DD"/>
    <w:rsid w:val="00F57433"/>
    <w:rsid w:val="00F63B24"/>
    <w:rsid w:val="00F86729"/>
    <w:rsid w:val="00F8757C"/>
    <w:rsid w:val="00F96AB5"/>
    <w:rsid w:val="00F97E16"/>
    <w:rsid w:val="00FA6AC4"/>
    <w:rsid w:val="00FB264C"/>
    <w:rsid w:val="00FB4E35"/>
    <w:rsid w:val="00FC3193"/>
    <w:rsid w:val="00FC334F"/>
    <w:rsid w:val="00FC57A6"/>
    <w:rsid w:val="00FC72EF"/>
    <w:rsid w:val="00FD0917"/>
    <w:rsid w:val="00FD0CB6"/>
    <w:rsid w:val="00FD1BB2"/>
    <w:rsid w:val="00FD43B1"/>
    <w:rsid w:val="00FD4BC4"/>
    <w:rsid w:val="00FD69B3"/>
    <w:rsid w:val="00FF7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175B46E0-C7D4-4F89-8134-27FEA23B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45C55"/>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1CharChar">
    <w:name w:val="Diagrama Diagrama1 Char Char"/>
    <w:basedOn w:val="prastasis"/>
    <w:rsid w:val="00845C55"/>
    <w:pPr>
      <w:spacing w:after="160" w:line="240" w:lineRule="exact"/>
    </w:pPr>
    <w:rPr>
      <w:rFonts w:ascii="Verdana" w:hAnsi="Verdana"/>
      <w:sz w:val="16"/>
      <w:szCs w:val="20"/>
      <w:lang w:val="en-US" w:eastAsia="en-US"/>
    </w:rPr>
  </w:style>
  <w:style w:type="paragraph" w:styleId="Porat">
    <w:name w:val="footer"/>
    <w:basedOn w:val="prastasis"/>
    <w:rsid w:val="00845C55"/>
    <w:pPr>
      <w:tabs>
        <w:tab w:val="center" w:pos="4153"/>
        <w:tab w:val="right" w:pos="8306"/>
      </w:tabs>
    </w:pPr>
    <w:rPr>
      <w:szCs w:val="20"/>
    </w:rPr>
  </w:style>
  <w:style w:type="paragraph" w:styleId="Pagrindinistekstas">
    <w:name w:val="Body Text"/>
    <w:basedOn w:val="prastasis"/>
    <w:rsid w:val="00845C55"/>
    <w:pPr>
      <w:spacing w:after="120"/>
    </w:pPr>
  </w:style>
  <w:style w:type="character" w:styleId="Emfaz">
    <w:name w:val="Emphasis"/>
    <w:basedOn w:val="Numatytasispastraiposriftas"/>
    <w:qFormat/>
    <w:rsid w:val="00845C55"/>
    <w:rPr>
      <w:b/>
      <w:bCs/>
      <w:i w:val="0"/>
      <w:iCs w:val="0"/>
    </w:rPr>
  </w:style>
  <w:style w:type="character" w:customStyle="1" w:styleId="Heading2Char">
    <w:name w:val="Heading 2 Char"/>
    <w:aliases w:val="Title Header2 Char"/>
    <w:rsid w:val="00180A40"/>
    <w:rPr>
      <w:sz w:val="24"/>
      <w:lang w:eastAsia="lt-LT"/>
    </w:rPr>
  </w:style>
  <w:style w:type="character" w:customStyle="1" w:styleId="Heading1Char">
    <w:name w:val="Heading 1 Char"/>
    <w:rsid w:val="00ED322B"/>
    <w:rPr>
      <w:sz w:val="28"/>
      <w:lang w:eastAsia="lt-LT"/>
    </w:rPr>
  </w:style>
  <w:style w:type="character" w:styleId="Hipersaitas">
    <w:name w:val="Hyperlink"/>
    <w:unhideWhenUsed/>
    <w:rsid w:val="00CE35F6"/>
    <w:rPr>
      <w:color w:val="0000FF"/>
      <w:u w:val="single"/>
    </w:rPr>
  </w:style>
  <w:style w:type="character" w:styleId="Puslapionumeris">
    <w:name w:val="page number"/>
    <w:basedOn w:val="Numatytasispastraiposriftas"/>
    <w:rsid w:val="0050419E"/>
  </w:style>
  <w:style w:type="paragraph" w:styleId="Debesliotekstas">
    <w:name w:val="Balloon Text"/>
    <w:basedOn w:val="prastasis"/>
    <w:link w:val="DebesliotekstasDiagrama"/>
    <w:uiPriority w:val="99"/>
    <w:semiHidden/>
    <w:unhideWhenUsed/>
    <w:rsid w:val="0055270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5270D"/>
    <w:rPr>
      <w:rFonts w:ascii="Tahoma" w:hAnsi="Tahoma" w:cs="Tahoma"/>
      <w:sz w:val="16"/>
      <w:szCs w:val="16"/>
      <w:lang w:val="lt-LT" w:eastAsia="lt-LT"/>
    </w:rPr>
  </w:style>
  <w:style w:type="table" w:styleId="Lentelstinklelis">
    <w:name w:val="Table Grid"/>
    <w:basedOn w:val="prastojilentel"/>
    <w:uiPriority w:val="59"/>
    <w:rsid w:val="00765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00E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03856">
      <w:bodyDiv w:val="1"/>
      <w:marLeft w:val="0"/>
      <w:marRight w:val="0"/>
      <w:marTop w:val="0"/>
      <w:marBottom w:val="0"/>
      <w:divBdr>
        <w:top w:val="none" w:sz="0" w:space="0" w:color="auto"/>
        <w:left w:val="none" w:sz="0" w:space="0" w:color="auto"/>
        <w:bottom w:val="none" w:sz="0" w:space="0" w:color="auto"/>
        <w:right w:val="none" w:sz="0" w:space="0" w:color="auto"/>
      </w:divBdr>
      <w:divsChild>
        <w:div w:id="673146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Asta1\My%20Documents\grafikai%20analizei2011.xls" TargetMode="Externa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9.xml"/><Relationship Id="rId1" Type="http://schemas.microsoft.com/office/2011/relationships/chartStyle" Target="style9.xml"/></Relationships>
</file>

<file path=word/charts/_rels/chart12.xml.rels><?xml version="1.0" encoding="UTF-8" standalone="yes"?>
<Relationships xmlns="http://schemas.openxmlformats.org/package/2006/relationships"><Relationship Id="rId1" Type="http://schemas.openxmlformats.org/officeDocument/2006/relationships/oleObject" Target="file:///C:\Documents%20and%20Settings\Asta1\My%20Documents\grafikai%20analizei2011.xls" TargetMode="Externa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0.xml"/><Relationship Id="rId1" Type="http://schemas.microsoft.com/office/2011/relationships/chartStyle" Target="style10.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1.xml"/><Relationship Id="rId1" Type="http://schemas.microsoft.com/office/2011/relationships/chartStyle" Target="style11.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2.xml"/><Relationship Id="rId1" Type="http://schemas.microsoft.com/office/2011/relationships/chartStyle" Target="style12.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3.xml"/><Relationship Id="rId1" Type="http://schemas.microsoft.com/office/2011/relationships/chartStyle" Target="style13.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4.xml"/><Relationship Id="rId1" Type="http://schemas.microsoft.com/office/2011/relationships/chartStyle" Target="style14.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5.xml"/><Relationship Id="rId1" Type="http://schemas.microsoft.com/office/2011/relationships/chartStyle" Target="style15.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6.xml"/><Relationship Id="rId1" Type="http://schemas.microsoft.com/office/2011/relationships/chartStyle" Target="style16.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0.xml.rels><?xml version="1.0" encoding="UTF-8" standalone="yes"?>
<Relationships xmlns="http://schemas.openxmlformats.org/package/2006/relationships"><Relationship Id="rId1" Type="http://schemas.openxmlformats.org/officeDocument/2006/relationships/oleObject" Target="file:///C:\Documents%20and%20Settings\Asta1\My%20Documents\grafikai%20analizei2011.xls" TargetMode="External"/></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7.xml"/><Relationship Id="rId1" Type="http://schemas.microsoft.com/office/2011/relationships/chartStyle" Target="style17.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Asta1\My%20Documents\grafikai%20analizei2011.xls" TargetMode="Externa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i="0" u="none" strike="noStrike" baseline="0">
                <a:solidFill>
                  <a:srgbClr val="000000"/>
                </a:solidFill>
                <a:latin typeface="Times New Roman" pitchFamily="18" charset="0"/>
                <a:ea typeface="Arial"/>
                <a:cs typeface="Times New Roman" pitchFamily="18" charset="0"/>
              </a:defRPr>
            </a:pPr>
            <a:r>
              <a:rPr lang="lt-LT" sz="1200" b="0" i="0" u="none" strike="noStrike" baseline="0">
                <a:solidFill>
                  <a:srgbClr val="000000"/>
                </a:solidFill>
                <a:latin typeface="Times New Roman" pitchFamily="18" charset="0"/>
                <a:cs typeface="Times New Roman" pitchFamily="18" charset="0"/>
              </a:rPr>
              <a:t>1 diagrama. Panevėžio miesto plėtros  Strateginio plano priemonių vykdymas už 2015 metus </a:t>
            </a:r>
          </a:p>
        </c:rich>
      </c:tx>
      <c:layout>
        <c:manualLayout>
          <c:xMode val="edge"/>
          <c:yMode val="edge"/>
          <c:x val="0.16060400677763401"/>
          <c:y val="2.7874497339208756E-2"/>
        </c:manualLayout>
      </c:layout>
      <c:overlay val="0"/>
      <c:spPr>
        <a:noFill/>
        <a:ln w="25400">
          <a:noFill/>
        </a:ln>
      </c:spPr>
    </c:title>
    <c:autoTitleDeleted val="0"/>
    <c:plotArea>
      <c:layout>
        <c:manualLayout>
          <c:layoutTarget val="inner"/>
          <c:xMode val="edge"/>
          <c:yMode val="edge"/>
          <c:x val="0.224032586558045"/>
          <c:y val="0.27874564459930279"/>
          <c:w val="0.31839782756279789"/>
          <c:h val="0.49316508937960246"/>
        </c:manualLayout>
      </c:layout>
      <c:pieChart>
        <c:varyColors val="1"/>
        <c:ser>
          <c:idx val="0"/>
          <c:order val="0"/>
          <c:spPr>
            <a:solidFill>
              <a:srgbClr val="9999FF"/>
            </a:solidFill>
            <a:ln w="12700">
              <a:solidFill>
                <a:srgbClr val="000000"/>
              </a:solidFill>
              <a:prstDash val="solid"/>
            </a:ln>
          </c:spPr>
          <c:explosion val="25"/>
          <c:dPt>
            <c:idx val="1"/>
            <c:bubble3D val="0"/>
            <c:spPr>
              <a:solidFill>
                <a:srgbClr val="993366"/>
              </a:solidFill>
              <a:ln w="12700">
                <a:solidFill>
                  <a:srgbClr val="000000"/>
                </a:solidFill>
                <a:prstDash val="solid"/>
              </a:ln>
            </c:spPr>
          </c:dPt>
          <c:dLbls>
            <c:dLbl>
              <c:idx val="0"/>
              <c:tx>
                <c:rich>
                  <a:bodyPr/>
                  <a:lstStyle/>
                  <a:p>
                    <a:r>
                      <a:rPr lang="en-US"/>
                      <a:t>82 %</a:t>
                    </a:r>
                  </a:p>
                </c:rich>
              </c:tx>
              <c:showLegendKey val="0"/>
              <c:showVal val="0"/>
              <c:showCatName val="0"/>
              <c:showSerName val="0"/>
              <c:showPercent val="1"/>
              <c:showBubbleSize val="0"/>
              <c:extLst>
                <c:ext xmlns:c15="http://schemas.microsoft.com/office/drawing/2012/chart" uri="{CE6537A1-D6FC-4f65-9D91-7224C49458BB}"/>
              </c:extLst>
            </c:dLbl>
            <c:dLbl>
              <c:idx val="1"/>
              <c:tx>
                <c:rich>
                  <a:bodyPr/>
                  <a:lstStyle/>
                  <a:p>
                    <a:r>
                      <a:rPr lang="en-US"/>
                      <a:t>18 %</a:t>
                    </a:r>
                  </a:p>
                </c:rich>
              </c:tx>
              <c:showLegendKey val="0"/>
              <c:showVal val="0"/>
              <c:showCatName val="0"/>
              <c:showSerName val="0"/>
              <c:showPercent val="1"/>
              <c:showBubbleSize val="0"/>
              <c:extLst>
                <c:ext xmlns:c15="http://schemas.microsoft.com/office/drawing/2012/chart" uri="{CE6537A1-D6FC-4f65-9D91-7224C49458BB}"/>
              </c:extLst>
            </c:dLbl>
            <c:numFmt formatCode="0%" sourceLinked="0"/>
            <c:spPr>
              <a:noFill/>
              <a:ln w="25400">
                <a:noFill/>
              </a:ln>
            </c:spPr>
            <c:txPr>
              <a:bodyPr/>
              <a:lstStyle/>
              <a:p>
                <a:pPr>
                  <a:defRPr sz="800" b="0" i="0" u="none" strike="noStrike" baseline="0">
                    <a:solidFill>
                      <a:srgbClr val="000000"/>
                    </a:solidFill>
                    <a:latin typeface="Arial"/>
                    <a:ea typeface="Arial"/>
                    <a:cs typeface="Arial"/>
                  </a:defRPr>
                </a:pPr>
                <a:endParaRPr lang="lt-LT"/>
              </a:p>
            </c:txPr>
            <c:showLegendKey val="0"/>
            <c:showVal val="0"/>
            <c:showCatName val="0"/>
            <c:showSerName val="0"/>
            <c:showPercent val="1"/>
            <c:showBubbleSize val="0"/>
            <c:showLeaderLines val="1"/>
            <c:extLst>
              <c:ext xmlns:c15="http://schemas.microsoft.com/office/drawing/2012/chart" uri="{CE6537A1-D6FC-4f65-9D91-7224C49458BB}"/>
            </c:extLst>
          </c:dLbls>
          <c:cat>
            <c:strRef>
              <c:f>rodikliai!$C$5:$C$6</c:f>
              <c:strCache>
                <c:ptCount val="2"/>
                <c:pt idx="0">
                  <c:v>Vykdoma arba iš dalies vykdoma  priemonių</c:v>
                </c:pt>
                <c:pt idx="1">
                  <c:v>Nevykdoma priemonių</c:v>
                </c:pt>
              </c:strCache>
            </c:strRef>
          </c:cat>
          <c:val>
            <c:numRef>
              <c:f>rodikliai!$D$5:$D$6</c:f>
              <c:numCache>
                <c:formatCode>General</c:formatCode>
                <c:ptCount val="2"/>
                <c:pt idx="0">
                  <c:v>107</c:v>
                </c:pt>
                <c:pt idx="1">
                  <c:v>17</c:v>
                </c:pt>
              </c:numCache>
            </c:numRef>
          </c:val>
        </c:ser>
        <c:dLbls>
          <c:showLegendKey val="0"/>
          <c:showVal val="0"/>
          <c:showCatName val="0"/>
          <c:showSerName val="0"/>
          <c:showPercent val="1"/>
          <c:showBubbleSize val="0"/>
          <c:showLeaderLines val="1"/>
        </c:dLbls>
        <c:firstSliceAng val="0"/>
      </c:pieChart>
      <c:spPr>
        <a:noFill/>
        <a:ln w="25400">
          <a:noFill/>
        </a:ln>
      </c:spPr>
    </c:plotArea>
    <c:legend>
      <c:legendPos val="r"/>
      <c:layout>
        <c:manualLayout>
          <c:xMode val="edge"/>
          <c:yMode val="edge"/>
          <c:x val="0.69857426049591953"/>
          <c:y val="0.53310088532511413"/>
          <c:w val="0.28513239642512955"/>
          <c:h val="0.2762275357782113"/>
        </c:manualLayout>
      </c:layout>
      <c:overlay val="0"/>
      <c:spPr>
        <a:solidFill>
          <a:srgbClr val="FFFFFF"/>
        </a:solidFill>
        <a:ln w="25400">
          <a:noFill/>
        </a:ln>
      </c:spPr>
      <c:txPr>
        <a:bodyPr/>
        <a:lstStyle/>
        <a:p>
          <a:pPr>
            <a:defRPr sz="920" b="0" i="0" u="none" strike="noStrike" baseline="0">
              <a:solidFill>
                <a:srgbClr val="000000"/>
              </a:solidFill>
              <a:latin typeface="Times New Roman" pitchFamily="18" charset="0"/>
              <a:ea typeface="Times New Roman"/>
              <a:cs typeface="Times New Roman" pitchFamily="18" charset="0"/>
            </a:defRPr>
          </a:pPr>
          <a:endParaRPr lang="lt-LT"/>
        </a:p>
      </c:txPr>
    </c:legend>
    <c:plotVisOnly val="1"/>
    <c:dispBlanksAs val="zero"/>
    <c:showDLblsOverMax val="0"/>
  </c:chart>
  <c:spPr>
    <a:solidFill>
      <a:srgbClr val="FFFFFF"/>
    </a:solidFill>
    <a:ln w="9525">
      <a:noFill/>
    </a:ln>
  </c:spPr>
  <c:txPr>
    <a:bodyPr/>
    <a:lstStyle/>
    <a:p>
      <a:pPr>
        <a:defRPr sz="1000" b="0" i="0" u="none" strike="noStrike" baseline="0">
          <a:solidFill>
            <a:srgbClr val="000000"/>
          </a:solidFill>
          <a:latin typeface="Arial"/>
          <a:ea typeface="Arial"/>
          <a:cs typeface="Arial"/>
        </a:defRPr>
      </a:pPr>
      <a:endParaRPr lang="lt-LT"/>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Lapas1!$B$1</c:f>
              <c:strCache>
                <c:ptCount val="1"/>
                <c:pt idx="0">
                  <c:v>Nedarbo lygis, proc.</c:v>
                </c:pt>
              </c:strCache>
            </c:strRef>
          </c:tx>
          <c:spPr>
            <a:ln w="28575" cap="rnd">
              <a:solidFill>
                <a:schemeClr val="accent1"/>
              </a:solidFill>
              <a:round/>
            </a:ln>
            <a:effectLst/>
          </c:spPr>
          <c:marker>
            <c:symbol val="none"/>
          </c:marker>
          <c:dLbls>
            <c:dLbl>
              <c:idx val="0"/>
              <c:layout>
                <c:manualLayout>
                  <c:x val="9.2592592592592587E-3"/>
                  <c:y val="-5.3763440860215055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3.840245775729647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6203703703703703E-2"/>
                  <c:y val="-4.6082949308755776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3148148148148147E-2"/>
                  <c:y val="3.840245775729647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7777777777777776E-2"/>
                  <c:y val="0.11520767565344654"/>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15:layout>
                    <c:manualLayout>
                      <c:w val="4.019666812481773E-2"/>
                      <c:h val="0.16885590914038967"/>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2011</c:v>
                </c:pt>
                <c:pt idx="1">
                  <c:v>2012</c:v>
                </c:pt>
                <c:pt idx="2">
                  <c:v>2013</c:v>
                </c:pt>
                <c:pt idx="3">
                  <c:v>2014</c:v>
                </c:pt>
                <c:pt idx="4">
                  <c:v>2015</c:v>
                </c:pt>
              </c:numCache>
            </c:numRef>
          </c:cat>
          <c:val>
            <c:numRef>
              <c:f>Lapas1!$B$2:$B$6</c:f>
              <c:numCache>
                <c:formatCode>General</c:formatCode>
                <c:ptCount val="5"/>
                <c:pt idx="0">
                  <c:v>16.600000000000001</c:v>
                </c:pt>
                <c:pt idx="1">
                  <c:v>13.7</c:v>
                </c:pt>
                <c:pt idx="2">
                  <c:v>14.4</c:v>
                </c:pt>
                <c:pt idx="3">
                  <c:v>9.6</c:v>
                </c:pt>
                <c:pt idx="4">
                  <c:v>8.3000000000000007</c:v>
                </c:pt>
              </c:numCache>
            </c:numRef>
          </c:val>
          <c:smooth val="0"/>
        </c:ser>
        <c:dLbls>
          <c:showLegendKey val="0"/>
          <c:showVal val="0"/>
          <c:showCatName val="0"/>
          <c:showSerName val="0"/>
          <c:showPercent val="0"/>
          <c:showBubbleSize val="0"/>
        </c:dLbls>
        <c:smooth val="0"/>
        <c:axId val="356143592"/>
        <c:axId val="356145552"/>
      </c:lineChart>
      <c:catAx>
        <c:axId val="356143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56145552"/>
        <c:crosses val="autoZero"/>
        <c:auto val="1"/>
        <c:lblAlgn val="ctr"/>
        <c:lblOffset val="100"/>
        <c:noMultiLvlLbl val="0"/>
      </c:catAx>
      <c:valAx>
        <c:axId val="356145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56143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Lapas1!$B$1</c:f>
              <c:strCache>
                <c:ptCount val="1"/>
                <c:pt idx="0">
                  <c:v>Veikiantys ūkio subjektai</c:v>
                </c:pt>
              </c:strCache>
            </c:strRef>
          </c:tx>
          <c:spPr>
            <a:ln w="28575" cap="rnd">
              <a:solidFill>
                <a:schemeClr val="accent1"/>
              </a:solidFill>
              <a:round/>
            </a:ln>
            <a:effectLst/>
          </c:spPr>
          <c:marker>
            <c:symbol val="none"/>
          </c:marker>
          <c:dLbls>
            <c:dLbl>
              <c:idx val="1"/>
              <c:layout>
                <c:manualLayout>
                  <c:x val="-4.6296296296296719E-3"/>
                  <c:y val="2.4752475247524754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0833333333333419E-2"/>
                  <c:y val="-7.0132338036953304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15:layout>
                    <c:manualLayout>
                      <c:w val="5.6111111111111112E-2"/>
                      <c:h val="0.14014058886203579"/>
                    </c:manualLayout>
                  </c15:layout>
                </c:ext>
              </c:extLst>
            </c:dLbl>
            <c:dLbl>
              <c:idx val="3"/>
              <c:layout>
                <c:manualLayout>
                  <c:x val="-1.6203703703703703E-2"/>
                  <c:y val="-2.4752475247524754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6.9444444444444441E-3"/>
                  <c:y val="-3.300330033003304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2011</c:v>
                </c:pt>
                <c:pt idx="1">
                  <c:v>2012</c:v>
                </c:pt>
                <c:pt idx="2">
                  <c:v>2013</c:v>
                </c:pt>
                <c:pt idx="3">
                  <c:v>2014</c:v>
                </c:pt>
                <c:pt idx="4">
                  <c:v>2015</c:v>
                </c:pt>
              </c:numCache>
            </c:numRef>
          </c:cat>
          <c:val>
            <c:numRef>
              <c:f>Lapas1!$B$2:$B$6</c:f>
              <c:numCache>
                <c:formatCode>General</c:formatCode>
                <c:ptCount val="5"/>
                <c:pt idx="0">
                  <c:v>3458</c:v>
                </c:pt>
                <c:pt idx="1">
                  <c:v>3191</c:v>
                </c:pt>
                <c:pt idx="2">
                  <c:v>3235</c:v>
                </c:pt>
                <c:pt idx="3">
                  <c:v>3323</c:v>
                </c:pt>
                <c:pt idx="4">
                  <c:v>3328</c:v>
                </c:pt>
              </c:numCache>
            </c:numRef>
          </c:val>
          <c:smooth val="0"/>
        </c:ser>
        <c:dLbls>
          <c:showLegendKey val="0"/>
          <c:showVal val="0"/>
          <c:showCatName val="0"/>
          <c:showSerName val="0"/>
          <c:showPercent val="0"/>
          <c:showBubbleSize val="0"/>
        </c:dLbls>
        <c:smooth val="0"/>
        <c:axId val="356143200"/>
        <c:axId val="356143984"/>
      </c:lineChart>
      <c:catAx>
        <c:axId val="356143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56143984"/>
        <c:crosses val="autoZero"/>
        <c:auto val="1"/>
        <c:lblAlgn val="ctr"/>
        <c:lblOffset val="100"/>
        <c:noMultiLvlLbl val="0"/>
      </c:catAx>
      <c:valAx>
        <c:axId val="356143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56143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Times New Roman" panose="02020603050405020304" pitchFamily="18" charset="0"/>
                <a:ea typeface="Arial"/>
                <a:cs typeface="Times New Roman" panose="02020603050405020304" pitchFamily="18" charset="0"/>
              </a:defRPr>
            </a:pPr>
            <a:r>
              <a:rPr lang="lt-LT" sz="1000">
                <a:latin typeface="Times New Roman" panose="02020603050405020304" pitchFamily="18" charset="0"/>
                <a:cs typeface="Times New Roman" panose="02020603050405020304" pitchFamily="18" charset="0"/>
              </a:rPr>
              <a:t>11 diagrama. Panevėžio miesto strateginio plano II prioriteto veiksmų vykdymas 2015 m.</a:t>
            </a:r>
          </a:p>
        </c:rich>
      </c:tx>
      <c:layout>
        <c:manualLayout>
          <c:xMode val="edge"/>
          <c:yMode val="edge"/>
          <c:x val="0.13306177868295987"/>
          <c:y val="3.6764705882352942E-2"/>
        </c:manualLayout>
      </c:layout>
      <c:overlay val="0"/>
      <c:spPr>
        <a:noFill/>
        <a:ln w="25400">
          <a:noFill/>
        </a:ln>
      </c:spPr>
    </c:title>
    <c:autoTitleDeleted val="0"/>
    <c:plotArea>
      <c:layout>
        <c:manualLayout>
          <c:layoutTarget val="inner"/>
          <c:xMode val="edge"/>
          <c:yMode val="edge"/>
          <c:x val="0.22810590631364452"/>
          <c:y val="0.38235294117647539"/>
          <c:w val="0.23625254582484725"/>
          <c:h val="0.42647058823529793"/>
        </c:manualLayout>
      </c:layout>
      <c:pieChart>
        <c:varyColors val="1"/>
        <c:ser>
          <c:idx val="0"/>
          <c:order val="0"/>
          <c:spPr>
            <a:solidFill>
              <a:srgbClr val="9999FF"/>
            </a:solidFill>
            <a:ln w="12700">
              <a:solidFill>
                <a:srgbClr val="000000"/>
              </a:solidFill>
              <a:prstDash val="solid"/>
            </a:ln>
          </c:spPr>
          <c:explosion val="28"/>
          <c:dPt>
            <c:idx val="1"/>
            <c:bubble3D val="0"/>
            <c:spPr>
              <a:solidFill>
                <a:srgbClr val="993366"/>
              </a:solidFill>
              <a:ln w="12700">
                <a:solidFill>
                  <a:srgbClr val="000000"/>
                </a:solidFill>
                <a:prstDash val="solid"/>
              </a:ln>
            </c:spPr>
          </c:dPt>
          <c:dLbls>
            <c:dLbl>
              <c:idx val="0"/>
              <c:tx>
                <c:rich>
                  <a:bodyPr/>
                  <a:lstStyle/>
                  <a:p>
                    <a:r>
                      <a:rPr lang="en-US"/>
                      <a:t>87,5%</a:t>
                    </a:r>
                  </a:p>
                </c:rich>
              </c:tx>
              <c:showLegendKey val="0"/>
              <c:showVal val="0"/>
              <c:showCatName val="0"/>
              <c:showSerName val="0"/>
              <c:showPercent val="1"/>
              <c:showBubbleSize val="0"/>
              <c:extLst>
                <c:ext xmlns:c15="http://schemas.microsoft.com/office/drawing/2012/chart" uri="{CE6537A1-D6FC-4f65-9D91-7224C49458BB}"/>
              </c:extLst>
            </c:dLbl>
            <c:dLbl>
              <c:idx val="1"/>
              <c:tx>
                <c:rich>
                  <a:bodyPr/>
                  <a:lstStyle/>
                  <a:p>
                    <a:r>
                      <a:rPr lang="en-US"/>
                      <a:t>12,5%</a:t>
                    </a:r>
                  </a:p>
                </c:rich>
              </c:tx>
              <c:showLegendKey val="0"/>
              <c:showVal val="0"/>
              <c:showCatName val="0"/>
              <c:showSerName val="0"/>
              <c:showPercent val="1"/>
              <c:showBubbleSize val="0"/>
              <c:extLst>
                <c:ext xmlns:c15="http://schemas.microsoft.com/office/drawing/2012/chart" uri="{CE6537A1-D6FC-4f65-9D91-7224C49458BB}"/>
              </c:extLst>
            </c:dLbl>
            <c:numFmt formatCode="0%" sourceLinked="0"/>
            <c:spPr>
              <a:noFill/>
              <a:ln w="25400">
                <a:noFill/>
              </a:ln>
            </c:spPr>
            <c:txPr>
              <a:bodyPr/>
              <a:lstStyle/>
              <a:p>
                <a:pPr>
                  <a:defRPr sz="950" b="0" i="0" u="none" strike="noStrike" baseline="0">
                    <a:solidFill>
                      <a:srgbClr val="000000"/>
                    </a:solidFill>
                    <a:latin typeface="Arial"/>
                    <a:ea typeface="Arial"/>
                    <a:cs typeface="Arial"/>
                  </a:defRPr>
                </a:pPr>
                <a:endParaRPr lang="lt-LT"/>
              </a:p>
            </c:txPr>
            <c:showLegendKey val="0"/>
            <c:showVal val="0"/>
            <c:showCatName val="0"/>
            <c:showSerName val="0"/>
            <c:showPercent val="1"/>
            <c:showBubbleSize val="0"/>
            <c:showLeaderLines val="1"/>
            <c:extLst>
              <c:ext xmlns:c15="http://schemas.microsoft.com/office/drawing/2012/chart" uri="{CE6537A1-D6FC-4f65-9D91-7224C49458BB}"/>
            </c:extLst>
          </c:dLbls>
          <c:cat>
            <c:strRef>
              <c:f>rodikliai!$C$110:$C$111</c:f>
              <c:strCache>
                <c:ptCount val="2"/>
                <c:pt idx="0">
                  <c:v>Vykdoma (arba dalinai vykdoma) priemonių</c:v>
                </c:pt>
                <c:pt idx="1">
                  <c:v>Nevykdoma priemonių</c:v>
                </c:pt>
              </c:strCache>
            </c:strRef>
          </c:cat>
          <c:val>
            <c:numRef>
              <c:f>rodikliai!$D$110:$D$111</c:f>
              <c:numCache>
                <c:formatCode>General</c:formatCode>
                <c:ptCount val="2"/>
                <c:pt idx="0">
                  <c:v>33</c:v>
                </c:pt>
                <c:pt idx="1">
                  <c:v>8</c:v>
                </c:pt>
              </c:numCache>
            </c:numRef>
          </c:val>
        </c:ser>
        <c:dLbls>
          <c:showLegendKey val="0"/>
          <c:showVal val="0"/>
          <c:showCatName val="0"/>
          <c:showSerName val="0"/>
          <c:showPercent val="1"/>
          <c:showBubbleSize val="0"/>
          <c:showLeaderLines val="1"/>
        </c:dLbls>
        <c:firstSliceAng val="0"/>
      </c:pieChart>
      <c:spPr>
        <a:noFill/>
        <a:ln w="25400">
          <a:noFill/>
        </a:ln>
      </c:spPr>
    </c:plotArea>
    <c:legend>
      <c:legendPos val="r"/>
      <c:layout>
        <c:manualLayout>
          <c:xMode val="edge"/>
          <c:yMode val="edge"/>
          <c:x val="0.6863543788187374"/>
          <c:y val="0.36521913534393108"/>
          <c:w val="0.29938900203666258"/>
          <c:h val="0.37007477838855152"/>
        </c:manualLayout>
      </c:layout>
      <c:overlay val="0"/>
      <c:spPr>
        <a:solidFill>
          <a:srgbClr val="FFFFFF"/>
        </a:solidFill>
        <a:ln w="25400">
          <a:noFill/>
        </a:ln>
      </c:spPr>
      <c:txPr>
        <a:bodyPr/>
        <a:lstStyle/>
        <a:p>
          <a:pPr>
            <a:defRPr sz="870" b="0" i="0" u="none" strike="noStrike" baseline="0">
              <a:solidFill>
                <a:srgbClr val="000000"/>
              </a:solidFill>
              <a:latin typeface="Arial"/>
              <a:ea typeface="Arial"/>
              <a:cs typeface="Arial"/>
            </a:defRPr>
          </a:pPr>
          <a:endParaRPr lang="lt-LT"/>
        </a:p>
      </c:txPr>
    </c:legend>
    <c:plotVisOnly val="1"/>
    <c:dispBlanksAs val="zero"/>
    <c:showDLblsOverMax val="0"/>
  </c:chart>
  <c:spPr>
    <a:solidFill>
      <a:srgbClr val="FFFFFF"/>
    </a:solidFill>
    <a:ln w="9525">
      <a:noFill/>
    </a:ln>
  </c:spPr>
  <c:txPr>
    <a:bodyPr/>
    <a:lstStyle/>
    <a:p>
      <a:pPr>
        <a:defRPr sz="950" b="0" i="0" u="none" strike="noStrike" baseline="0">
          <a:solidFill>
            <a:srgbClr val="000000"/>
          </a:solidFill>
          <a:latin typeface="Arial"/>
          <a:ea typeface="Arial"/>
          <a:cs typeface="Arial"/>
        </a:defRPr>
      </a:pPr>
      <a:endParaRPr lang="lt-LT"/>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706328375619739E-2"/>
          <c:y val="8.5158150851581502E-2"/>
          <c:w val="0.87683070866141732"/>
          <c:h val="0.65283828572523328"/>
        </c:manualLayout>
      </c:layout>
      <c:lineChart>
        <c:grouping val="standard"/>
        <c:varyColors val="0"/>
        <c:ser>
          <c:idx val="0"/>
          <c:order val="0"/>
          <c:tx>
            <c:strRef>
              <c:f>Lapas1!$B$1</c:f>
              <c:strCache>
                <c:ptCount val="1"/>
                <c:pt idx="0">
                  <c:v>Gyventojų registro tarnybos duomenys</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2011</c:v>
                </c:pt>
                <c:pt idx="1">
                  <c:v>2012</c:v>
                </c:pt>
                <c:pt idx="2">
                  <c:v>2013</c:v>
                </c:pt>
                <c:pt idx="3">
                  <c:v>2014</c:v>
                </c:pt>
                <c:pt idx="4">
                  <c:v>2015</c:v>
                </c:pt>
              </c:numCache>
            </c:numRef>
          </c:cat>
          <c:val>
            <c:numRef>
              <c:f>Lapas1!$B$2:$B$6</c:f>
              <c:numCache>
                <c:formatCode>General</c:formatCode>
                <c:ptCount val="5"/>
                <c:pt idx="0">
                  <c:v>108135</c:v>
                </c:pt>
                <c:pt idx="1">
                  <c:v>107115</c:v>
                </c:pt>
                <c:pt idx="2">
                  <c:v>106187</c:v>
                </c:pt>
                <c:pt idx="3">
                  <c:v>105118</c:v>
                </c:pt>
                <c:pt idx="4">
                  <c:v>103536</c:v>
                </c:pt>
              </c:numCache>
            </c:numRef>
          </c:val>
          <c:smooth val="0"/>
        </c:ser>
        <c:ser>
          <c:idx val="1"/>
          <c:order val="1"/>
          <c:tx>
            <c:strRef>
              <c:f>Lapas1!$C$1</c:f>
              <c:strCache>
                <c:ptCount val="1"/>
                <c:pt idx="0">
                  <c:v>Statistikos departamento duomenys</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2011</c:v>
                </c:pt>
                <c:pt idx="1">
                  <c:v>2012</c:v>
                </c:pt>
                <c:pt idx="2">
                  <c:v>2013</c:v>
                </c:pt>
                <c:pt idx="3">
                  <c:v>2014</c:v>
                </c:pt>
                <c:pt idx="4">
                  <c:v>2015</c:v>
                </c:pt>
              </c:numCache>
            </c:numRef>
          </c:cat>
          <c:val>
            <c:numRef>
              <c:f>Lapas1!$C$2:$C$6</c:f>
              <c:numCache>
                <c:formatCode>General</c:formatCode>
                <c:ptCount val="5"/>
                <c:pt idx="0">
                  <c:v>99248</c:v>
                </c:pt>
                <c:pt idx="1">
                  <c:v>97906</c:v>
                </c:pt>
                <c:pt idx="2">
                  <c:v>96836</c:v>
                </c:pt>
                <c:pt idx="3">
                  <c:v>95765</c:v>
                </c:pt>
                <c:pt idx="4">
                  <c:v>94400</c:v>
                </c:pt>
              </c:numCache>
            </c:numRef>
          </c:val>
          <c:smooth val="0"/>
        </c:ser>
        <c:dLbls>
          <c:showLegendKey val="0"/>
          <c:showVal val="0"/>
          <c:showCatName val="0"/>
          <c:showSerName val="0"/>
          <c:showPercent val="0"/>
          <c:showBubbleSize val="0"/>
        </c:dLbls>
        <c:smooth val="0"/>
        <c:axId val="356146336"/>
        <c:axId val="356149864"/>
      </c:lineChart>
      <c:catAx>
        <c:axId val="356146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56149864"/>
        <c:crosses val="autoZero"/>
        <c:auto val="1"/>
        <c:lblAlgn val="ctr"/>
        <c:lblOffset val="100"/>
        <c:noMultiLvlLbl val="0"/>
      </c:catAx>
      <c:valAx>
        <c:axId val="356149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56146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1 seka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2011</c:v>
                </c:pt>
                <c:pt idx="1">
                  <c:v>2012</c:v>
                </c:pt>
                <c:pt idx="2">
                  <c:v>2013</c:v>
                </c:pt>
                <c:pt idx="3">
                  <c:v>2014</c:v>
                </c:pt>
                <c:pt idx="4">
                  <c:v>2015</c:v>
                </c:pt>
              </c:numCache>
            </c:numRef>
          </c:cat>
          <c:val>
            <c:numRef>
              <c:f>Lapas1!$B$2:$B$6</c:f>
              <c:numCache>
                <c:formatCode>General</c:formatCode>
                <c:ptCount val="5"/>
                <c:pt idx="0">
                  <c:v>34231.599999999999</c:v>
                </c:pt>
                <c:pt idx="1">
                  <c:v>34290.400000000001</c:v>
                </c:pt>
                <c:pt idx="2">
                  <c:v>33877.699999999997</c:v>
                </c:pt>
                <c:pt idx="3">
                  <c:v>33522.9</c:v>
                </c:pt>
                <c:pt idx="4">
                  <c:v>35591.1</c:v>
                </c:pt>
              </c:numCache>
            </c:numRef>
          </c:val>
        </c:ser>
        <c:dLbls>
          <c:showLegendKey val="0"/>
          <c:showVal val="0"/>
          <c:showCatName val="0"/>
          <c:showSerName val="0"/>
          <c:showPercent val="0"/>
          <c:showBubbleSize val="0"/>
        </c:dLbls>
        <c:gapWidth val="219"/>
        <c:overlap val="-27"/>
        <c:axId val="356152216"/>
        <c:axId val="356142808"/>
      </c:barChart>
      <c:catAx>
        <c:axId val="356152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356142808"/>
        <c:crosses val="autoZero"/>
        <c:auto val="1"/>
        <c:lblAlgn val="ctr"/>
        <c:lblOffset val="100"/>
        <c:noMultiLvlLbl val="0"/>
      </c:catAx>
      <c:valAx>
        <c:axId val="356142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356152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lt-LT"/>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Lapas1!$B$1</c:f>
              <c:strCache>
                <c:ptCount val="1"/>
                <c:pt idx="0">
                  <c:v>Bendrojo ugdymo įstaigas lankančių mokinių skaičius</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2011</c:v>
                </c:pt>
                <c:pt idx="1">
                  <c:v>2012</c:v>
                </c:pt>
                <c:pt idx="2">
                  <c:v>2013</c:v>
                </c:pt>
                <c:pt idx="3">
                  <c:v>2014</c:v>
                </c:pt>
                <c:pt idx="4">
                  <c:v>2015</c:v>
                </c:pt>
              </c:numCache>
            </c:numRef>
          </c:cat>
          <c:val>
            <c:numRef>
              <c:f>Lapas1!$B$2:$B$6</c:f>
              <c:numCache>
                <c:formatCode>General</c:formatCode>
                <c:ptCount val="5"/>
                <c:pt idx="0">
                  <c:v>13876</c:v>
                </c:pt>
                <c:pt idx="1">
                  <c:v>13323</c:v>
                </c:pt>
                <c:pt idx="2">
                  <c:v>12586</c:v>
                </c:pt>
                <c:pt idx="3">
                  <c:v>11973</c:v>
                </c:pt>
                <c:pt idx="4">
                  <c:v>11490</c:v>
                </c:pt>
              </c:numCache>
            </c:numRef>
          </c:val>
          <c:smooth val="0"/>
        </c:ser>
        <c:ser>
          <c:idx val="1"/>
          <c:order val="1"/>
          <c:tx>
            <c:strRef>
              <c:f>Lapas1!$C$1</c:f>
              <c:strCache>
                <c:ptCount val="1"/>
                <c:pt idx="0">
                  <c:v>Ikimokyklinio ir priešmokyklinio ugdymo įstaigas  lankančių vaikų skaičius</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2011</c:v>
                </c:pt>
                <c:pt idx="1">
                  <c:v>2012</c:v>
                </c:pt>
                <c:pt idx="2">
                  <c:v>2013</c:v>
                </c:pt>
                <c:pt idx="3">
                  <c:v>2014</c:v>
                </c:pt>
                <c:pt idx="4">
                  <c:v>2015</c:v>
                </c:pt>
              </c:numCache>
            </c:numRef>
          </c:cat>
          <c:val>
            <c:numRef>
              <c:f>Lapas1!$C$2:$C$6</c:f>
              <c:numCache>
                <c:formatCode>General</c:formatCode>
                <c:ptCount val="5"/>
                <c:pt idx="0">
                  <c:v>4348</c:v>
                </c:pt>
                <c:pt idx="1">
                  <c:v>4411</c:v>
                </c:pt>
                <c:pt idx="2">
                  <c:v>4439</c:v>
                </c:pt>
                <c:pt idx="3">
                  <c:v>4480</c:v>
                </c:pt>
                <c:pt idx="4">
                  <c:v>4442</c:v>
                </c:pt>
              </c:numCache>
            </c:numRef>
          </c:val>
          <c:smooth val="0"/>
        </c:ser>
        <c:dLbls>
          <c:showLegendKey val="0"/>
          <c:showVal val="0"/>
          <c:showCatName val="0"/>
          <c:showSerName val="0"/>
          <c:showPercent val="0"/>
          <c:showBubbleSize val="0"/>
        </c:dLbls>
        <c:smooth val="0"/>
        <c:axId val="356150256"/>
        <c:axId val="356150648"/>
      </c:lineChart>
      <c:catAx>
        <c:axId val="356150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56150648"/>
        <c:crosses val="autoZero"/>
        <c:auto val="1"/>
        <c:lblAlgn val="ctr"/>
        <c:lblOffset val="100"/>
        <c:noMultiLvlLbl val="0"/>
      </c:catAx>
      <c:valAx>
        <c:axId val="356150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56150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Savivaldybės biudžeto išlaidos kultūtrai, tūkst.EUR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2011</c:v>
                </c:pt>
                <c:pt idx="1">
                  <c:v>2012</c:v>
                </c:pt>
                <c:pt idx="2">
                  <c:v>2013</c:v>
                </c:pt>
                <c:pt idx="3">
                  <c:v>2014</c:v>
                </c:pt>
                <c:pt idx="4">
                  <c:v>2015</c:v>
                </c:pt>
              </c:numCache>
            </c:numRef>
          </c:cat>
          <c:val>
            <c:numRef>
              <c:f>Lapas1!$B$2:$B$6</c:f>
              <c:numCache>
                <c:formatCode>General</c:formatCode>
                <c:ptCount val="5"/>
                <c:pt idx="0">
                  <c:v>2195.3000000000002</c:v>
                </c:pt>
                <c:pt idx="1">
                  <c:v>2364.8000000000002</c:v>
                </c:pt>
                <c:pt idx="2">
                  <c:v>2238.6999999999998</c:v>
                </c:pt>
                <c:pt idx="3">
                  <c:v>2681.9</c:v>
                </c:pt>
                <c:pt idx="4">
                  <c:v>3147.7</c:v>
                </c:pt>
              </c:numCache>
            </c:numRef>
          </c:val>
        </c:ser>
        <c:dLbls>
          <c:showLegendKey val="0"/>
          <c:showVal val="0"/>
          <c:showCatName val="0"/>
          <c:showSerName val="0"/>
          <c:showPercent val="0"/>
          <c:showBubbleSize val="0"/>
        </c:dLbls>
        <c:gapWidth val="219"/>
        <c:overlap val="-27"/>
        <c:axId val="356156920"/>
        <c:axId val="356157704"/>
      </c:barChart>
      <c:catAx>
        <c:axId val="356156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56157704"/>
        <c:crosses val="autoZero"/>
        <c:auto val="1"/>
        <c:lblAlgn val="ctr"/>
        <c:lblOffset val="100"/>
        <c:noMultiLvlLbl val="0"/>
      </c:catAx>
      <c:valAx>
        <c:axId val="356157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56156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Savivaldybės biudžeto išlaidos kūno kultūrai ir sportui, tūkst.EUR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2011</c:v>
                </c:pt>
                <c:pt idx="1">
                  <c:v>2012</c:v>
                </c:pt>
                <c:pt idx="2">
                  <c:v>2013</c:v>
                </c:pt>
                <c:pt idx="3">
                  <c:v>2014</c:v>
                </c:pt>
                <c:pt idx="4">
                  <c:v>2015</c:v>
                </c:pt>
              </c:numCache>
            </c:numRef>
          </c:cat>
          <c:val>
            <c:numRef>
              <c:f>Lapas1!$B$2:$B$6</c:f>
              <c:numCache>
                <c:formatCode>General</c:formatCode>
                <c:ptCount val="5"/>
                <c:pt idx="0">
                  <c:v>2000.4</c:v>
                </c:pt>
                <c:pt idx="1">
                  <c:v>1796.2</c:v>
                </c:pt>
                <c:pt idx="2">
                  <c:v>1888</c:v>
                </c:pt>
                <c:pt idx="3">
                  <c:v>1952</c:v>
                </c:pt>
                <c:pt idx="4">
                  <c:v>2395.4</c:v>
                </c:pt>
              </c:numCache>
            </c:numRef>
          </c:val>
        </c:ser>
        <c:dLbls>
          <c:showLegendKey val="0"/>
          <c:showVal val="0"/>
          <c:showCatName val="0"/>
          <c:showSerName val="0"/>
          <c:showPercent val="0"/>
          <c:showBubbleSize val="0"/>
        </c:dLbls>
        <c:gapWidth val="219"/>
        <c:overlap val="-27"/>
        <c:axId val="356155744"/>
        <c:axId val="356158096"/>
      </c:barChart>
      <c:catAx>
        <c:axId val="356155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56158096"/>
        <c:crosses val="autoZero"/>
        <c:auto val="1"/>
        <c:lblAlgn val="ctr"/>
        <c:lblOffset val="100"/>
        <c:noMultiLvlLbl val="0"/>
      </c:catAx>
      <c:valAx>
        <c:axId val="356158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56155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Lapas1!$B$1</c:f>
              <c:strCache>
                <c:ptCount val="1"/>
                <c:pt idx="0">
                  <c:v>Lietuvos Respublika</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2010</c:v>
                </c:pt>
                <c:pt idx="1">
                  <c:v>2011</c:v>
                </c:pt>
                <c:pt idx="2">
                  <c:v>2012</c:v>
                </c:pt>
                <c:pt idx="3">
                  <c:v>2013</c:v>
                </c:pt>
                <c:pt idx="4">
                  <c:v>2014</c:v>
                </c:pt>
              </c:numCache>
            </c:numRef>
          </c:cat>
          <c:val>
            <c:numRef>
              <c:f>Lapas1!$B$2:$B$6</c:f>
              <c:numCache>
                <c:formatCode>General</c:formatCode>
                <c:ptCount val="5"/>
                <c:pt idx="0">
                  <c:v>7.3</c:v>
                </c:pt>
                <c:pt idx="1">
                  <c:v>7.6</c:v>
                </c:pt>
                <c:pt idx="2">
                  <c:v>8</c:v>
                </c:pt>
                <c:pt idx="3">
                  <c:v>8.1</c:v>
                </c:pt>
                <c:pt idx="4">
                  <c:v>8.5</c:v>
                </c:pt>
              </c:numCache>
            </c:numRef>
          </c:val>
          <c:smooth val="0"/>
        </c:ser>
        <c:ser>
          <c:idx val="1"/>
          <c:order val="1"/>
          <c:tx>
            <c:strRef>
              <c:f>Lapas1!$C$1</c:f>
              <c:strCache>
                <c:ptCount val="1"/>
                <c:pt idx="0">
                  <c:v>Panevėžio miestas</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2010</c:v>
                </c:pt>
                <c:pt idx="1">
                  <c:v>2011</c:v>
                </c:pt>
                <c:pt idx="2">
                  <c:v>2012</c:v>
                </c:pt>
                <c:pt idx="3">
                  <c:v>2013</c:v>
                </c:pt>
                <c:pt idx="4">
                  <c:v>2014</c:v>
                </c:pt>
              </c:numCache>
            </c:numRef>
          </c:cat>
          <c:val>
            <c:numRef>
              <c:f>Lapas1!$C$2:$C$6</c:f>
              <c:numCache>
                <c:formatCode>General</c:formatCode>
                <c:ptCount val="5"/>
                <c:pt idx="0">
                  <c:v>8.5</c:v>
                </c:pt>
                <c:pt idx="1">
                  <c:v>9.1999999999999993</c:v>
                </c:pt>
                <c:pt idx="2">
                  <c:v>9.4</c:v>
                </c:pt>
                <c:pt idx="3">
                  <c:v>9.9</c:v>
                </c:pt>
                <c:pt idx="4">
                  <c:v>10.1</c:v>
                </c:pt>
              </c:numCache>
            </c:numRef>
          </c:val>
          <c:smooth val="0"/>
        </c:ser>
        <c:dLbls>
          <c:showLegendKey val="0"/>
          <c:showVal val="0"/>
          <c:showCatName val="0"/>
          <c:showSerName val="0"/>
          <c:showPercent val="0"/>
          <c:showBubbleSize val="0"/>
        </c:dLbls>
        <c:smooth val="0"/>
        <c:axId val="356154960"/>
        <c:axId val="355460032"/>
      </c:lineChart>
      <c:catAx>
        <c:axId val="356154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55460032"/>
        <c:crosses val="autoZero"/>
        <c:auto val="1"/>
        <c:lblAlgn val="ctr"/>
        <c:lblOffset val="100"/>
        <c:noMultiLvlLbl val="0"/>
      </c:catAx>
      <c:valAx>
        <c:axId val="355460032"/>
        <c:scaling>
          <c:orientation val="minMax"/>
          <c:max val="11"/>
          <c:min val="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56154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Lapas1!$B$1</c:f>
              <c:strCache>
                <c:ptCount val="1"/>
                <c:pt idx="0">
                  <c:v>Socialinės pašalpos gavėjų skaičius, vnt.</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2011</c:v>
                </c:pt>
                <c:pt idx="1">
                  <c:v>2012</c:v>
                </c:pt>
                <c:pt idx="2">
                  <c:v>2013</c:v>
                </c:pt>
                <c:pt idx="3">
                  <c:v>2014</c:v>
                </c:pt>
                <c:pt idx="4">
                  <c:v>2015</c:v>
                </c:pt>
              </c:numCache>
            </c:numRef>
          </c:cat>
          <c:val>
            <c:numRef>
              <c:f>Lapas1!$B$2:$B$6</c:f>
              <c:numCache>
                <c:formatCode>General</c:formatCode>
                <c:ptCount val="5"/>
                <c:pt idx="0">
                  <c:v>9348</c:v>
                </c:pt>
                <c:pt idx="1">
                  <c:v>8862</c:v>
                </c:pt>
                <c:pt idx="2">
                  <c:v>7452</c:v>
                </c:pt>
                <c:pt idx="3">
                  <c:v>5930</c:v>
                </c:pt>
                <c:pt idx="4">
                  <c:v>4950</c:v>
                </c:pt>
              </c:numCache>
            </c:numRef>
          </c:val>
          <c:smooth val="0"/>
        </c:ser>
        <c:ser>
          <c:idx val="1"/>
          <c:order val="1"/>
          <c:tx>
            <c:strRef>
              <c:f>Lapas1!$C$1</c:f>
              <c:strCache>
                <c:ptCount val="1"/>
                <c:pt idx="0">
                  <c:v>Išlaidos socialinėms pašalpoms, tūkst.EUR</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2011</c:v>
                </c:pt>
                <c:pt idx="1">
                  <c:v>2012</c:v>
                </c:pt>
                <c:pt idx="2">
                  <c:v>2013</c:v>
                </c:pt>
                <c:pt idx="3">
                  <c:v>2014</c:v>
                </c:pt>
                <c:pt idx="4">
                  <c:v>2015</c:v>
                </c:pt>
              </c:numCache>
            </c:numRef>
          </c:cat>
          <c:val>
            <c:numRef>
              <c:f>Lapas1!$C$2:$C$6</c:f>
              <c:numCache>
                <c:formatCode>General</c:formatCode>
                <c:ptCount val="5"/>
                <c:pt idx="0">
                  <c:v>7177</c:v>
                </c:pt>
                <c:pt idx="1">
                  <c:v>6622.9</c:v>
                </c:pt>
                <c:pt idx="2">
                  <c:v>5601.1</c:v>
                </c:pt>
                <c:pt idx="3">
                  <c:v>4495.7</c:v>
                </c:pt>
                <c:pt idx="4">
                  <c:v>3064.9</c:v>
                </c:pt>
              </c:numCache>
            </c:numRef>
          </c:val>
          <c:smooth val="0"/>
        </c:ser>
        <c:dLbls>
          <c:showLegendKey val="0"/>
          <c:showVal val="0"/>
          <c:showCatName val="0"/>
          <c:showSerName val="0"/>
          <c:showPercent val="0"/>
          <c:showBubbleSize val="0"/>
        </c:dLbls>
        <c:smooth val="0"/>
        <c:axId val="355458856"/>
        <c:axId val="355456504"/>
      </c:lineChart>
      <c:catAx>
        <c:axId val="355458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55456504"/>
        <c:crosses val="autoZero"/>
        <c:auto val="1"/>
        <c:lblAlgn val="ctr"/>
        <c:lblOffset val="100"/>
        <c:noMultiLvlLbl val="0"/>
      </c:catAx>
      <c:valAx>
        <c:axId val="355456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55458856"/>
        <c:crosses val="autoZero"/>
        <c:crossBetween val="between"/>
        <c:majorUnit val="3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t-LT" sz="1200" b="0" i="0" baseline="0">
                <a:effectLst/>
              </a:rPr>
              <a:t>2 diagrama. Strateginiam planui įgyvendinti panaudotos lėšos per 2015 metus (tūkst.</a:t>
            </a:r>
            <a:r>
              <a:rPr lang="en-US" sz="1200" b="0" i="0" baseline="0">
                <a:effectLst/>
              </a:rPr>
              <a:t> </a:t>
            </a:r>
            <a:r>
              <a:rPr lang="lt-LT" sz="1200" b="0" i="0" baseline="0">
                <a:effectLst/>
              </a:rPr>
              <a:t>EUR)</a:t>
            </a:r>
            <a:endParaRPr lang="lt-LT" sz="1200" baseline="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lt-LT" sz="1200" baseline="0"/>
              <a:t>   </a:t>
            </a:r>
          </a:p>
        </c:rich>
      </c:tx>
      <c:layout>
        <c:manualLayout>
          <c:xMode val="edge"/>
          <c:yMode val="edge"/>
          <c:x val="8.3449074074074078E-2"/>
          <c:y val="2.7777777777777776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0680956547098278E-2"/>
          <c:y val="0.26170634920634922"/>
          <c:w val="0.91385608048993872"/>
          <c:h val="0.61058211473565804"/>
        </c:manualLayout>
      </c:layout>
      <c:bar3DChart>
        <c:barDir val="col"/>
        <c:grouping val="clustered"/>
        <c:varyColors val="0"/>
        <c:ser>
          <c:idx val="0"/>
          <c:order val="0"/>
          <c:tx>
            <c:strRef>
              <c:f>Lapas1!$B$1</c:f>
              <c:strCache>
                <c:ptCount val="1"/>
                <c:pt idx="0">
                  <c:v>1 seka</c:v>
                </c:pt>
              </c:strCache>
            </c:strRef>
          </c:tx>
          <c:spPr>
            <a:solidFill>
              <a:schemeClr val="accent1"/>
            </a:solidFill>
            <a:ln>
              <a:noFill/>
            </a:ln>
            <a:effectLst/>
            <a:sp3d/>
          </c:spPr>
          <c:invertIfNegative val="0"/>
          <c:dLbls>
            <c:dLbl>
              <c:idx val="0"/>
              <c:layout>
                <c:manualLayout>
                  <c:x val="9.2592592592592587E-3"/>
                  <c:y val="-4.365079365079369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9.2592592592592587E-3"/>
                  <c:y val="-2.3809523809523808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9.2592592592591737E-3"/>
                  <c:y val="-3.968253968253968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777777777777761E-2"/>
                  <c:y val="-5.952380952380952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Savivaldybės lėšos</c:v>
                </c:pt>
                <c:pt idx="1">
                  <c:v>Nacionalinio biudžeto lėšos</c:v>
                </c:pt>
                <c:pt idx="2">
                  <c:v>ES struktūrinių fondų lėos</c:v>
                </c:pt>
                <c:pt idx="3">
                  <c:v>Privačios lėšos</c:v>
                </c:pt>
              </c:strCache>
            </c:strRef>
          </c:cat>
          <c:val>
            <c:numRef>
              <c:f>Lapas1!$B$2:$B$5</c:f>
              <c:numCache>
                <c:formatCode>General</c:formatCode>
                <c:ptCount val="4"/>
                <c:pt idx="0">
                  <c:v>4950.7</c:v>
                </c:pt>
                <c:pt idx="1">
                  <c:v>4208.1000000000004</c:v>
                </c:pt>
                <c:pt idx="2">
                  <c:v>3510.1</c:v>
                </c:pt>
                <c:pt idx="3">
                  <c:v>2314.1</c:v>
                </c:pt>
              </c:numCache>
            </c:numRef>
          </c:val>
        </c:ser>
        <c:dLbls>
          <c:showLegendKey val="0"/>
          <c:showVal val="0"/>
          <c:showCatName val="0"/>
          <c:showSerName val="0"/>
          <c:showPercent val="0"/>
          <c:showBubbleSize val="0"/>
        </c:dLbls>
        <c:gapWidth val="150"/>
        <c:shape val="box"/>
        <c:axId val="369181384"/>
        <c:axId val="369185304"/>
        <c:axId val="0"/>
      </c:bar3DChart>
      <c:catAx>
        <c:axId val="3691813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69185304"/>
        <c:crosses val="autoZero"/>
        <c:auto val="1"/>
        <c:lblAlgn val="ctr"/>
        <c:lblOffset val="100"/>
        <c:noMultiLvlLbl val="0"/>
      </c:catAx>
      <c:valAx>
        <c:axId val="369185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69181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Arial"/>
                <a:ea typeface="Arial"/>
                <a:cs typeface="Arial"/>
              </a:defRPr>
            </a:pPr>
            <a:r>
              <a:rPr lang="lt-LT" sz="1100">
                <a:latin typeface="Times New Roman" panose="02020603050405020304" pitchFamily="18" charset="0"/>
                <a:cs typeface="Times New Roman" panose="02020603050405020304" pitchFamily="18" charset="0"/>
              </a:rPr>
              <a:t>19 diagrama. Panevėžio miesto Strateginio plano III-io prioriteto priemonių vykdymas</a:t>
            </a:r>
          </a:p>
        </c:rich>
      </c:tx>
      <c:layout>
        <c:manualLayout>
          <c:xMode val="edge"/>
          <c:yMode val="edge"/>
          <c:x val="0.1283095723014257"/>
          <c:y val="3.8327526132404179E-2"/>
        </c:manualLayout>
      </c:layout>
      <c:overlay val="0"/>
      <c:spPr>
        <a:noFill/>
        <a:ln w="25400">
          <a:noFill/>
        </a:ln>
      </c:spPr>
    </c:title>
    <c:autoTitleDeleted val="0"/>
    <c:plotArea>
      <c:layout>
        <c:manualLayout>
          <c:layoutTarget val="inner"/>
          <c:xMode val="edge"/>
          <c:yMode val="edge"/>
          <c:x val="0.21181262729124239"/>
          <c:y val="0.36933797909408139"/>
          <c:w val="0.25865580448065184"/>
          <c:h val="0.44250871080139376"/>
        </c:manualLayout>
      </c:layout>
      <c:pieChart>
        <c:varyColors val="1"/>
        <c:ser>
          <c:idx val="0"/>
          <c:order val="0"/>
          <c:spPr>
            <a:solidFill>
              <a:srgbClr val="9999FF"/>
            </a:solidFill>
            <a:ln w="12700">
              <a:solidFill>
                <a:srgbClr val="000000"/>
              </a:solidFill>
              <a:prstDash val="solid"/>
            </a:ln>
          </c:spPr>
          <c:explosion val="25"/>
          <c:dPt>
            <c:idx val="1"/>
            <c:bubble3D val="0"/>
            <c:spPr>
              <a:solidFill>
                <a:srgbClr val="993366"/>
              </a:solidFill>
              <a:ln w="12700">
                <a:solidFill>
                  <a:srgbClr val="000000"/>
                </a:solidFill>
                <a:prstDash val="solid"/>
              </a:ln>
            </c:spPr>
          </c:dPt>
          <c:dLbls>
            <c:dLbl>
              <c:idx val="0"/>
              <c:layout>
                <c:manualLayout>
                  <c:x val="-7.7408470580688712E-2"/>
                  <c:y val="-0.18857652362832636"/>
                </c:manualLayout>
              </c:layout>
              <c:tx>
                <c:rich>
                  <a:bodyPr/>
                  <a:lstStyle/>
                  <a:p>
                    <a:r>
                      <a:rPr lang="en-US"/>
                      <a:t>85,2 %</a:t>
                    </a:r>
                  </a:p>
                </c:rich>
              </c:tx>
              <c:showLegendKey val="0"/>
              <c:showVal val="0"/>
              <c:showCatName val="0"/>
              <c:showSerName val="0"/>
              <c:showPercent val="1"/>
              <c:showBubbleSize val="0"/>
              <c:extLst>
                <c:ext xmlns:c15="http://schemas.microsoft.com/office/drawing/2012/chart" uri="{CE6537A1-D6FC-4f65-9D91-7224C49458BB}"/>
              </c:extLst>
            </c:dLbl>
            <c:dLbl>
              <c:idx val="1"/>
              <c:tx>
                <c:rich>
                  <a:bodyPr/>
                  <a:lstStyle/>
                  <a:p>
                    <a:r>
                      <a:rPr lang="en-US"/>
                      <a:t>14,8%</a:t>
                    </a:r>
                  </a:p>
                </c:rich>
              </c:tx>
              <c:showLegendKey val="0"/>
              <c:showVal val="0"/>
              <c:showCatName val="0"/>
              <c:showSerName val="0"/>
              <c:showPercent val="1"/>
              <c:showBubbleSize val="0"/>
              <c:extLst>
                <c:ext xmlns:c15="http://schemas.microsoft.com/office/drawing/2012/chart" uri="{CE6537A1-D6FC-4f65-9D91-7224C49458BB}"/>
              </c:extLst>
            </c:dLbl>
            <c:numFmt formatCode="0%" sourceLinked="0"/>
            <c:spPr>
              <a:noFill/>
              <a:ln w="25400">
                <a:noFill/>
              </a:ln>
            </c:spPr>
            <c:txPr>
              <a:bodyPr/>
              <a:lstStyle/>
              <a:p>
                <a:pPr>
                  <a:defRPr sz="1000" b="0" i="0" u="none" strike="noStrike" baseline="0">
                    <a:solidFill>
                      <a:srgbClr val="000000"/>
                    </a:solidFill>
                    <a:latin typeface="Arial"/>
                    <a:ea typeface="Arial"/>
                    <a:cs typeface="Arial"/>
                  </a:defRPr>
                </a:pPr>
                <a:endParaRPr lang="lt-LT"/>
              </a:p>
            </c:txPr>
            <c:showLegendKey val="0"/>
            <c:showVal val="0"/>
            <c:showCatName val="0"/>
            <c:showSerName val="0"/>
            <c:showPercent val="1"/>
            <c:showBubbleSize val="0"/>
            <c:showLeaderLines val="1"/>
            <c:extLst>
              <c:ext xmlns:c15="http://schemas.microsoft.com/office/drawing/2012/chart" uri="{CE6537A1-D6FC-4f65-9D91-7224C49458BB}"/>
            </c:extLst>
          </c:dLbls>
          <c:cat>
            <c:strRef>
              <c:f>rodikliai!$C$158:$C$159</c:f>
              <c:strCache>
                <c:ptCount val="2"/>
                <c:pt idx="0">
                  <c:v>Vykdoma arba iš dalies vykdoma) priemonių</c:v>
                </c:pt>
                <c:pt idx="1">
                  <c:v>Nevykdoma priemonių</c:v>
                </c:pt>
              </c:strCache>
            </c:strRef>
          </c:cat>
          <c:val>
            <c:numRef>
              <c:f>rodikliai!$D$158:$D$159</c:f>
              <c:numCache>
                <c:formatCode>General</c:formatCode>
                <c:ptCount val="2"/>
                <c:pt idx="0">
                  <c:v>23</c:v>
                </c:pt>
                <c:pt idx="1">
                  <c:v>4</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egendEntry>
        <c:idx val="0"/>
        <c:txPr>
          <a:bodyPr/>
          <a:lstStyle/>
          <a:p>
            <a:pPr>
              <a:defRPr sz="920" b="0" i="0" u="none" strike="noStrike" baseline="0">
                <a:solidFill>
                  <a:srgbClr val="000000"/>
                </a:solidFill>
                <a:latin typeface="Times New Roman"/>
                <a:ea typeface="Times New Roman"/>
                <a:cs typeface="Times New Roman"/>
              </a:defRPr>
            </a:pPr>
            <a:endParaRPr lang="lt-LT"/>
          </a:p>
        </c:txPr>
      </c:legendEntry>
      <c:legendEntry>
        <c:idx val="1"/>
        <c:txPr>
          <a:bodyPr/>
          <a:lstStyle/>
          <a:p>
            <a:pPr>
              <a:defRPr sz="920" b="0" i="0" u="none" strike="noStrike" baseline="0">
                <a:solidFill>
                  <a:srgbClr val="000000"/>
                </a:solidFill>
                <a:latin typeface="Times New Roman"/>
                <a:ea typeface="Times New Roman"/>
                <a:cs typeface="Times New Roman"/>
              </a:defRPr>
            </a:pPr>
            <a:endParaRPr lang="lt-LT"/>
          </a:p>
        </c:txPr>
      </c:legendEntry>
      <c:layout>
        <c:manualLayout>
          <c:xMode val="edge"/>
          <c:yMode val="edge"/>
          <c:x val="0.67413441955193565"/>
          <c:y val="0.3131999648369313"/>
          <c:w val="0.3116089613034686"/>
          <c:h val="0.49736854663502045"/>
        </c:manualLayout>
      </c:layout>
      <c:overlay val="0"/>
      <c:spPr>
        <a:solidFill>
          <a:srgbClr val="FFFFFF"/>
        </a:solidFill>
        <a:ln w="25400">
          <a:noFill/>
        </a:ln>
      </c:spPr>
      <c:txPr>
        <a:bodyPr/>
        <a:lstStyle/>
        <a:p>
          <a:pPr>
            <a:defRPr sz="920" b="0" i="0" u="none" strike="noStrike" baseline="0">
              <a:solidFill>
                <a:srgbClr val="000000"/>
              </a:solidFill>
              <a:latin typeface="Arial"/>
              <a:ea typeface="Arial"/>
              <a:cs typeface="Arial"/>
            </a:defRPr>
          </a:pPr>
          <a:endParaRPr lang="lt-LT"/>
        </a:p>
      </c:txPr>
    </c:legend>
    <c:plotVisOnly val="1"/>
    <c:dispBlanksAs val="zero"/>
    <c:showDLblsOverMax val="0"/>
  </c:chart>
  <c:spPr>
    <a:solidFill>
      <a:srgbClr val="FFFFFF"/>
    </a:solidFill>
    <a:ln w="9525">
      <a:noFill/>
    </a:ln>
  </c:spPr>
  <c:txPr>
    <a:bodyPr/>
    <a:lstStyle/>
    <a:p>
      <a:pPr>
        <a:defRPr sz="1000" b="0" i="0" u="none" strike="noStrike" baseline="0">
          <a:solidFill>
            <a:srgbClr val="000000"/>
          </a:solidFill>
          <a:latin typeface="Arial"/>
          <a:ea typeface="Arial"/>
          <a:cs typeface="Arial"/>
        </a:defRPr>
      </a:pPr>
      <a:endParaRPr lang="lt-LT"/>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356215213358124E-2"/>
          <c:y val="0.12962962962962815"/>
          <c:w val="0.91094619666048748"/>
          <c:h val="0.64814814814815325"/>
        </c:manualLayout>
      </c:layout>
      <c:lineChart>
        <c:grouping val="standard"/>
        <c:varyColors val="0"/>
        <c:ser>
          <c:idx val="0"/>
          <c:order val="0"/>
          <c:tx>
            <c:strRef>
              <c:f>Sheet1!$A$2</c:f>
              <c:strCache>
                <c:ptCount val="1"/>
              </c:strCache>
            </c:strRef>
          </c:tx>
          <c:spPr>
            <a:ln w="12630">
              <a:solidFill>
                <a:srgbClr val="000080"/>
              </a:solidFill>
              <a:prstDash val="solid"/>
            </a:ln>
          </c:spPr>
          <c:marker>
            <c:symbol val="diamond"/>
            <c:size val="4"/>
            <c:spPr>
              <a:solidFill>
                <a:srgbClr val="000080"/>
              </a:solidFill>
              <a:ln>
                <a:solidFill>
                  <a:srgbClr val="000080"/>
                </a:solidFill>
                <a:prstDash val="solid"/>
              </a:ln>
            </c:spPr>
          </c:marker>
          <c:dLbls>
            <c:dLbl>
              <c:idx val="0"/>
              <c:layout>
                <c:manualLayout>
                  <c:x val="-2.4420024420024554E-3"/>
                  <c:y val="5.4263565891472874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4.8840048840048424E-3"/>
                  <c:y val="4.651162790697707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8840048840049013E-3"/>
                  <c:y val="6.9767441860465532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4.8840048840049013E-3"/>
                  <c:y val="3.1007751937984489E-2"/>
                </c:manualLayout>
              </c:layout>
              <c:showLegendKey val="0"/>
              <c:showVal val="1"/>
              <c:showCatName val="0"/>
              <c:showSerName val="0"/>
              <c:showPercent val="0"/>
              <c:showBubbleSize val="0"/>
              <c:extLst>
                <c:ext xmlns:c15="http://schemas.microsoft.com/office/drawing/2012/chart" uri="{CE6537A1-D6FC-4f65-9D91-7224C49458BB}"/>
              </c:extLst>
            </c:dLbl>
            <c:spPr>
              <a:noFill/>
              <a:ln w="25261">
                <a:noFill/>
              </a:ln>
            </c:spPr>
            <c:txPr>
              <a:bodyPr/>
              <a:lstStyle/>
              <a:p>
                <a:pPr>
                  <a:defRPr sz="796" b="1" i="0" u="none" strike="noStrike" baseline="0">
                    <a:solidFill>
                      <a:srgbClr val="000000"/>
                    </a:solidFill>
                    <a:latin typeface="Arial"/>
                    <a:ea typeface="Arial"/>
                    <a:cs typeface="Arial"/>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General</c:formatCode>
                <c:ptCount val="5"/>
                <c:pt idx="0">
                  <c:v>2010</c:v>
                </c:pt>
                <c:pt idx="1">
                  <c:v>2011</c:v>
                </c:pt>
                <c:pt idx="2">
                  <c:v>2012</c:v>
                </c:pt>
                <c:pt idx="3">
                  <c:v>2013</c:v>
                </c:pt>
                <c:pt idx="4">
                  <c:v>2014</c:v>
                </c:pt>
              </c:numCache>
            </c:numRef>
          </c:cat>
          <c:val>
            <c:numRef>
              <c:f>Sheet1!$B$2:$F$2</c:f>
              <c:numCache>
                <c:formatCode>General</c:formatCode>
                <c:ptCount val="5"/>
                <c:pt idx="0">
                  <c:v>504</c:v>
                </c:pt>
                <c:pt idx="1">
                  <c:v>509</c:v>
                </c:pt>
                <c:pt idx="2">
                  <c:v>517</c:v>
                </c:pt>
                <c:pt idx="3">
                  <c:v>528</c:v>
                </c:pt>
                <c:pt idx="4">
                  <c:v>541</c:v>
                </c:pt>
              </c:numCache>
            </c:numRef>
          </c:val>
          <c:smooth val="0"/>
        </c:ser>
        <c:dLbls>
          <c:showLegendKey val="0"/>
          <c:showVal val="0"/>
          <c:showCatName val="0"/>
          <c:showSerName val="0"/>
          <c:showPercent val="0"/>
          <c:showBubbleSize val="0"/>
        </c:dLbls>
        <c:marker val="1"/>
        <c:smooth val="0"/>
        <c:axId val="355454152"/>
        <c:axId val="355461992"/>
      </c:lineChart>
      <c:catAx>
        <c:axId val="355454152"/>
        <c:scaling>
          <c:orientation val="minMax"/>
        </c:scaling>
        <c:delete val="0"/>
        <c:axPos val="b"/>
        <c:numFmt formatCode="General" sourceLinked="1"/>
        <c:majorTickMark val="out"/>
        <c:minorTickMark val="none"/>
        <c:tickLblPos val="nextTo"/>
        <c:spPr>
          <a:ln w="3158">
            <a:solidFill>
              <a:srgbClr val="000000"/>
            </a:solidFill>
            <a:prstDash val="solid"/>
          </a:ln>
        </c:spPr>
        <c:txPr>
          <a:bodyPr rot="0" vert="horz"/>
          <a:lstStyle/>
          <a:p>
            <a:pPr>
              <a:defRPr sz="796" b="1" i="0" u="none" strike="noStrike" baseline="0">
                <a:solidFill>
                  <a:srgbClr val="000000"/>
                </a:solidFill>
                <a:latin typeface="Arial"/>
                <a:ea typeface="Arial"/>
                <a:cs typeface="Arial"/>
              </a:defRPr>
            </a:pPr>
            <a:endParaRPr lang="lt-LT"/>
          </a:p>
        </c:txPr>
        <c:crossAx val="355461992"/>
        <c:crosses val="autoZero"/>
        <c:auto val="1"/>
        <c:lblAlgn val="ctr"/>
        <c:lblOffset val="100"/>
        <c:tickLblSkip val="1"/>
        <c:tickMarkSkip val="1"/>
        <c:noMultiLvlLbl val="0"/>
      </c:catAx>
      <c:valAx>
        <c:axId val="355461992"/>
        <c:scaling>
          <c:orientation val="minMax"/>
          <c:min val="0"/>
        </c:scaling>
        <c:delete val="0"/>
        <c:axPos val="l"/>
        <c:majorGridlines>
          <c:spPr>
            <a:ln w="3158">
              <a:solidFill>
                <a:srgbClr val="000000"/>
              </a:solidFill>
              <a:prstDash val="solid"/>
            </a:ln>
          </c:spPr>
        </c:majorGridlines>
        <c:numFmt formatCode="General" sourceLinked="1"/>
        <c:majorTickMark val="out"/>
        <c:minorTickMark val="none"/>
        <c:tickLblPos val="nextTo"/>
        <c:spPr>
          <a:ln w="3158">
            <a:solidFill>
              <a:srgbClr val="000000"/>
            </a:solidFill>
            <a:prstDash val="solid"/>
          </a:ln>
        </c:spPr>
        <c:txPr>
          <a:bodyPr rot="0" vert="horz"/>
          <a:lstStyle/>
          <a:p>
            <a:pPr>
              <a:defRPr sz="796" b="1" i="0" u="none" strike="noStrike" baseline="0">
                <a:solidFill>
                  <a:srgbClr val="000000"/>
                </a:solidFill>
                <a:latin typeface="Arial"/>
                <a:ea typeface="Arial"/>
                <a:cs typeface="Arial"/>
              </a:defRPr>
            </a:pPr>
            <a:endParaRPr lang="lt-LT"/>
          </a:p>
        </c:txPr>
        <c:crossAx val="355454152"/>
        <c:crosses val="autoZero"/>
        <c:crossBetween val="between"/>
        <c:majorUnit val="200"/>
      </c:valAx>
      <c:spPr>
        <a:solidFill>
          <a:srgbClr val="C0C0C0"/>
        </a:solidFill>
        <a:ln w="12630">
          <a:solidFill>
            <a:srgbClr val="808080"/>
          </a:solidFill>
          <a:prstDash val="solid"/>
        </a:ln>
      </c:spPr>
    </c:plotArea>
    <c:plotVisOnly val="1"/>
    <c:dispBlanksAs val="gap"/>
    <c:showDLblsOverMax val="0"/>
  </c:chart>
  <c:spPr>
    <a:noFill/>
    <a:ln>
      <a:noFill/>
    </a:ln>
  </c:spPr>
  <c:txPr>
    <a:bodyPr/>
    <a:lstStyle/>
    <a:p>
      <a:pPr>
        <a:defRPr sz="796" b="1" i="0" u="none" strike="noStrike" baseline="0">
          <a:solidFill>
            <a:srgbClr val="000000"/>
          </a:solidFill>
          <a:latin typeface="Arial"/>
          <a:ea typeface="Arial"/>
          <a:cs typeface="Arial"/>
        </a:defRPr>
      </a:pPr>
      <a:endParaRPr lang="lt-LT"/>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Lapas1!$C$1</c:f>
              <c:strCache>
                <c:ptCount val="1"/>
                <c:pt idx="0">
                  <c:v>Vidutinis autobusų parko autobuso amžius, gamybos metai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2011</c:v>
                </c:pt>
                <c:pt idx="1">
                  <c:v>2012</c:v>
                </c:pt>
                <c:pt idx="2">
                  <c:v>2013</c:v>
                </c:pt>
                <c:pt idx="3">
                  <c:v>2004</c:v>
                </c:pt>
                <c:pt idx="4">
                  <c:v>2015</c:v>
                </c:pt>
              </c:numCache>
            </c:numRef>
          </c:cat>
          <c:val>
            <c:numRef>
              <c:f>Lapas1!$C$2:$C$6</c:f>
              <c:numCache>
                <c:formatCode>General</c:formatCode>
                <c:ptCount val="5"/>
                <c:pt idx="0">
                  <c:v>1992</c:v>
                </c:pt>
                <c:pt idx="1">
                  <c:v>1995</c:v>
                </c:pt>
                <c:pt idx="2">
                  <c:v>1996</c:v>
                </c:pt>
                <c:pt idx="3">
                  <c:v>1999</c:v>
                </c:pt>
                <c:pt idx="4">
                  <c:v>2000</c:v>
                </c:pt>
              </c:numCache>
            </c:numRef>
          </c:val>
        </c:ser>
        <c:dLbls>
          <c:showLegendKey val="0"/>
          <c:showVal val="0"/>
          <c:showCatName val="0"/>
          <c:showSerName val="0"/>
          <c:showPercent val="0"/>
          <c:showBubbleSize val="0"/>
        </c:dLbls>
        <c:gapWidth val="219"/>
        <c:axId val="355454544"/>
        <c:axId val="355466304"/>
      </c:barChart>
      <c:lineChart>
        <c:grouping val="standard"/>
        <c:varyColors val="0"/>
        <c:ser>
          <c:idx val="0"/>
          <c:order val="0"/>
          <c:tx>
            <c:strRef>
              <c:f>Lapas1!$B$1</c:f>
              <c:strCache>
                <c:ptCount val="1"/>
                <c:pt idx="0">
                  <c:v>Miesto viešojo transporto maršrutų skaičius </c:v>
                </c:pt>
              </c:strCache>
            </c:strRef>
          </c:tx>
          <c:spPr>
            <a:ln w="28575" cap="rnd">
              <a:solidFill>
                <a:schemeClr val="accent1"/>
              </a:solidFill>
              <a:round/>
            </a:ln>
            <a:effectLst/>
          </c:spPr>
          <c:marker>
            <c:symbol val="none"/>
          </c:marker>
          <c:dLbls>
            <c:dLbl>
              <c:idx val="0"/>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2011</c:v>
                </c:pt>
                <c:pt idx="1">
                  <c:v>2012</c:v>
                </c:pt>
                <c:pt idx="2">
                  <c:v>2013</c:v>
                </c:pt>
                <c:pt idx="3">
                  <c:v>2004</c:v>
                </c:pt>
                <c:pt idx="4">
                  <c:v>2015</c:v>
                </c:pt>
              </c:numCache>
            </c:numRef>
          </c:cat>
          <c:val>
            <c:numRef>
              <c:f>Lapas1!$B$2:$B$6</c:f>
              <c:numCache>
                <c:formatCode>General</c:formatCode>
                <c:ptCount val="5"/>
                <c:pt idx="0">
                  <c:v>13</c:v>
                </c:pt>
                <c:pt idx="1">
                  <c:v>16</c:v>
                </c:pt>
                <c:pt idx="2">
                  <c:v>16</c:v>
                </c:pt>
                <c:pt idx="3">
                  <c:v>17</c:v>
                </c:pt>
                <c:pt idx="4">
                  <c:v>19</c:v>
                </c:pt>
              </c:numCache>
            </c:numRef>
          </c:val>
          <c:smooth val="0"/>
        </c:ser>
        <c:dLbls>
          <c:showLegendKey val="0"/>
          <c:showVal val="0"/>
          <c:showCatName val="0"/>
          <c:showSerName val="0"/>
          <c:showPercent val="0"/>
          <c:showBubbleSize val="0"/>
        </c:dLbls>
        <c:marker val="1"/>
        <c:smooth val="0"/>
        <c:axId val="355464736"/>
        <c:axId val="355465520"/>
      </c:lineChart>
      <c:catAx>
        <c:axId val="355464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55465520"/>
        <c:crosses val="autoZero"/>
        <c:auto val="1"/>
        <c:lblAlgn val="ctr"/>
        <c:lblOffset val="100"/>
        <c:noMultiLvlLbl val="0"/>
      </c:catAx>
      <c:valAx>
        <c:axId val="355465520"/>
        <c:scaling>
          <c:orientation val="minMax"/>
          <c:max val="40"/>
          <c:min val="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55464736"/>
        <c:crosses val="autoZero"/>
        <c:crossBetween val="between"/>
      </c:valAx>
      <c:valAx>
        <c:axId val="355466304"/>
        <c:scaling>
          <c:orientation val="minMax"/>
          <c:max val="2005"/>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55454544"/>
        <c:crosses val="max"/>
        <c:crossBetween val="between"/>
      </c:valAx>
      <c:catAx>
        <c:axId val="355454544"/>
        <c:scaling>
          <c:orientation val="minMax"/>
        </c:scaling>
        <c:delete val="1"/>
        <c:axPos val="b"/>
        <c:numFmt formatCode="General" sourceLinked="1"/>
        <c:majorTickMark val="out"/>
        <c:minorTickMark val="none"/>
        <c:tickLblPos val="nextTo"/>
        <c:crossAx val="35546630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t-LT" sz="1200">
                <a:latin typeface="Times New Roman" panose="02020603050405020304" pitchFamily="18" charset="0"/>
                <a:cs typeface="Times New Roman" panose="02020603050405020304" pitchFamily="18" charset="0"/>
              </a:rPr>
              <a:t>3 diagrama. </a:t>
            </a:r>
            <a:r>
              <a:rPr lang="lt-LT" sz="1200" b="0" i="0" baseline="0">
                <a:effectLst/>
                <a:latin typeface="Times New Roman" panose="02020603050405020304" pitchFamily="18" charset="0"/>
                <a:cs typeface="Times New Roman" panose="02020603050405020304" pitchFamily="18" charset="0"/>
              </a:rPr>
              <a:t>Strateginio plano lėšų pasiskirstymas pagal prioritetus (tūkst. EUR)</a:t>
            </a:r>
            <a:endParaRPr lang="lt-LT" sz="120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lt-LT"/>
              <a:t> </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t-LT"/>
        </a:p>
      </c:txPr>
    </c:title>
    <c:autoTitleDeleted val="0"/>
    <c:plotArea>
      <c:layout/>
      <c:barChart>
        <c:barDir val="col"/>
        <c:grouping val="stacked"/>
        <c:varyColors val="0"/>
        <c:ser>
          <c:idx val="0"/>
          <c:order val="0"/>
          <c:tx>
            <c:strRef>
              <c:f>Lapas1!$B$1</c:f>
              <c:strCache>
                <c:ptCount val="1"/>
                <c:pt idx="0">
                  <c:v>1 seka</c:v>
                </c:pt>
              </c:strCache>
            </c:strRef>
          </c:tx>
          <c:spPr>
            <a:solidFill>
              <a:schemeClr val="accent1"/>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Lst>
            </c:dLbl>
            <c:dLbl>
              <c:idx val="1"/>
              <c:showLegendKey val="0"/>
              <c:showVal val="1"/>
              <c:showCatName val="0"/>
              <c:showSerName val="0"/>
              <c:showPercent val="0"/>
              <c:showBubbleSize val="0"/>
              <c:extLst>
                <c:ext xmlns:c15="http://schemas.microsoft.com/office/drawing/2012/chart" uri="{CE6537A1-D6FC-4f65-9D91-7224C49458BB}"/>
              </c:extLst>
            </c:dLbl>
            <c:dLbl>
              <c:idx val="2"/>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3"/>
                <c:pt idx="0">
                  <c:v>I prioritetas</c:v>
                </c:pt>
                <c:pt idx="1">
                  <c:v>II prioritetas</c:v>
                </c:pt>
                <c:pt idx="2">
                  <c:v>III prioritetas</c:v>
                </c:pt>
              </c:strCache>
            </c:strRef>
          </c:cat>
          <c:val>
            <c:numRef>
              <c:f>Lapas1!$B$2:$B$5</c:f>
              <c:numCache>
                <c:formatCode>General</c:formatCode>
                <c:ptCount val="4"/>
                <c:pt idx="0">
                  <c:v>2058.6999999999998</c:v>
                </c:pt>
                <c:pt idx="1">
                  <c:v>7161.6</c:v>
                </c:pt>
                <c:pt idx="2">
                  <c:v>5762.7</c:v>
                </c:pt>
              </c:numCache>
            </c:numRef>
          </c:val>
        </c:ser>
        <c:ser>
          <c:idx val="1"/>
          <c:order val="1"/>
          <c:tx>
            <c:strRef>
              <c:f>Lapas1!$C$1</c:f>
              <c:strCache>
                <c:ptCount val="1"/>
                <c:pt idx="0">
                  <c:v>Stulpelis1</c:v>
                </c:pt>
              </c:strCache>
            </c:strRef>
          </c:tx>
          <c:spPr>
            <a:solidFill>
              <a:schemeClr val="accent2"/>
            </a:solidFill>
            <a:ln>
              <a:noFill/>
            </a:ln>
            <a:effectLst/>
          </c:spPr>
          <c:invertIfNegative val="0"/>
          <c:cat>
            <c:strRef>
              <c:f>Lapas1!$A$2:$A$5</c:f>
              <c:strCache>
                <c:ptCount val="3"/>
                <c:pt idx="0">
                  <c:v>I prioritetas</c:v>
                </c:pt>
                <c:pt idx="1">
                  <c:v>II prioritetas</c:v>
                </c:pt>
                <c:pt idx="2">
                  <c:v>III prioritetas</c:v>
                </c:pt>
              </c:strCache>
            </c:strRef>
          </c:cat>
          <c:val>
            <c:numRef>
              <c:f>Lapas1!$C$2:$C$5</c:f>
              <c:numCache>
                <c:formatCode>General</c:formatCode>
                <c:ptCount val="4"/>
              </c:numCache>
            </c:numRef>
          </c:val>
        </c:ser>
        <c:ser>
          <c:idx val="2"/>
          <c:order val="2"/>
          <c:tx>
            <c:strRef>
              <c:f>Lapas1!$D$1</c:f>
              <c:strCache>
                <c:ptCount val="1"/>
                <c:pt idx="0">
                  <c:v>Stulpelis2</c:v>
                </c:pt>
              </c:strCache>
            </c:strRef>
          </c:tx>
          <c:spPr>
            <a:solidFill>
              <a:schemeClr val="accent3"/>
            </a:solidFill>
            <a:ln>
              <a:noFill/>
            </a:ln>
            <a:effectLst/>
          </c:spPr>
          <c:invertIfNegative val="0"/>
          <c:cat>
            <c:strRef>
              <c:f>Lapas1!$A$2:$A$5</c:f>
              <c:strCache>
                <c:ptCount val="3"/>
                <c:pt idx="0">
                  <c:v>I prioritetas</c:v>
                </c:pt>
                <c:pt idx="1">
                  <c:v>II prioritetas</c:v>
                </c:pt>
                <c:pt idx="2">
                  <c:v>III prioritetas</c:v>
                </c:pt>
              </c:strCache>
            </c:strRef>
          </c:cat>
          <c:val>
            <c:numRef>
              <c:f>Lapas1!$D$2:$D$5</c:f>
              <c:numCache>
                <c:formatCode>General</c:formatCode>
                <c:ptCount val="4"/>
              </c:numCache>
            </c:numRef>
          </c:val>
        </c:ser>
        <c:dLbls>
          <c:showLegendKey val="0"/>
          <c:showVal val="0"/>
          <c:showCatName val="0"/>
          <c:showSerName val="0"/>
          <c:showPercent val="0"/>
          <c:showBubbleSize val="0"/>
        </c:dLbls>
        <c:gapWidth val="219"/>
        <c:overlap val="100"/>
        <c:axId val="369177464"/>
        <c:axId val="369177856"/>
      </c:barChart>
      <c:catAx>
        <c:axId val="369177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69177856"/>
        <c:crosses val="autoZero"/>
        <c:auto val="1"/>
        <c:lblAlgn val="ctr"/>
        <c:lblOffset val="100"/>
        <c:noMultiLvlLbl val="0"/>
      </c:catAx>
      <c:valAx>
        <c:axId val="369177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691774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0" i="0" u="none" strike="noStrike" baseline="0">
                <a:solidFill>
                  <a:srgbClr val="000000"/>
                </a:solidFill>
                <a:latin typeface="Times New Roman" pitchFamily="18" charset="0"/>
                <a:ea typeface="Arial"/>
                <a:cs typeface="Times New Roman" pitchFamily="18" charset="0"/>
              </a:defRPr>
            </a:pPr>
            <a:r>
              <a:rPr lang="lt-LT" sz="1100">
                <a:latin typeface="Times New Roman" pitchFamily="18" charset="0"/>
                <a:cs typeface="Times New Roman" pitchFamily="18" charset="0"/>
              </a:rPr>
              <a:t>4 diagrama. Strateginio plano I prioriteto priemonių vykdymas 2015 m.</a:t>
            </a:r>
          </a:p>
        </c:rich>
      </c:tx>
      <c:layout>
        <c:manualLayout>
          <c:xMode val="edge"/>
          <c:yMode val="edge"/>
          <c:x val="0.13849287169042904"/>
          <c:y val="3.8327526132404179E-2"/>
        </c:manualLayout>
      </c:layout>
      <c:overlay val="0"/>
      <c:spPr>
        <a:noFill/>
        <a:ln w="25400">
          <a:noFill/>
        </a:ln>
      </c:spPr>
    </c:title>
    <c:autoTitleDeleted val="0"/>
    <c:plotArea>
      <c:layout>
        <c:manualLayout>
          <c:layoutTarget val="inner"/>
          <c:xMode val="edge"/>
          <c:yMode val="edge"/>
          <c:x val="0.20773930753564301"/>
          <c:y val="0.36933797909408123"/>
          <c:w val="0.25865580448065184"/>
          <c:h val="0.4425087108013937"/>
        </c:manualLayout>
      </c:layout>
      <c:pieChart>
        <c:varyColors val="1"/>
        <c:ser>
          <c:idx val="0"/>
          <c:order val="0"/>
          <c:spPr>
            <a:solidFill>
              <a:srgbClr val="9999FF"/>
            </a:solidFill>
            <a:ln w="12700">
              <a:solidFill>
                <a:srgbClr val="000000"/>
              </a:solidFill>
              <a:prstDash val="solid"/>
            </a:ln>
          </c:spPr>
          <c:explosion val="35"/>
          <c:dPt>
            <c:idx val="1"/>
            <c:bubble3D val="0"/>
            <c:spPr>
              <a:solidFill>
                <a:srgbClr val="993366"/>
              </a:solidFill>
              <a:ln w="12700">
                <a:solidFill>
                  <a:srgbClr val="000000"/>
                </a:solidFill>
                <a:prstDash val="solid"/>
              </a:ln>
            </c:spPr>
          </c:dPt>
          <c:dLbls>
            <c:dLbl>
              <c:idx val="0"/>
              <c:tx>
                <c:rich>
                  <a:bodyPr/>
                  <a:lstStyle/>
                  <a:p>
                    <a:r>
                      <a:rPr lang="en-US"/>
                      <a:t>68 %</a:t>
                    </a:r>
                  </a:p>
                </c:rich>
              </c:tx>
              <c:showLegendKey val="0"/>
              <c:showVal val="0"/>
              <c:showCatName val="0"/>
              <c:showSerName val="0"/>
              <c:showPercent val="1"/>
              <c:showBubbleSize val="0"/>
              <c:extLst>
                <c:ext xmlns:c15="http://schemas.microsoft.com/office/drawing/2012/chart" uri="{CE6537A1-D6FC-4f65-9D91-7224C49458BB}"/>
              </c:extLst>
            </c:dLbl>
            <c:dLbl>
              <c:idx val="1"/>
              <c:tx>
                <c:rich>
                  <a:bodyPr/>
                  <a:lstStyle/>
                  <a:p>
                    <a:r>
                      <a:rPr lang="en-US"/>
                      <a:t>32 %</a:t>
                    </a:r>
                  </a:p>
                </c:rich>
              </c:tx>
              <c:showLegendKey val="0"/>
              <c:showVal val="0"/>
              <c:showCatName val="0"/>
              <c:showSerName val="0"/>
              <c:showPercent val="1"/>
              <c:showBubbleSize val="0"/>
              <c:extLst>
                <c:ext xmlns:c15="http://schemas.microsoft.com/office/drawing/2012/chart" uri="{CE6537A1-D6FC-4f65-9D91-7224C49458BB}"/>
              </c:extLst>
            </c:dLbl>
            <c:numFmt formatCode="0%" sourceLinked="0"/>
            <c:spPr>
              <a:noFill/>
              <a:ln w="25400">
                <a:noFill/>
              </a:ln>
            </c:spPr>
            <c:txPr>
              <a:bodyPr/>
              <a:lstStyle/>
              <a:p>
                <a:pPr>
                  <a:defRPr sz="1000" b="0" i="0" u="none" strike="noStrike" baseline="0">
                    <a:solidFill>
                      <a:srgbClr val="000000"/>
                    </a:solidFill>
                    <a:latin typeface="Arial"/>
                    <a:ea typeface="Arial"/>
                    <a:cs typeface="Arial"/>
                  </a:defRPr>
                </a:pPr>
                <a:endParaRPr lang="lt-LT"/>
              </a:p>
            </c:txPr>
            <c:showLegendKey val="0"/>
            <c:showVal val="0"/>
            <c:showCatName val="0"/>
            <c:showSerName val="0"/>
            <c:showPercent val="1"/>
            <c:showBubbleSize val="0"/>
            <c:showLeaderLines val="1"/>
            <c:extLst>
              <c:ext xmlns:c15="http://schemas.microsoft.com/office/drawing/2012/chart" uri="{CE6537A1-D6FC-4f65-9D91-7224C49458BB}"/>
            </c:extLst>
          </c:dLbls>
          <c:cat>
            <c:strRef>
              <c:f>rodikliai!$C$85:$C$86</c:f>
              <c:strCache>
                <c:ptCount val="2"/>
                <c:pt idx="0">
                  <c:v>Vykdoma ar iš dalies vykdoma priemonių</c:v>
                </c:pt>
                <c:pt idx="1">
                  <c:v>Nevykdomapriemonių</c:v>
                </c:pt>
              </c:strCache>
            </c:strRef>
          </c:cat>
          <c:val>
            <c:numRef>
              <c:f>rodikliai!$D$85:$D$86</c:f>
              <c:numCache>
                <c:formatCode>General</c:formatCode>
                <c:ptCount val="2"/>
                <c:pt idx="0">
                  <c:v>18</c:v>
                </c:pt>
                <c:pt idx="1">
                  <c:v>7</c:v>
                </c:pt>
              </c:numCache>
            </c:numRef>
          </c:val>
        </c:ser>
        <c:dLbls>
          <c:showLegendKey val="0"/>
          <c:showVal val="0"/>
          <c:showCatName val="0"/>
          <c:showSerName val="0"/>
          <c:showPercent val="1"/>
          <c:showBubbleSize val="0"/>
          <c:showLeaderLines val="1"/>
        </c:dLbls>
        <c:firstSliceAng val="0"/>
      </c:pieChart>
      <c:spPr>
        <a:noFill/>
        <a:ln w="25400">
          <a:noFill/>
        </a:ln>
      </c:spPr>
    </c:plotArea>
    <c:legend>
      <c:legendPos val="r"/>
      <c:layout>
        <c:manualLayout>
          <c:xMode val="edge"/>
          <c:yMode val="edge"/>
          <c:x val="0.66598778004073322"/>
          <c:y val="0.45993031358885239"/>
          <c:w val="0.31975560081466703"/>
          <c:h val="0.26132404181185037"/>
        </c:manualLayout>
      </c:layout>
      <c:overlay val="0"/>
      <c:spPr>
        <a:solidFill>
          <a:srgbClr val="FFFFFF"/>
        </a:solidFill>
        <a:ln w="25400">
          <a:noFill/>
        </a:ln>
      </c:spPr>
      <c:txPr>
        <a:bodyPr/>
        <a:lstStyle/>
        <a:p>
          <a:pPr>
            <a:defRPr sz="1000" b="0" i="0" u="none" strike="noStrike" baseline="0">
              <a:solidFill>
                <a:srgbClr val="000000"/>
              </a:solidFill>
              <a:latin typeface="Times New Roman" pitchFamily="18" charset="0"/>
              <a:ea typeface="Arial"/>
              <a:cs typeface="Times New Roman" pitchFamily="18" charset="0"/>
            </a:defRPr>
          </a:pPr>
          <a:endParaRPr lang="lt-LT"/>
        </a:p>
      </c:txPr>
    </c:legend>
    <c:plotVisOnly val="1"/>
    <c:dispBlanksAs val="zero"/>
    <c:showDLblsOverMax val="0"/>
  </c:chart>
  <c:spPr>
    <a:solidFill>
      <a:srgbClr val="FFFFFF"/>
    </a:solidFill>
    <a:ln w="9525">
      <a:noFill/>
    </a:ln>
  </c:spPr>
  <c:txPr>
    <a:bodyPr/>
    <a:lstStyle/>
    <a:p>
      <a:pPr>
        <a:defRPr sz="1000" b="0" i="0" u="none" strike="noStrike" baseline="0">
          <a:solidFill>
            <a:srgbClr val="000000"/>
          </a:solidFill>
          <a:latin typeface="Arial"/>
          <a:ea typeface="Arial"/>
          <a:cs typeface="Arial"/>
        </a:defRPr>
      </a:pPr>
      <a:endParaRPr lang="lt-LT"/>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a:latin typeface="Times New Roman" panose="02020603050405020304" pitchFamily="18" charset="0"/>
                <a:cs typeface="Times New Roman" panose="02020603050405020304" pitchFamily="18" charset="0"/>
              </a:rPr>
              <a:t>5 diagrama. Bendrasis vidaus produktas (BVP)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Lapas1!$B$1</c:f>
              <c:strCache>
                <c:ptCount val="1"/>
                <c:pt idx="0">
                  <c:v>LR vidurkis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2010</c:v>
                </c:pt>
                <c:pt idx="1">
                  <c:v>2011</c:v>
                </c:pt>
                <c:pt idx="2">
                  <c:v>2012</c:v>
                </c:pt>
                <c:pt idx="3">
                  <c:v>2013</c:v>
                </c:pt>
                <c:pt idx="4">
                  <c:v>2014</c:v>
                </c:pt>
              </c:numCache>
            </c:numRef>
          </c:cat>
          <c:val>
            <c:numRef>
              <c:f>Lapas1!$B$2:$B$6</c:f>
              <c:numCache>
                <c:formatCode>General</c:formatCode>
                <c:ptCount val="5"/>
                <c:pt idx="4">
                  <c:v>12.1</c:v>
                </c:pt>
              </c:numCache>
            </c:numRef>
          </c:val>
        </c:ser>
        <c:ser>
          <c:idx val="1"/>
          <c:order val="1"/>
          <c:tx>
            <c:strRef>
              <c:f>Lapas1!$C$1</c:f>
              <c:strCache>
                <c:ptCount val="1"/>
                <c:pt idx="0">
                  <c:v>Panevėžio apskr.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2010</c:v>
                </c:pt>
                <c:pt idx="1">
                  <c:v>2011</c:v>
                </c:pt>
                <c:pt idx="2">
                  <c:v>2012</c:v>
                </c:pt>
                <c:pt idx="3">
                  <c:v>2013</c:v>
                </c:pt>
                <c:pt idx="4">
                  <c:v>2014</c:v>
                </c:pt>
              </c:numCache>
            </c:numRef>
          </c:cat>
          <c:val>
            <c:numRef>
              <c:f>Lapas1!$C$2:$C$6</c:f>
              <c:numCache>
                <c:formatCode>General</c:formatCode>
                <c:ptCount val="5"/>
                <c:pt idx="0">
                  <c:v>6.6</c:v>
                </c:pt>
                <c:pt idx="1">
                  <c:v>7.7</c:v>
                </c:pt>
                <c:pt idx="2">
                  <c:v>8.4</c:v>
                </c:pt>
                <c:pt idx="3">
                  <c:v>8.8000000000000007</c:v>
                </c:pt>
                <c:pt idx="4">
                  <c:v>9.1</c:v>
                </c:pt>
              </c:numCache>
            </c:numRef>
          </c:val>
        </c:ser>
        <c:dLbls>
          <c:showLegendKey val="0"/>
          <c:showVal val="0"/>
          <c:showCatName val="0"/>
          <c:showSerName val="0"/>
          <c:showPercent val="0"/>
          <c:showBubbleSize val="0"/>
        </c:dLbls>
        <c:gapWidth val="219"/>
        <c:overlap val="-27"/>
        <c:axId val="369174328"/>
        <c:axId val="369174720"/>
      </c:barChart>
      <c:catAx>
        <c:axId val="369174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69174720"/>
        <c:crosses val="autoZero"/>
        <c:auto val="1"/>
        <c:lblAlgn val="ctr"/>
        <c:lblOffset val="100"/>
        <c:noMultiLvlLbl val="0"/>
      </c:catAx>
      <c:valAx>
        <c:axId val="369174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69174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LR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2010</c:v>
                </c:pt>
                <c:pt idx="1">
                  <c:v>2011</c:v>
                </c:pt>
                <c:pt idx="2">
                  <c:v>2012</c:v>
                </c:pt>
                <c:pt idx="3">
                  <c:v>2013</c:v>
                </c:pt>
                <c:pt idx="4">
                  <c:v>2014</c:v>
                </c:pt>
              </c:numCache>
            </c:numRef>
          </c:cat>
          <c:val>
            <c:numRef>
              <c:f>Lapas1!$B$2:$B$6</c:f>
              <c:numCache>
                <c:formatCode>General</c:formatCode>
                <c:ptCount val="5"/>
                <c:pt idx="0">
                  <c:v>3578</c:v>
                </c:pt>
                <c:pt idx="1">
                  <c:v>3672</c:v>
                </c:pt>
                <c:pt idx="2">
                  <c:v>4072</c:v>
                </c:pt>
                <c:pt idx="3">
                  <c:v>4321</c:v>
                </c:pt>
                <c:pt idx="4">
                  <c:v>4404</c:v>
                </c:pt>
              </c:numCache>
            </c:numRef>
          </c:val>
        </c:ser>
        <c:ser>
          <c:idx val="1"/>
          <c:order val="1"/>
          <c:tx>
            <c:strRef>
              <c:f>Lapas1!$C$1</c:f>
              <c:strCache>
                <c:ptCount val="1"/>
                <c:pt idx="0">
                  <c:v>Panevėžio miestas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2010</c:v>
                </c:pt>
                <c:pt idx="1">
                  <c:v>2011</c:v>
                </c:pt>
                <c:pt idx="2">
                  <c:v>2012</c:v>
                </c:pt>
                <c:pt idx="3">
                  <c:v>2013</c:v>
                </c:pt>
                <c:pt idx="4">
                  <c:v>2014</c:v>
                </c:pt>
              </c:numCache>
            </c:numRef>
          </c:cat>
          <c:val>
            <c:numRef>
              <c:f>Lapas1!$C$2:$C$6</c:f>
              <c:numCache>
                <c:formatCode>General</c:formatCode>
                <c:ptCount val="5"/>
                <c:pt idx="0">
                  <c:v>1595</c:v>
                </c:pt>
                <c:pt idx="1">
                  <c:v>1908</c:v>
                </c:pt>
                <c:pt idx="2">
                  <c:v>2282</c:v>
                </c:pt>
                <c:pt idx="3">
                  <c:v>2554</c:v>
                </c:pt>
                <c:pt idx="4">
                  <c:v>2486</c:v>
                </c:pt>
              </c:numCache>
            </c:numRef>
          </c:val>
        </c:ser>
        <c:dLbls>
          <c:showLegendKey val="0"/>
          <c:showVal val="0"/>
          <c:showCatName val="0"/>
          <c:showSerName val="0"/>
          <c:showPercent val="0"/>
          <c:showBubbleSize val="0"/>
        </c:dLbls>
        <c:gapWidth val="219"/>
        <c:overlap val="-27"/>
        <c:axId val="369188440"/>
        <c:axId val="369186480"/>
      </c:barChart>
      <c:catAx>
        <c:axId val="369188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69186480"/>
        <c:crosses val="autoZero"/>
        <c:auto val="1"/>
        <c:lblAlgn val="ctr"/>
        <c:lblOffset val="100"/>
        <c:noMultiLvlLbl val="0"/>
      </c:catAx>
      <c:valAx>
        <c:axId val="369186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69188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Panevėžio miestas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2010</c:v>
                </c:pt>
                <c:pt idx="1">
                  <c:v>2011</c:v>
                </c:pt>
                <c:pt idx="2">
                  <c:v>2012</c:v>
                </c:pt>
                <c:pt idx="3">
                  <c:v>2013</c:v>
                </c:pt>
                <c:pt idx="4">
                  <c:v>2014</c:v>
                </c:pt>
              </c:numCache>
            </c:numRef>
          </c:cat>
          <c:val>
            <c:numRef>
              <c:f>Lapas1!$B$2:$B$6</c:f>
              <c:numCache>
                <c:formatCode>General</c:formatCode>
                <c:ptCount val="5"/>
                <c:pt idx="0">
                  <c:v>158.1</c:v>
                </c:pt>
                <c:pt idx="1">
                  <c:v>187.4</c:v>
                </c:pt>
                <c:pt idx="2">
                  <c:v>220.5</c:v>
                </c:pt>
                <c:pt idx="3">
                  <c:v>246.1</c:v>
                </c:pt>
                <c:pt idx="4">
                  <c:v>236.6</c:v>
                </c:pt>
              </c:numCache>
            </c:numRef>
          </c:val>
        </c:ser>
        <c:dLbls>
          <c:showLegendKey val="0"/>
          <c:showVal val="0"/>
          <c:showCatName val="0"/>
          <c:showSerName val="0"/>
          <c:showPercent val="0"/>
          <c:showBubbleSize val="0"/>
        </c:dLbls>
        <c:gapWidth val="219"/>
        <c:overlap val="-27"/>
        <c:axId val="369189224"/>
        <c:axId val="369189616"/>
      </c:barChart>
      <c:catAx>
        <c:axId val="369189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69189616"/>
        <c:crosses val="autoZero"/>
        <c:auto val="1"/>
        <c:lblAlgn val="ctr"/>
        <c:lblOffset val="100"/>
        <c:noMultiLvlLbl val="0"/>
      </c:catAx>
      <c:valAx>
        <c:axId val="369189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69189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1 seka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Lapas1!$A$2:$A$8</c:f>
              <c:strCache>
                <c:ptCount val="7"/>
                <c:pt idx="0">
                  <c:v>Danija</c:v>
                </c:pt>
                <c:pt idx="1">
                  <c:v>Vokietija</c:v>
                </c:pt>
                <c:pt idx="2">
                  <c:v>Norvegija</c:v>
                </c:pt>
                <c:pt idx="3">
                  <c:v>Latvija</c:v>
                </c:pt>
                <c:pt idx="4">
                  <c:v>Suomija</c:v>
                </c:pt>
                <c:pt idx="5">
                  <c:v>Estija</c:v>
                </c:pt>
                <c:pt idx="6">
                  <c:v>Prancūzija</c:v>
                </c:pt>
              </c:strCache>
            </c:strRef>
          </c:cat>
          <c:val>
            <c:numRef>
              <c:f>Lapas1!$B$2:$B$8</c:f>
              <c:numCache>
                <c:formatCode>General</c:formatCode>
                <c:ptCount val="7"/>
                <c:pt idx="0">
                  <c:v>95.9</c:v>
                </c:pt>
                <c:pt idx="1">
                  <c:v>40.700000000000003</c:v>
                </c:pt>
                <c:pt idx="2">
                  <c:v>27.3</c:v>
                </c:pt>
                <c:pt idx="3">
                  <c:v>27.1</c:v>
                </c:pt>
                <c:pt idx="4">
                  <c:v>22.2</c:v>
                </c:pt>
                <c:pt idx="5">
                  <c:v>21.7</c:v>
                </c:pt>
                <c:pt idx="6">
                  <c:v>16.8</c:v>
                </c:pt>
              </c:numCache>
            </c:numRef>
          </c:val>
        </c:ser>
        <c:dLbls>
          <c:showLegendKey val="0"/>
          <c:showVal val="0"/>
          <c:showCatName val="0"/>
          <c:showSerName val="0"/>
          <c:showPercent val="0"/>
          <c:showBubbleSize val="0"/>
        </c:dLbls>
        <c:gapWidth val="219"/>
        <c:overlap val="-27"/>
        <c:axId val="356146728"/>
        <c:axId val="356153000"/>
      </c:barChart>
      <c:catAx>
        <c:axId val="356146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56153000"/>
        <c:crosses val="autoZero"/>
        <c:auto val="1"/>
        <c:lblAlgn val="ctr"/>
        <c:lblOffset val="100"/>
        <c:noMultiLvlLbl val="0"/>
      </c:catAx>
      <c:valAx>
        <c:axId val="356153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561467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Panevėžio miestas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2010</c:v>
                </c:pt>
                <c:pt idx="1">
                  <c:v>2011</c:v>
                </c:pt>
                <c:pt idx="2">
                  <c:v>2012</c:v>
                </c:pt>
                <c:pt idx="3">
                  <c:v>2013</c:v>
                </c:pt>
                <c:pt idx="4">
                  <c:v>2014</c:v>
                </c:pt>
              </c:numCache>
            </c:numRef>
          </c:cat>
          <c:val>
            <c:numRef>
              <c:f>Lapas1!$B$2:$B$6</c:f>
              <c:numCache>
                <c:formatCode>General</c:formatCode>
                <c:ptCount val="5"/>
                <c:pt idx="0">
                  <c:v>87.9</c:v>
                </c:pt>
                <c:pt idx="1">
                  <c:v>119.2</c:v>
                </c:pt>
                <c:pt idx="2">
                  <c:v>145.9</c:v>
                </c:pt>
                <c:pt idx="3">
                  <c:v>181.3</c:v>
                </c:pt>
                <c:pt idx="4">
                  <c:v>183.3</c:v>
                </c:pt>
              </c:numCache>
            </c:numRef>
          </c:val>
        </c:ser>
        <c:dLbls>
          <c:showLegendKey val="0"/>
          <c:showVal val="0"/>
          <c:showCatName val="0"/>
          <c:showSerName val="0"/>
          <c:showPercent val="0"/>
          <c:showBubbleSize val="0"/>
        </c:dLbls>
        <c:gapWidth val="219"/>
        <c:overlap val="-27"/>
        <c:axId val="356144376"/>
        <c:axId val="356151432"/>
      </c:barChart>
      <c:catAx>
        <c:axId val="356144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56151432"/>
        <c:crosses val="autoZero"/>
        <c:auto val="1"/>
        <c:lblAlgn val="ctr"/>
        <c:lblOffset val="100"/>
        <c:noMultiLvlLbl val="0"/>
      </c:catAx>
      <c:valAx>
        <c:axId val="356151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56144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BB581E-4537-4DAD-8DB6-4B80E5F9C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11</Pages>
  <Words>11563</Words>
  <Characters>6591</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Analizės pateikimo struktūra</vt:lpstr>
      <vt:lpstr>Analizės pateikimo struktūra</vt:lpstr>
    </vt:vector>
  </TitlesOfParts>
  <Company>Home</Company>
  <LinksUpToDate>false</LinksUpToDate>
  <CharactersWithSpaces>18118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Analizės pateikimo struktūra</dc:title>
  <dc:subject/>
  <dc:creator>Asta1</dc:creator>
  <cp:keywords/>
  <dc:description/>
  <cp:lastModifiedBy>Asta Puodžiūnienė</cp:lastModifiedBy>
  <cp:revision>72</cp:revision>
  <cp:lastPrinted>2015-08-21T11:44:00Z</cp:lastPrinted>
  <dcterms:created xsi:type="dcterms:W3CDTF">2015-09-17T11:23:00Z</dcterms:created>
  <dcterms:modified xsi:type="dcterms:W3CDTF">2016-09-06T05:42:00Z</dcterms:modified>
</cp:coreProperties>
</file>