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71C6AD9D" w14:textId="70C96F1F" w:rsidR="00B7566C" w:rsidRPr="0011226B" w:rsidRDefault="00B7566C" w:rsidP="00156131">
      <w:pPr>
        <w:pStyle w:val="Pagrindinistekstas3"/>
        <w:rPr>
          <w:bCs/>
          <w:szCs w:val="24"/>
        </w:rPr>
      </w:pPr>
      <w:r w:rsidRPr="0011226B">
        <w:rPr>
          <w:bCs/>
        </w:rPr>
        <w:t xml:space="preserve">DĖL PRITARIMO </w:t>
      </w:r>
      <w:r w:rsidRPr="0011226B">
        <w:rPr>
          <w:bCs/>
          <w:szCs w:val="24"/>
        </w:rPr>
        <w:t>TEIKTI PROJEKTĄ „J.JANONIO GATVĖS (NUO ŽIEDO IKI SAVITIŠKIO G.) PRIEIGŲ SUTVARKYMAS“ EUROPOS SĄJUNGOS FONDŲ INVEST</w:t>
      </w:r>
      <w:r w:rsidR="00BF4BB8">
        <w:rPr>
          <w:bCs/>
          <w:szCs w:val="24"/>
        </w:rPr>
        <w:t>I</w:t>
      </w:r>
      <w:r w:rsidRPr="0011226B">
        <w:rPr>
          <w:bCs/>
          <w:szCs w:val="24"/>
        </w:rPr>
        <w:t xml:space="preserve">CIJOMS GAUTI IR </w:t>
      </w:r>
      <w:r w:rsidRPr="0011226B">
        <w:rPr>
          <w:szCs w:val="24"/>
        </w:rPr>
        <w:t>PROJEKTO DALINIO FINANSAVIMO</w:t>
      </w:r>
    </w:p>
    <w:p w14:paraId="6DFF6734" w14:textId="77777777" w:rsidR="00B0596B" w:rsidRPr="00CC063E" w:rsidRDefault="00B0596B" w:rsidP="00156131">
      <w:pPr>
        <w:pStyle w:val="Pagrindinistekstas3"/>
        <w:rPr>
          <w:bCs/>
          <w:szCs w:val="24"/>
        </w:rPr>
      </w:pPr>
    </w:p>
    <w:p w14:paraId="7A2729CD" w14:textId="77777777" w:rsidR="00CE4261" w:rsidRPr="007D7B8A" w:rsidRDefault="00F8746D" w:rsidP="00156131">
      <w:pPr>
        <w:tabs>
          <w:tab w:val="left" w:pos="0"/>
        </w:tabs>
        <w:jc w:val="center"/>
      </w:pPr>
      <w:r>
        <w:t>2016</w:t>
      </w:r>
      <w:r w:rsidR="00CE4261">
        <w:t xml:space="preserve"> m. </w:t>
      </w:r>
      <w:r w:rsidR="00B7566C">
        <w:t>balandžio</w:t>
      </w:r>
      <w:bookmarkStart w:id="0" w:name="_GoBack"/>
      <w:bookmarkEnd w:id="0"/>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Pr="00C25BD0"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6261F293" w14:textId="77777777" w:rsidR="00E30C40" w:rsidRPr="00C25BD0" w:rsidRDefault="00156131" w:rsidP="00C25BD0">
      <w:pPr>
        <w:spacing w:line="360" w:lineRule="auto"/>
        <w:ind w:firstLine="851"/>
        <w:jc w:val="both"/>
      </w:pPr>
      <w:r w:rsidRPr="00C25BD0">
        <w:t xml:space="preserve">2015 m. gruodžio 10 d. Lietuvos Respublikos vidaus reikalų ministro įsakymu Nr. 1V-989 </w:t>
      </w:r>
      <w:r w:rsidR="00A77EA0" w:rsidRPr="00C25BD0">
        <w:t xml:space="preserve">patvirtintas </w:t>
      </w:r>
      <w:r w:rsidRPr="00C25BD0">
        <w:t xml:space="preserve">2014–2020 metų Europos Sąjungos fondų investicijų veiksmų programos 7 prioriteto „Kokybiško užimtumo ir dalyvavimo darbo rinkoje skatinimas“ Nr. 07.1.1-CPVA-R-904 priemonės „Didžiųjų miestų kompleksinė plėtra“ projektų finansavimo sąlygų </w:t>
      </w:r>
      <w:r w:rsidR="00A77EA0" w:rsidRPr="00C25BD0">
        <w:rPr>
          <w:rFonts w:eastAsia="Calibri"/>
        </w:rPr>
        <w:t>aprašas Nr. 1</w:t>
      </w:r>
      <w:r w:rsidR="00EC4035" w:rsidRPr="00C25BD0">
        <w:rPr>
          <w:rFonts w:eastAsia="Calibri"/>
        </w:rPr>
        <w:t xml:space="preserve"> </w:t>
      </w:r>
      <w:r w:rsidR="00A77EA0" w:rsidRPr="00C25BD0">
        <w:rPr>
          <w:rFonts w:eastAsia="Calibri"/>
        </w:rPr>
        <w:t>(toliau – Aprašas).</w:t>
      </w:r>
    </w:p>
    <w:p w14:paraId="62A3E1DE" w14:textId="77777777" w:rsidR="00156131" w:rsidRPr="00C25BD0" w:rsidRDefault="00A77EA0" w:rsidP="00C25BD0">
      <w:pPr>
        <w:spacing w:line="360" w:lineRule="auto"/>
        <w:ind w:firstLine="851"/>
        <w:jc w:val="both"/>
      </w:pPr>
      <w:r w:rsidRPr="00C25BD0">
        <w:t xml:space="preserve">Priemonės tikslas – </w:t>
      </w:r>
      <w:r w:rsidR="00156131" w:rsidRPr="00C25BD0">
        <w:t>sudaryti sąlygas gyventojų užimtumui didėti tikslinėse teritorijose.</w:t>
      </w:r>
    </w:p>
    <w:p w14:paraId="441CF424" w14:textId="77777777" w:rsidR="00156131" w:rsidRPr="00C25BD0" w:rsidRDefault="00156131" w:rsidP="00C25BD0">
      <w:pPr>
        <w:spacing w:line="360" w:lineRule="auto"/>
        <w:ind w:firstLine="851"/>
        <w:jc w:val="both"/>
      </w:pPr>
      <w:r w:rsidRPr="00C25BD0">
        <w:t xml:space="preserve">Vadovaujantis Aprašo 10.2.1. papunkčiu </w:t>
      </w:r>
      <w:r w:rsidR="00E30C40" w:rsidRPr="00C25BD0">
        <w:t>viena remiamų veiklų „</w:t>
      </w:r>
      <w:r w:rsidRPr="00C25BD0">
        <w:t>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(išskyrus elingų statybą),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 viešojo transporto sistemos prieinamumo tobulinimas ir plėtra – priemonės, kurios prisideda prie esamos viešojo transporto sistemos plėtros ir siejasi su visuomeninio transporto keleivių prieinamumo prie šios sistemos gerinimo (pavyzdžiui, keleiviams skirtų paviljonų, eismo reguliavimo priemonių ir pan. įrengimas)</w:t>
      </w:r>
      <w:r w:rsidR="00E30C40" w:rsidRPr="00C25BD0">
        <w:t>“.</w:t>
      </w:r>
    </w:p>
    <w:p w14:paraId="25CED189" w14:textId="77777777" w:rsidR="00607A29" w:rsidRPr="00C25BD0" w:rsidRDefault="00A77EA0" w:rsidP="00C25BD0">
      <w:pPr>
        <w:spacing w:line="360" w:lineRule="auto"/>
        <w:ind w:firstLine="851"/>
        <w:jc w:val="both"/>
      </w:pPr>
      <w:r w:rsidRPr="00C25BD0">
        <w:t>Regioninės plėtros departamento</w:t>
      </w:r>
      <w:r w:rsidR="00023946" w:rsidRPr="00C25BD0">
        <w:t xml:space="preserve"> pr</w:t>
      </w:r>
      <w:r w:rsidR="00D91DC5" w:rsidRPr="00C25BD0">
        <w:t>ie V</w:t>
      </w:r>
      <w:r w:rsidR="00023946" w:rsidRPr="00C25BD0">
        <w:t xml:space="preserve">idaus reikalų ministerijos Panevėžio </w:t>
      </w:r>
      <w:r w:rsidR="00D91DC5" w:rsidRPr="00C25BD0">
        <w:t xml:space="preserve">apskrities </w:t>
      </w:r>
      <w:r w:rsidR="00802F82" w:rsidRPr="00C25BD0">
        <w:t>skyrius 2015</w:t>
      </w:r>
      <w:r w:rsidR="00E30C40" w:rsidRPr="00C25BD0">
        <w:t xml:space="preserve"> m. gruodži</w:t>
      </w:r>
      <w:r w:rsidR="00802F82" w:rsidRPr="00C25BD0">
        <w:t xml:space="preserve">o </w:t>
      </w:r>
      <w:r w:rsidR="00E30C40" w:rsidRPr="00C25BD0">
        <w:t>23</w:t>
      </w:r>
      <w:r w:rsidR="00802F82" w:rsidRPr="00C25BD0">
        <w:t xml:space="preserve"> d.</w:t>
      </w:r>
      <w:r w:rsidR="00023946" w:rsidRPr="00C25BD0">
        <w:t xml:space="preserve"> paskelbė kvietimą teikti projektinius pasiūlymus Panevėžio regiono projektų, finansuojamų pagal</w:t>
      </w:r>
      <w:r w:rsidR="00876427" w:rsidRPr="00C25BD0">
        <w:t xml:space="preserve"> 2014–2020 metų Europos Sąjungos fondų investicijų veiksmų programos 7 prioriteto „Kokybiško užimtumo ir dalyvavimo darbo rinkoje skatinimas“ Nr. 07.1.1-CPVA-R-904 priemonę „Didžiųjų miestų kompleksinė plėtra“ (toliau – Priemone),</w:t>
      </w:r>
      <w:r w:rsidR="00023946" w:rsidRPr="00C25BD0">
        <w:t xml:space="preserve"> </w:t>
      </w:r>
      <w:r w:rsidR="00D91DC5" w:rsidRPr="00C25BD0">
        <w:t>sąrašui Nr. 51 sudaryti</w:t>
      </w:r>
      <w:r w:rsidR="00876427" w:rsidRPr="00C25BD0">
        <w:t xml:space="preserve"> (toliau – Kvietimas)</w:t>
      </w:r>
      <w:r w:rsidR="00D91DC5" w:rsidRPr="00C25BD0">
        <w:t>.</w:t>
      </w:r>
    </w:p>
    <w:p w14:paraId="0A49410D" w14:textId="77777777" w:rsidR="00876427" w:rsidRPr="00C25BD0" w:rsidRDefault="00876427" w:rsidP="00C25BD0">
      <w:pPr>
        <w:spacing w:line="360" w:lineRule="auto"/>
        <w:ind w:firstLine="851"/>
        <w:jc w:val="both"/>
      </w:pPr>
      <w:r w:rsidRPr="00C25BD0">
        <w:t>Projektiniai</w:t>
      </w:r>
      <w:r w:rsidR="00607A29" w:rsidRPr="00C25BD0">
        <w:t xml:space="preserve"> pasiūlyma</w:t>
      </w:r>
      <w:r w:rsidRPr="00C25BD0">
        <w:t xml:space="preserve">i pagal Kvietimą </w:t>
      </w:r>
      <w:r w:rsidR="00607A29" w:rsidRPr="00C25BD0">
        <w:t>Panevėžio regiono plėtros tarybai turi būti pateikt</w:t>
      </w:r>
      <w:r w:rsidRPr="00C25BD0">
        <w:t xml:space="preserve">i kaip galima anksčiau bet ne vėliau kaip </w:t>
      </w:r>
      <w:r w:rsidR="00607A29" w:rsidRPr="00C25BD0">
        <w:t>iki 201</w:t>
      </w:r>
      <w:r w:rsidRPr="00C25BD0">
        <w:t>8</w:t>
      </w:r>
      <w:r w:rsidR="00607A29" w:rsidRPr="00C25BD0">
        <w:t xml:space="preserve"> m. </w:t>
      </w:r>
      <w:r w:rsidRPr="00C25BD0">
        <w:t>spalio 31 d</w:t>
      </w:r>
      <w:r w:rsidR="00607A29" w:rsidRPr="00C25BD0">
        <w:t>.</w:t>
      </w:r>
      <w:r w:rsidR="00E966EA" w:rsidRPr="00C25BD0">
        <w:t xml:space="preserve"> </w:t>
      </w:r>
      <w:r w:rsidRPr="00C25BD0">
        <w:t xml:space="preserve">Kartu su </w:t>
      </w:r>
      <w:r w:rsidR="00E966EA" w:rsidRPr="00C25BD0">
        <w:t>projektin</w:t>
      </w:r>
      <w:r w:rsidRPr="00C25BD0">
        <w:t>iais</w:t>
      </w:r>
      <w:r w:rsidR="00E966EA" w:rsidRPr="00C25BD0">
        <w:t xml:space="preserve"> pasiūlym</w:t>
      </w:r>
      <w:r w:rsidRPr="00C25BD0">
        <w:t>ais pareiškėjas turi pateikti:</w:t>
      </w:r>
    </w:p>
    <w:p w14:paraId="37513FC1" w14:textId="77777777" w:rsidR="004E19F6" w:rsidRPr="00C25BD0" w:rsidRDefault="00E966EA" w:rsidP="00C25BD0">
      <w:pPr>
        <w:pStyle w:val="Sraopastraipa"/>
        <w:numPr>
          <w:ilvl w:val="0"/>
          <w:numId w:val="5"/>
        </w:numPr>
        <w:spacing w:line="360" w:lineRule="auto"/>
        <w:ind w:left="0" w:firstLine="851"/>
        <w:jc w:val="both"/>
      </w:pPr>
      <w:r w:rsidRPr="00C25BD0">
        <w:t>Savivaldybės tarybos sprendimą dėl apsisprendimo įgyvendinti p</w:t>
      </w:r>
      <w:r w:rsidR="00264EEB" w:rsidRPr="00C25BD0">
        <w:t>rojektą</w:t>
      </w:r>
      <w:r w:rsidR="00876427" w:rsidRPr="00C25BD0">
        <w:t>;</w:t>
      </w:r>
    </w:p>
    <w:p w14:paraId="43079326" w14:textId="5744B1EC" w:rsidR="00876427" w:rsidRPr="00C25BD0" w:rsidRDefault="004E19F6" w:rsidP="00C25BD0">
      <w:pPr>
        <w:pStyle w:val="Sraopastraipa"/>
        <w:numPr>
          <w:ilvl w:val="0"/>
          <w:numId w:val="5"/>
        </w:numPr>
        <w:spacing w:line="360" w:lineRule="auto"/>
        <w:ind w:left="0" w:firstLine="851"/>
        <w:jc w:val="both"/>
      </w:pPr>
      <w:r w:rsidRPr="00C25BD0">
        <w:t>investicijų projektą, parengt</w:t>
      </w:r>
      <w:r w:rsidR="001C60B4">
        <w:t>ą</w:t>
      </w:r>
      <w:r w:rsidRPr="00C25BD0">
        <w:t xml:space="preserve"> vadovaujantis Investicijų projektų, kuriems siekiama gauti finansavimą iš Europos Sąjungos struktūrinės paramos ir valstybės biudžeto lėšų, rengimo metodika, kuri paskelbta interneto svetainėje www.esinvesticijos.lt; Optimalios projekto įgyvendinimo alternatyvos pasirinkimo kokybės vertinimo metodikos, kuri paskelbta interneto </w:t>
      </w:r>
      <w:r w:rsidRPr="00C25BD0">
        <w:lastRenderedPageBreak/>
        <w:t>svetainėje www.esinvesticijos.lt, reikalavimai investiciniam projektui netaikomi, tačiau investicijų projekte turi būti įvertinta bent viena projekto įgyvendinimo alternatyva.</w:t>
      </w:r>
    </w:p>
    <w:p w14:paraId="14A4EFF3" w14:textId="77777777" w:rsidR="00311EF9" w:rsidRPr="00C25BD0" w:rsidRDefault="00311EF9" w:rsidP="00C25BD0">
      <w:pPr>
        <w:spacing w:line="360" w:lineRule="auto"/>
        <w:ind w:firstLine="851"/>
        <w:jc w:val="both"/>
      </w:pPr>
      <w:r w:rsidRPr="00C25BD0">
        <w:t xml:space="preserve">J. Janonio gatvė Panevėžio mieste – pagrindinė miesto pramoninės zonos susisiekimo arterija, B2 kategorijos gatvė. Gatvė skirta važiuoti ir sunkiajam transportui. Gatvės važiuojamoji dalis – keturių eismo juostų, tačiau šiuo metu gatvės važiuojamojoje dalyje leidžiamas automobilių parkavimas išilgai važiavimo krypties. Tokiu būdu dvi kraštinės eismo juostos yra užpildytos stovinčiais automobiliais, kas ženkliai mažina gatvės pralaidumą ir eismo saugumo reikalavimus. Be to, važiuojamojoje dalyje parkavimo vietų skaičius siekia apie 320 vietų. </w:t>
      </w:r>
    </w:p>
    <w:p w14:paraId="1695FA46" w14:textId="77777777" w:rsidR="00311EF9" w:rsidRPr="00C25BD0" w:rsidRDefault="00311EF9" w:rsidP="00C25BD0">
      <w:pPr>
        <w:spacing w:line="360" w:lineRule="auto"/>
        <w:ind w:firstLine="851"/>
        <w:jc w:val="both"/>
      </w:pPr>
      <w:r w:rsidRPr="00C25BD0">
        <w:t xml:space="preserve">J. Janonio gatvės prieigose yra įsikūrę apie 5,8 proc. visų veikiančių Panevėžio m. įmonių, šiose įmonės dirba apie 3 800 darbuotojų. Į darbą jie atvažiuoja viešuoju transportu, ateina pėsčiomis, atvyksta dviračiais ar nuosavu transportu. Gamybinėse teritorijose trūksta parkavimo vietų darbuotojams, automobiliai yra parkuojami J. Janonio gatvės važiuojamojoje dalyje. Taigi, esamas automobilių parkavimas važiuojamojoje J.Janonio gatvės dalyje ne tik mažina eismo saugumą bei gatvės pralaidumą, tačiau ir blogina esamų verslininkų ir jų darbuotojų darbo sąlygas bei mažina pramoninės zonos Panevėžio m. patrauklumą verslo ir investicijų plėtrai. </w:t>
      </w:r>
    </w:p>
    <w:p w14:paraId="12AEFD5D" w14:textId="77777777" w:rsidR="00311EF9" w:rsidRPr="00C25BD0" w:rsidRDefault="00311EF9" w:rsidP="00C25BD0">
      <w:pPr>
        <w:spacing w:line="360" w:lineRule="auto"/>
        <w:ind w:firstLine="851"/>
        <w:jc w:val="both"/>
      </w:pPr>
      <w:r w:rsidRPr="00C25BD0">
        <w:t xml:space="preserve">Atsižvelgiant į susidariusią problematiką, buvo inicijuotas projektas „J.Janonio gatvės (nuo žiedo iki Savitiškio g.) prieigų sutvarkymas“, kurio tikslas – pagerinti Panevėžio m. pramoninės zonos verslo sąlygas bei viešosios infrastruktūros patrauklumą, atnaujinant bei pritaikant apleistas ir pakankamai neišnaudojamas J. Janonio gatvės prieigas. </w:t>
      </w:r>
    </w:p>
    <w:p w14:paraId="5E3A9986" w14:textId="77777777" w:rsidR="00292DCE" w:rsidRPr="00C25BD0" w:rsidRDefault="00292DCE" w:rsidP="00C25BD0">
      <w:pPr>
        <w:spacing w:line="360" w:lineRule="auto"/>
        <w:ind w:firstLine="360"/>
        <w:jc w:val="both"/>
        <w:rPr>
          <w:rFonts w:eastAsia="Calibri"/>
        </w:rPr>
      </w:pP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3F065B21" w14:textId="77777777" w:rsidR="00E14F26" w:rsidRPr="00C25BD0" w:rsidRDefault="000F6EAA" w:rsidP="00C25BD0">
      <w:pPr>
        <w:tabs>
          <w:tab w:val="left" w:pos="0"/>
        </w:tabs>
        <w:spacing w:line="360" w:lineRule="auto"/>
        <w:ind w:firstLine="851"/>
        <w:jc w:val="both"/>
      </w:pPr>
      <w:r w:rsidRPr="00C25BD0">
        <w:t>Savivaldybės administracija, planuoja įgyvendinti projektą „</w:t>
      </w:r>
      <w:r w:rsidR="00311EF9" w:rsidRPr="00C25BD0">
        <w:t>J.Janonio gatvės (nuo žiedo iki Savitiškio g.) prieigų sutvarkymas</w:t>
      </w:r>
      <w:r w:rsidRPr="00C25BD0">
        <w:t>“</w:t>
      </w:r>
      <w:r w:rsidR="004127D6" w:rsidRPr="00C25BD0">
        <w:t xml:space="preserve"> (toliau – Projektas)</w:t>
      </w:r>
      <w:r w:rsidRPr="00C25BD0">
        <w:t xml:space="preserve">. </w:t>
      </w:r>
      <w:r w:rsidR="00311EF9" w:rsidRPr="00C25BD0">
        <w:t>Projektas įtrauktas į svarbiausius Panevėžio miesto strateginio planavimo dokumentus</w:t>
      </w:r>
      <w:r w:rsidR="00105414" w:rsidRPr="00C25BD0">
        <w:t>:</w:t>
      </w:r>
    </w:p>
    <w:p w14:paraId="71E2C4CC" w14:textId="77777777" w:rsidR="00134410" w:rsidRPr="00C25BD0" w:rsidRDefault="00134410" w:rsidP="00C25BD0">
      <w:pPr>
        <w:pStyle w:val="Sraopastraipa"/>
        <w:numPr>
          <w:ilvl w:val="0"/>
          <w:numId w:val="5"/>
        </w:numPr>
        <w:spacing w:line="360" w:lineRule="auto"/>
        <w:ind w:left="0" w:firstLine="851"/>
        <w:jc w:val="both"/>
      </w:pPr>
      <w:r w:rsidRPr="00C25BD0">
        <w:t>Panevėžio miesto plėtros 2014–2020 m. strateginį planą, patvirtintą Panevėžio miesto savivaldybės tarybos 2013 m. spalio 10 d. sprendimu Nr. 1-280;</w:t>
      </w:r>
    </w:p>
    <w:p w14:paraId="23A4AEB6" w14:textId="77777777" w:rsidR="00134410" w:rsidRPr="00C25BD0" w:rsidRDefault="00134410" w:rsidP="00C25BD0">
      <w:pPr>
        <w:pStyle w:val="Sraopastraipa"/>
        <w:numPr>
          <w:ilvl w:val="0"/>
          <w:numId w:val="5"/>
        </w:numPr>
        <w:spacing w:line="360" w:lineRule="auto"/>
        <w:ind w:left="0" w:firstLine="851"/>
        <w:jc w:val="both"/>
      </w:pPr>
      <w:r w:rsidRPr="00C25BD0">
        <w:t>Panevėžio regiono 2014–2020 m. plėtros planą, patvirtintą Panevėžio regiono plėtros tarybos 2015 m. spalio 15 d. sprendimu Nr. 51/4S-23;</w:t>
      </w:r>
    </w:p>
    <w:p w14:paraId="7FCF4578" w14:textId="77777777" w:rsidR="00134410" w:rsidRPr="00C25BD0" w:rsidRDefault="00134410" w:rsidP="00C25BD0">
      <w:pPr>
        <w:pStyle w:val="Sraopastraipa"/>
        <w:numPr>
          <w:ilvl w:val="0"/>
          <w:numId w:val="5"/>
        </w:numPr>
        <w:spacing w:line="360" w:lineRule="auto"/>
        <w:ind w:left="0" w:firstLine="851"/>
        <w:jc w:val="both"/>
      </w:pPr>
      <w:r w:rsidRPr="00C25BD0">
        <w:t>Panevėžio miesto integruotą teritorijų vystymo programą, patvirtintą Lietuvos Respublikos vidaus reikalų ministro 2016 m. vasario 19 d. įsakymu Nr. 1V-122.</w:t>
      </w:r>
    </w:p>
    <w:p w14:paraId="4DA90620" w14:textId="2C04E9D2" w:rsidR="002D5815" w:rsidRDefault="002B5A69" w:rsidP="00C25BD0">
      <w:pPr>
        <w:tabs>
          <w:tab w:val="left" w:pos="0"/>
        </w:tabs>
        <w:spacing w:line="360" w:lineRule="auto"/>
        <w:ind w:firstLine="851"/>
        <w:jc w:val="both"/>
      </w:pPr>
      <w:r w:rsidRPr="00C25BD0">
        <w:t>Parengtas S</w:t>
      </w:r>
      <w:r w:rsidR="00CE4261" w:rsidRPr="00C25BD0">
        <w:t>avivaldybės tarybos sprendimo projektas</w:t>
      </w:r>
      <w:r w:rsidR="002D5815" w:rsidRPr="00C25BD0">
        <w:t xml:space="preserve"> </w:t>
      </w:r>
      <w:r w:rsidR="00E34D0F" w:rsidRPr="00C25BD0">
        <w:rPr>
          <w:bCs/>
        </w:rPr>
        <w:t>„</w:t>
      </w:r>
      <w:r w:rsidR="00134410" w:rsidRPr="00C25BD0">
        <w:rPr>
          <w:bCs/>
        </w:rPr>
        <w:t xml:space="preserve">Dėl pritarimo teikti projektą „J.Janonio gatvės </w:t>
      </w:r>
      <w:proofErr w:type="gramStart"/>
      <w:r w:rsidR="00134410" w:rsidRPr="00C25BD0">
        <w:rPr>
          <w:bCs/>
        </w:rPr>
        <w:t>(</w:t>
      </w:r>
      <w:proofErr w:type="gramEnd"/>
      <w:r w:rsidR="00134410" w:rsidRPr="00C25BD0">
        <w:rPr>
          <w:bCs/>
        </w:rPr>
        <w:t xml:space="preserve">nuo žiedo iki Savitiškio g.) prieigų sutvarkymas“ Europos Sąjungos fondų investicijoms gauti ir </w:t>
      </w:r>
      <w:r w:rsidR="00134410" w:rsidRPr="00C25BD0">
        <w:t>projekto dalinio finansavimo</w:t>
      </w:r>
      <w:r w:rsidR="00134410" w:rsidRPr="00C25BD0">
        <w:rPr>
          <w:bCs/>
        </w:rPr>
        <w:t>“ kuriuo Savivaldybės Taryba nusprendžia teikti Projektą Europos Sąjungos fondų investicijoms gauti</w:t>
      </w:r>
      <w:r w:rsidR="002D5815" w:rsidRPr="00C25BD0">
        <w:rPr>
          <w:bCs/>
        </w:rPr>
        <w:t>,</w:t>
      </w:r>
      <w:r w:rsidR="002A2E19" w:rsidRPr="00C25BD0">
        <w:t xml:space="preserve"> skirti lėšas projektui dalinai finansuoti, </w:t>
      </w:r>
      <w:r w:rsidR="004127D6" w:rsidRPr="00C25BD0">
        <w:t xml:space="preserve">padengti </w:t>
      </w:r>
      <w:r w:rsidR="00542F1D">
        <w:t xml:space="preserve">tinkamų finansuoti išlaidų dalį, kurios nepadengia projektui skiriamo finansavimo lėšos ir </w:t>
      </w:r>
      <w:r w:rsidR="00542F1D">
        <w:lastRenderedPageBreak/>
        <w:t xml:space="preserve">netinkamas finansuoti, </w:t>
      </w:r>
      <w:r w:rsidR="00542F1D" w:rsidRPr="0011226B">
        <w:t xml:space="preserve">tačiau </w:t>
      </w:r>
      <w:r w:rsidR="00542F1D">
        <w:t>P</w:t>
      </w:r>
      <w:r w:rsidR="00542F1D" w:rsidRPr="0011226B">
        <w:t>rojektui įgyvendinti būtinas išlaidas</w:t>
      </w:r>
      <w:r w:rsidR="00542F1D">
        <w:t>;</w:t>
      </w:r>
      <w:r w:rsidR="00891F8B" w:rsidRPr="00C25BD0">
        <w:t xml:space="preserve"> </w:t>
      </w:r>
      <w:r w:rsidR="00D55973" w:rsidRPr="00C25BD0">
        <w:t xml:space="preserve">Savivaldybės tarybai pritarus, </w:t>
      </w:r>
      <w:r w:rsidR="00CC6D07" w:rsidRPr="00C25BD0">
        <w:t xml:space="preserve">projektinis pasiūlymas bus teikiamas </w:t>
      </w:r>
      <w:r w:rsidR="00D55973" w:rsidRPr="00C25BD0">
        <w:t>Pa</w:t>
      </w:r>
      <w:r w:rsidR="00CC6D07" w:rsidRPr="00C25BD0">
        <w:t>nevėžio regiono plėtros tarybai.</w:t>
      </w:r>
    </w:p>
    <w:p w14:paraId="43BD637C" w14:textId="77777777" w:rsidR="006748DD" w:rsidRPr="00C25BD0" w:rsidRDefault="006748DD" w:rsidP="00C25BD0">
      <w:pPr>
        <w:tabs>
          <w:tab w:val="left" w:pos="0"/>
        </w:tabs>
        <w:spacing w:line="360" w:lineRule="auto"/>
        <w:ind w:firstLine="851"/>
        <w:jc w:val="both"/>
      </w:pPr>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3FA2CD52" w14:textId="77777777" w:rsidR="00EB65FA" w:rsidRPr="00C25BD0" w:rsidRDefault="00EB65FA" w:rsidP="00C25BD0">
      <w:pPr>
        <w:tabs>
          <w:tab w:val="left" w:pos="0"/>
        </w:tabs>
        <w:spacing w:line="360" w:lineRule="auto"/>
        <w:ind w:firstLine="709"/>
        <w:jc w:val="both"/>
      </w:pPr>
      <w:r w:rsidRPr="00C25BD0">
        <w:t xml:space="preserve">Vadovaujantis strateginio planavimo dokumentais ir paruoštu investicijų projektu numatoma Projekto įgyvenimo pradžia – 2016 metai. </w:t>
      </w:r>
      <w:r w:rsidR="005E4165" w:rsidRPr="00C25BD0">
        <w:t>Iš ES lėšų bendrai finansuojamo veiksmo įgyvendinimo pradžia laikoma veiksmą įgyvendinančio projekto finansavimo sutarties pasirašymo data, veiksmo įgyvendinimo pabaiga laikomas šio projekto galutinės ataskaitos patvirtinimas Lietuvos Respublikos finansų ministerijos nustatyta tvarka.</w:t>
      </w:r>
    </w:p>
    <w:p w14:paraId="63AB95CF" w14:textId="77777777" w:rsidR="004127D6" w:rsidRPr="00C25BD0" w:rsidRDefault="004127D6" w:rsidP="00C25BD0">
      <w:pPr>
        <w:tabs>
          <w:tab w:val="left" w:pos="0"/>
        </w:tabs>
        <w:spacing w:line="360" w:lineRule="auto"/>
        <w:ind w:firstLine="709"/>
        <w:jc w:val="both"/>
      </w:pPr>
      <w:r w:rsidRPr="00C25BD0">
        <w:t>Projekto poveikis (nauda Panevėžio miesto gyventojams bei verslo subjektams):</w:t>
      </w:r>
    </w:p>
    <w:p w14:paraId="489F09EE" w14:textId="77777777" w:rsidR="004127D6" w:rsidRPr="00C25BD0" w:rsidRDefault="004127D6" w:rsidP="00C25BD0">
      <w:pPr>
        <w:pStyle w:val="Sraopastraipa"/>
        <w:numPr>
          <w:ilvl w:val="0"/>
          <w:numId w:val="5"/>
        </w:numPr>
        <w:spacing w:line="360" w:lineRule="auto"/>
        <w:ind w:left="0" w:firstLine="851"/>
        <w:jc w:val="both"/>
      </w:pPr>
      <w:r w:rsidRPr="00C25BD0">
        <w:t>pagerės Panevėžio miesto įvaizdis;</w:t>
      </w:r>
    </w:p>
    <w:p w14:paraId="184CC03D" w14:textId="77777777" w:rsidR="004127D6" w:rsidRPr="00C25BD0" w:rsidRDefault="004127D6" w:rsidP="00C25BD0">
      <w:pPr>
        <w:pStyle w:val="Sraopastraipa"/>
        <w:numPr>
          <w:ilvl w:val="0"/>
          <w:numId w:val="5"/>
        </w:numPr>
        <w:spacing w:line="360" w:lineRule="auto"/>
        <w:ind w:left="0" w:firstLine="851"/>
        <w:jc w:val="both"/>
      </w:pPr>
      <w:r w:rsidRPr="00C25BD0">
        <w:t>išaugs Panevėžio miesto gyventojų ir svečių saugumas;</w:t>
      </w:r>
    </w:p>
    <w:p w14:paraId="5377904B" w14:textId="77777777" w:rsidR="004127D6" w:rsidRPr="00C25BD0" w:rsidRDefault="004127D6" w:rsidP="00C25BD0">
      <w:pPr>
        <w:pStyle w:val="Sraopastraipa"/>
        <w:numPr>
          <w:ilvl w:val="0"/>
          <w:numId w:val="5"/>
        </w:numPr>
        <w:spacing w:line="360" w:lineRule="auto"/>
        <w:ind w:left="0" w:firstLine="851"/>
        <w:jc w:val="both"/>
      </w:pPr>
      <w:r w:rsidRPr="00C25BD0">
        <w:t>padidės darbo vietų pasiekiamumo galimybės Panevėžio mieste;</w:t>
      </w:r>
    </w:p>
    <w:p w14:paraId="2CE76690" w14:textId="77777777" w:rsidR="00C25BD0" w:rsidRPr="00C25BD0" w:rsidRDefault="004127D6" w:rsidP="00C25BD0">
      <w:pPr>
        <w:pStyle w:val="Sraopastraipa"/>
        <w:numPr>
          <w:ilvl w:val="0"/>
          <w:numId w:val="5"/>
        </w:numPr>
        <w:spacing w:line="360" w:lineRule="auto"/>
        <w:ind w:left="0" w:firstLine="851"/>
        <w:jc w:val="both"/>
      </w:pPr>
      <w:r w:rsidRPr="00C25BD0">
        <w:t>padidės investicinės aplinkos patrauklumas vietos verslininkams bei potencialiems investuotojams.</w:t>
      </w:r>
    </w:p>
    <w:p w14:paraId="44566992" w14:textId="77777777" w:rsidR="00C25BD0" w:rsidRPr="00C25BD0" w:rsidRDefault="00C25BD0" w:rsidP="00C25BD0">
      <w:pPr>
        <w:tabs>
          <w:tab w:val="left" w:pos="0"/>
        </w:tabs>
        <w:spacing w:line="360" w:lineRule="auto"/>
        <w:ind w:firstLine="709"/>
        <w:jc w:val="both"/>
      </w:pPr>
      <w:r w:rsidRPr="00C25BD0">
        <w:t>Įgyvendinus projektą, planuojami atitinkami kiekybiniai rezultatai:</w:t>
      </w:r>
    </w:p>
    <w:p w14:paraId="421CD5EA" w14:textId="77777777" w:rsidR="00C25BD0" w:rsidRPr="00C25BD0" w:rsidRDefault="00C25BD0" w:rsidP="00C25BD0">
      <w:pPr>
        <w:pStyle w:val="Sraopastraipa"/>
        <w:numPr>
          <w:ilvl w:val="0"/>
          <w:numId w:val="5"/>
        </w:numPr>
        <w:spacing w:line="360" w:lineRule="auto"/>
        <w:ind w:left="0" w:firstLine="851"/>
        <w:jc w:val="both"/>
      </w:pPr>
      <w:r w:rsidRPr="00C25BD0">
        <w:t>Rekonstruotų pėsčiųjų-dviračių takų plotas – apie 8500 m</w:t>
      </w:r>
      <w:r w:rsidRPr="00C25BD0">
        <w:rPr>
          <w:vertAlign w:val="superscript"/>
        </w:rPr>
        <w:t>2</w:t>
      </w:r>
      <w:r w:rsidRPr="00C25BD0">
        <w:t>;</w:t>
      </w:r>
    </w:p>
    <w:p w14:paraId="67473D9C" w14:textId="77777777" w:rsidR="00C25BD0" w:rsidRPr="00C25BD0" w:rsidRDefault="00C25BD0" w:rsidP="00C25BD0">
      <w:pPr>
        <w:pStyle w:val="Sraopastraipa"/>
        <w:numPr>
          <w:ilvl w:val="0"/>
          <w:numId w:val="5"/>
        </w:numPr>
        <w:spacing w:line="360" w:lineRule="auto"/>
        <w:ind w:left="0" w:firstLine="851"/>
        <w:jc w:val="both"/>
      </w:pPr>
      <w:r w:rsidRPr="00C25BD0">
        <w:t>Įrengtų automobilių stovėjimo aikštelių plotas – apie 5005 m</w:t>
      </w:r>
      <w:r w:rsidRPr="00C25BD0">
        <w:rPr>
          <w:vertAlign w:val="superscript"/>
        </w:rPr>
        <w:t>2</w:t>
      </w:r>
      <w:r w:rsidRPr="00C25BD0">
        <w:t>;</w:t>
      </w:r>
    </w:p>
    <w:p w14:paraId="33136E14" w14:textId="77777777" w:rsidR="00C25BD0" w:rsidRPr="00C25BD0" w:rsidRDefault="00C25BD0" w:rsidP="00C25BD0">
      <w:pPr>
        <w:pStyle w:val="Sraopastraipa"/>
        <w:numPr>
          <w:ilvl w:val="0"/>
          <w:numId w:val="5"/>
        </w:numPr>
        <w:spacing w:line="360" w:lineRule="auto"/>
        <w:ind w:left="0" w:firstLine="851"/>
        <w:jc w:val="both"/>
      </w:pPr>
      <w:r w:rsidRPr="00C25BD0">
        <w:t>Įrengtas pėsčiųjų-dviračių takas nuo J.Janonio gatvės pro Plukių gatvę iki pėsčiųjų tilto – ~ 945 m</w:t>
      </w:r>
      <w:r w:rsidRPr="00C25BD0">
        <w:rPr>
          <w:vertAlign w:val="superscript"/>
        </w:rPr>
        <w:t>2</w:t>
      </w:r>
      <w:r w:rsidRPr="00C25BD0">
        <w:t>;</w:t>
      </w:r>
    </w:p>
    <w:p w14:paraId="0B72B808" w14:textId="77777777" w:rsidR="00C25BD0" w:rsidRPr="00C25BD0" w:rsidRDefault="00C25BD0" w:rsidP="00C25BD0">
      <w:pPr>
        <w:pStyle w:val="Sraopastraipa"/>
        <w:numPr>
          <w:ilvl w:val="0"/>
          <w:numId w:val="5"/>
        </w:numPr>
        <w:spacing w:line="360" w:lineRule="auto"/>
        <w:ind w:left="0" w:firstLine="851"/>
        <w:jc w:val="both"/>
      </w:pPr>
      <w:r w:rsidRPr="00C25BD0">
        <w:t>Įrengta poilsio aikštelė – 110 m</w:t>
      </w:r>
      <w:r w:rsidRPr="00C25BD0">
        <w:rPr>
          <w:vertAlign w:val="superscript"/>
        </w:rPr>
        <w:t>2</w:t>
      </w:r>
      <w:r w:rsidRPr="00C25BD0">
        <w:t>;</w:t>
      </w:r>
    </w:p>
    <w:p w14:paraId="4B0AB850" w14:textId="77777777" w:rsidR="00C25BD0" w:rsidRPr="00C25BD0" w:rsidRDefault="00C25BD0" w:rsidP="00C25BD0">
      <w:pPr>
        <w:pStyle w:val="Sraopastraipa"/>
        <w:numPr>
          <w:ilvl w:val="0"/>
          <w:numId w:val="5"/>
        </w:numPr>
        <w:spacing w:line="360" w:lineRule="auto"/>
        <w:ind w:left="0" w:firstLine="851"/>
        <w:jc w:val="both"/>
      </w:pPr>
      <w:r w:rsidRPr="00C25BD0">
        <w:t>Atnaujintas ir įrengtas apšvietimas – iš viso 84 šviestuvai.</w:t>
      </w:r>
    </w:p>
    <w:p w14:paraId="754DB1BF" w14:textId="77777777" w:rsidR="00C25BD0" w:rsidRPr="00C25BD0" w:rsidRDefault="00C25BD0" w:rsidP="00C25BD0">
      <w:pPr>
        <w:pStyle w:val="Sraopastraipa"/>
        <w:numPr>
          <w:ilvl w:val="0"/>
          <w:numId w:val="5"/>
        </w:numPr>
        <w:spacing w:line="360" w:lineRule="auto"/>
        <w:ind w:left="0" w:firstLine="851"/>
        <w:jc w:val="both"/>
      </w:pPr>
      <w:r w:rsidRPr="00C25BD0">
        <w:t xml:space="preserve">Atnaujintos autobusų stovėjimo aikštelės – iš viso 8 vnt. </w:t>
      </w:r>
    </w:p>
    <w:p w14:paraId="40A8E0AD" w14:textId="77777777" w:rsidR="00C25BD0" w:rsidRPr="00C25BD0" w:rsidRDefault="00C25BD0" w:rsidP="00C25BD0">
      <w:pPr>
        <w:pStyle w:val="Sraopastraipa"/>
        <w:numPr>
          <w:ilvl w:val="0"/>
          <w:numId w:val="5"/>
        </w:numPr>
        <w:spacing w:line="360" w:lineRule="auto"/>
        <w:ind w:left="0" w:firstLine="851"/>
        <w:jc w:val="both"/>
      </w:pPr>
      <w:r w:rsidRPr="00C25BD0">
        <w:t>Atnaujinti želdynai (pašalinti seni medžiai, pasodinti nauji želdiniai).</w:t>
      </w:r>
    </w:p>
    <w:p w14:paraId="29C02318" w14:textId="77777777" w:rsidR="00C25BD0" w:rsidRPr="00C25BD0" w:rsidRDefault="00C25BD0" w:rsidP="00C25BD0">
      <w:pPr>
        <w:pStyle w:val="Sraopastraipa"/>
        <w:numPr>
          <w:ilvl w:val="0"/>
          <w:numId w:val="5"/>
        </w:numPr>
        <w:spacing w:line="360" w:lineRule="auto"/>
        <w:ind w:left="0" w:firstLine="851"/>
        <w:jc w:val="both"/>
      </w:pPr>
      <w:r w:rsidRPr="00C25BD0">
        <w:t>Atnaujinta ir įrengta nauja mažoji architektūra.</w:t>
      </w:r>
    </w:p>
    <w:p w14:paraId="4B0F05D1" w14:textId="77777777" w:rsidR="00C25BD0" w:rsidRPr="00C25BD0" w:rsidRDefault="00C25BD0" w:rsidP="00C25BD0">
      <w:pPr>
        <w:spacing w:line="360" w:lineRule="auto"/>
        <w:jc w:val="both"/>
      </w:pPr>
    </w:p>
    <w:p w14:paraId="1A5F0250" w14:textId="77777777" w:rsidR="005E4165" w:rsidRPr="00C25BD0" w:rsidRDefault="00CE4261" w:rsidP="00C25BD0">
      <w:pPr>
        <w:numPr>
          <w:ilvl w:val="0"/>
          <w:numId w:val="3"/>
        </w:numPr>
        <w:spacing w:line="360" w:lineRule="auto"/>
        <w:jc w:val="both"/>
        <w:rPr>
          <w:b/>
          <w:vanish/>
        </w:rPr>
      </w:pPr>
      <w:r w:rsidRPr="00C25BD0">
        <w:rPr>
          <w:b/>
        </w:rPr>
        <w:t>Skaičiavimai, išlaidų sąmatos, finansavimo šaltiniai:</w:t>
      </w:r>
    </w:p>
    <w:p w14:paraId="49E8734E" w14:textId="77777777" w:rsidR="00C25BD0" w:rsidRPr="00C25BD0" w:rsidRDefault="005E4165" w:rsidP="00C25BD0">
      <w:pPr>
        <w:pStyle w:val="Default"/>
        <w:spacing w:line="360" w:lineRule="auto"/>
        <w:ind w:firstLine="709"/>
        <w:jc w:val="both"/>
        <w:rPr>
          <w:bCs/>
        </w:rPr>
      </w:pPr>
      <w:r w:rsidRPr="00C25BD0">
        <w:rPr>
          <w:rFonts w:eastAsia="Times New Roman"/>
          <w:color w:val="auto"/>
        </w:rPr>
        <w:t xml:space="preserve">Pagal Priemonę </w:t>
      </w:r>
      <w:r w:rsidR="009A5834" w:rsidRPr="00C25BD0">
        <w:rPr>
          <w:rFonts w:eastAsia="Times New Roman"/>
          <w:color w:val="auto"/>
        </w:rPr>
        <w:t xml:space="preserve">Panevėžio </w:t>
      </w:r>
      <w:r w:rsidR="00501AD3" w:rsidRPr="00C25BD0">
        <w:rPr>
          <w:rFonts w:eastAsia="Times New Roman"/>
          <w:color w:val="auto"/>
        </w:rPr>
        <w:t>miestui numatyta</w:t>
      </w:r>
      <w:r w:rsidR="009A5834" w:rsidRPr="00C25BD0">
        <w:rPr>
          <w:rFonts w:eastAsia="Times New Roman"/>
          <w:color w:val="auto"/>
        </w:rPr>
        <w:t xml:space="preserve"> skirti </w:t>
      </w:r>
      <w:r w:rsidRPr="00C25BD0">
        <w:rPr>
          <w:rFonts w:eastAsia="Times New Roman"/>
          <w:color w:val="auto"/>
        </w:rPr>
        <w:t xml:space="preserve">19.867.933 </w:t>
      </w:r>
      <w:r w:rsidR="009A5834" w:rsidRPr="00C25BD0">
        <w:t>Eur Europos Sąjungos fondų lėšų.</w:t>
      </w:r>
      <w:r w:rsidRPr="00C25BD0">
        <w:t xml:space="preserve"> Už skiriamą finansavimą Panevėžio miesto savivaldybės taryba 2014 </w:t>
      </w:r>
      <w:r w:rsidR="00E421BD" w:rsidRPr="00C25BD0">
        <w:t>m. kovo 27 d. sprendimu Nr. 1-74 nusprendė įgyvendinti 13 projektų, vėliau, 2014 m. lapkričio 27 d. sprendimu Nr. 1-340</w:t>
      </w:r>
      <w:r w:rsidR="007010AF" w:rsidRPr="00C25BD0">
        <w:t xml:space="preserve"> </w:t>
      </w:r>
      <w:r w:rsidR="00E421BD" w:rsidRPr="00C25BD0">
        <w:t>buvo įtrauktas ir projektas „</w:t>
      </w:r>
      <w:r w:rsidR="00E421BD" w:rsidRPr="00C25BD0">
        <w:rPr>
          <w:bCs/>
        </w:rPr>
        <w:t>J.Janonio gatvės (nuo žiedo iki Savitiškio g.) prieigų sutvarkymas“.</w:t>
      </w:r>
    </w:p>
    <w:p w14:paraId="759C52AC" w14:textId="286207A5" w:rsidR="00E421BD" w:rsidRPr="00C25BD0" w:rsidRDefault="00327D6D" w:rsidP="00C25BD0">
      <w:pPr>
        <w:pStyle w:val="Default"/>
        <w:spacing w:line="360" w:lineRule="auto"/>
        <w:ind w:firstLine="709"/>
        <w:jc w:val="both"/>
      </w:pPr>
      <w:r w:rsidRPr="00C25BD0">
        <w:t>Vadovaujantis</w:t>
      </w:r>
      <w:r w:rsidR="00E421BD" w:rsidRPr="00C25BD0">
        <w:t xml:space="preserve"> 2014–2020 metų Europos Sąjungos fondų investicijų veiksmų programos 7 prioriteto „Kokybiško užimtumo ir dalyvavimo darbo rinkoje skatinimas“ Nr. 07.1.1-CPVA-R-904 priemonės „Didžiųjų miestų kompleksinė plėtra“ projektų finansavimo sąlygų aprašo, patvirtinto Lietuvos Respublikos vidaus reikalų ministro 2015 m. gruodžio 10 d. įsakymu Nr. 1V-989, 30 punktu „Didžiausia galima projekto finansuojamoji dalis sudaro 92,5 proc. visų tinkamų finansuoti </w:t>
      </w:r>
      <w:r w:rsidR="00E421BD" w:rsidRPr="00C25BD0">
        <w:lastRenderedPageBreak/>
        <w:t>projekto išlaidų, išskyrus Aprašo 31 punkte nurodytas išimtis. Pareiškėjas privalo prisidėti prie projekto finansavimo ne mažiau nei 7,5 proc. visų tinkamų fina</w:t>
      </w:r>
      <w:r w:rsidR="00542F1D">
        <w:t>nsuoti projekto išlaidų...“</w:t>
      </w:r>
    </w:p>
    <w:p w14:paraId="091C7A70" w14:textId="77777777" w:rsidR="00E421BD" w:rsidRDefault="00E421BD" w:rsidP="00156131">
      <w:pPr>
        <w:jc w:val="both"/>
        <w:rPr>
          <w:sz w:val="23"/>
          <w:szCs w:val="23"/>
        </w:rPr>
      </w:pPr>
    </w:p>
    <w:tbl>
      <w:tblPr>
        <w:tblW w:w="5000" w:type="pct"/>
        <w:tblLook w:val="04A0" w:firstRow="1" w:lastRow="0" w:firstColumn="1" w:lastColumn="0" w:noHBand="0" w:noVBand="1"/>
      </w:tblPr>
      <w:tblGrid>
        <w:gridCol w:w="998"/>
        <w:gridCol w:w="1062"/>
        <w:gridCol w:w="1029"/>
        <w:gridCol w:w="887"/>
        <w:gridCol w:w="898"/>
        <w:gridCol w:w="659"/>
        <w:gridCol w:w="790"/>
        <w:gridCol w:w="991"/>
        <w:gridCol w:w="991"/>
        <w:gridCol w:w="775"/>
        <w:gridCol w:w="775"/>
      </w:tblGrid>
      <w:tr w:rsidR="00E421BD" w14:paraId="148F8B69" w14:textId="77777777" w:rsidTr="00E421BD">
        <w:trPr>
          <w:trHeight w:val="1275"/>
        </w:trPr>
        <w:tc>
          <w:tcPr>
            <w:tcW w:w="611"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2491C82C" w14:textId="77777777" w:rsidR="00E421BD" w:rsidRDefault="00E421BD">
            <w:pPr>
              <w:jc w:val="center"/>
              <w:rPr>
                <w:b/>
                <w:bCs/>
                <w:color w:val="000000"/>
                <w:sz w:val="20"/>
                <w:szCs w:val="20"/>
              </w:rPr>
            </w:pPr>
            <w:r>
              <w:rPr>
                <w:b/>
                <w:bCs/>
                <w:color w:val="000000"/>
                <w:sz w:val="20"/>
                <w:szCs w:val="20"/>
              </w:rPr>
              <w:t>Projekto pavadinimas</w:t>
            </w:r>
          </w:p>
        </w:tc>
        <w:tc>
          <w:tcPr>
            <w:tcW w:w="426" w:type="pct"/>
            <w:tcBorders>
              <w:top w:val="single" w:sz="8" w:space="0" w:color="auto"/>
              <w:left w:val="nil"/>
              <w:bottom w:val="single" w:sz="4" w:space="0" w:color="auto"/>
              <w:right w:val="single" w:sz="4" w:space="0" w:color="auto"/>
            </w:tcBorders>
            <w:shd w:val="clear" w:color="000000" w:fill="D9D9D9"/>
            <w:vAlign w:val="center"/>
            <w:hideMark/>
          </w:tcPr>
          <w:p w14:paraId="07B8FD48" w14:textId="77777777" w:rsidR="00E421BD" w:rsidRDefault="007010AF">
            <w:pPr>
              <w:jc w:val="center"/>
              <w:rPr>
                <w:b/>
                <w:bCs/>
                <w:color w:val="000000"/>
                <w:sz w:val="20"/>
                <w:szCs w:val="20"/>
              </w:rPr>
            </w:pPr>
            <w:r>
              <w:rPr>
                <w:b/>
                <w:bCs/>
                <w:color w:val="000000"/>
                <w:sz w:val="20"/>
                <w:szCs w:val="20"/>
              </w:rPr>
              <w:t>Įgyvendinimo</w:t>
            </w:r>
            <w:r w:rsidR="00E421BD">
              <w:rPr>
                <w:b/>
                <w:bCs/>
                <w:color w:val="000000"/>
                <w:sz w:val="20"/>
                <w:szCs w:val="20"/>
              </w:rPr>
              <w:t xml:space="preserve"> laikotarpis</w:t>
            </w:r>
          </w:p>
        </w:tc>
        <w:tc>
          <w:tcPr>
            <w:tcW w:w="468" w:type="pct"/>
            <w:tcBorders>
              <w:top w:val="single" w:sz="8" w:space="0" w:color="auto"/>
              <w:left w:val="nil"/>
              <w:bottom w:val="single" w:sz="4" w:space="0" w:color="auto"/>
              <w:right w:val="single" w:sz="4" w:space="0" w:color="auto"/>
            </w:tcBorders>
            <w:shd w:val="clear" w:color="000000" w:fill="D9D9D9"/>
            <w:vAlign w:val="center"/>
            <w:hideMark/>
          </w:tcPr>
          <w:p w14:paraId="5ED95699" w14:textId="77777777" w:rsidR="00E421BD" w:rsidRDefault="00E421BD">
            <w:pPr>
              <w:jc w:val="center"/>
              <w:rPr>
                <w:b/>
                <w:bCs/>
                <w:color w:val="000000"/>
                <w:sz w:val="20"/>
                <w:szCs w:val="20"/>
              </w:rPr>
            </w:pPr>
            <w:r>
              <w:rPr>
                <w:b/>
                <w:bCs/>
                <w:color w:val="000000"/>
                <w:sz w:val="20"/>
                <w:szCs w:val="20"/>
              </w:rPr>
              <w:t>Pareiškėjas</w:t>
            </w:r>
          </w:p>
        </w:tc>
        <w:tc>
          <w:tcPr>
            <w:tcW w:w="399" w:type="pct"/>
            <w:tcBorders>
              <w:top w:val="single" w:sz="8" w:space="0" w:color="auto"/>
              <w:left w:val="nil"/>
              <w:bottom w:val="single" w:sz="4" w:space="0" w:color="auto"/>
              <w:right w:val="single" w:sz="4" w:space="0" w:color="auto"/>
            </w:tcBorders>
            <w:shd w:val="clear" w:color="000000" w:fill="D9D9D9"/>
            <w:vAlign w:val="center"/>
            <w:hideMark/>
          </w:tcPr>
          <w:p w14:paraId="52DC0233" w14:textId="77777777" w:rsidR="00E421BD" w:rsidRDefault="007010AF">
            <w:pPr>
              <w:jc w:val="center"/>
              <w:rPr>
                <w:b/>
                <w:bCs/>
                <w:color w:val="000000"/>
                <w:sz w:val="20"/>
                <w:szCs w:val="20"/>
              </w:rPr>
            </w:pPr>
            <w:r>
              <w:rPr>
                <w:b/>
                <w:bCs/>
                <w:color w:val="000000"/>
                <w:sz w:val="20"/>
                <w:szCs w:val="20"/>
              </w:rPr>
              <w:t>Atsakinga</w:t>
            </w:r>
            <w:r w:rsidR="00E421BD">
              <w:rPr>
                <w:b/>
                <w:bCs/>
                <w:color w:val="000000"/>
                <w:sz w:val="20"/>
                <w:szCs w:val="20"/>
              </w:rPr>
              <w:t xml:space="preserve"> ministerija</w:t>
            </w:r>
          </w:p>
        </w:tc>
        <w:tc>
          <w:tcPr>
            <w:tcW w:w="506" w:type="pct"/>
            <w:tcBorders>
              <w:top w:val="single" w:sz="8" w:space="0" w:color="auto"/>
              <w:left w:val="nil"/>
              <w:bottom w:val="single" w:sz="4" w:space="0" w:color="auto"/>
              <w:right w:val="single" w:sz="4" w:space="0" w:color="auto"/>
            </w:tcBorders>
            <w:shd w:val="clear" w:color="000000" w:fill="D9D9D9"/>
            <w:vAlign w:val="center"/>
            <w:hideMark/>
          </w:tcPr>
          <w:p w14:paraId="5D4D3777" w14:textId="77777777" w:rsidR="00E421BD" w:rsidRDefault="00E421BD">
            <w:pPr>
              <w:jc w:val="center"/>
              <w:rPr>
                <w:b/>
                <w:bCs/>
                <w:color w:val="000000"/>
                <w:sz w:val="20"/>
                <w:szCs w:val="20"/>
              </w:rPr>
            </w:pPr>
            <w:r>
              <w:rPr>
                <w:b/>
                <w:bCs/>
                <w:color w:val="000000"/>
                <w:sz w:val="20"/>
                <w:szCs w:val="20"/>
              </w:rPr>
              <w:t>Viso projekto vertė</w:t>
            </w:r>
          </w:p>
        </w:tc>
        <w:tc>
          <w:tcPr>
            <w:tcW w:w="340" w:type="pct"/>
            <w:tcBorders>
              <w:top w:val="single" w:sz="8" w:space="0" w:color="auto"/>
              <w:left w:val="nil"/>
              <w:bottom w:val="single" w:sz="4" w:space="0" w:color="auto"/>
              <w:right w:val="single" w:sz="4" w:space="0" w:color="auto"/>
            </w:tcBorders>
            <w:shd w:val="clear" w:color="000000" w:fill="D9D9D9"/>
            <w:vAlign w:val="center"/>
            <w:hideMark/>
          </w:tcPr>
          <w:p w14:paraId="7655C15F" w14:textId="77777777" w:rsidR="00E421BD" w:rsidRDefault="00E421BD">
            <w:pPr>
              <w:jc w:val="center"/>
              <w:rPr>
                <w:b/>
                <w:bCs/>
                <w:color w:val="000000"/>
                <w:sz w:val="20"/>
                <w:szCs w:val="20"/>
              </w:rPr>
            </w:pPr>
            <w:r>
              <w:rPr>
                <w:b/>
                <w:bCs/>
                <w:color w:val="000000"/>
                <w:sz w:val="20"/>
                <w:szCs w:val="20"/>
              </w:rPr>
              <w:t xml:space="preserve">Iš jų </w:t>
            </w:r>
            <w:r w:rsidR="007010AF">
              <w:rPr>
                <w:b/>
                <w:bCs/>
                <w:color w:val="000000"/>
                <w:sz w:val="20"/>
                <w:szCs w:val="20"/>
              </w:rPr>
              <w:t>ES.</w:t>
            </w:r>
            <w:r>
              <w:rPr>
                <w:b/>
                <w:bCs/>
                <w:color w:val="000000"/>
                <w:sz w:val="20"/>
                <w:szCs w:val="20"/>
              </w:rPr>
              <w:t xml:space="preserve"> lėšos (proc.)</w:t>
            </w:r>
          </w:p>
        </w:tc>
        <w:tc>
          <w:tcPr>
            <w:tcW w:w="460" w:type="pct"/>
            <w:tcBorders>
              <w:top w:val="single" w:sz="8" w:space="0" w:color="auto"/>
              <w:left w:val="nil"/>
              <w:bottom w:val="single" w:sz="4" w:space="0" w:color="auto"/>
              <w:right w:val="single" w:sz="4" w:space="0" w:color="auto"/>
            </w:tcBorders>
            <w:shd w:val="clear" w:color="000000" w:fill="D9D9D9"/>
            <w:vAlign w:val="center"/>
            <w:hideMark/>
          </w:tcPr>
          <w:p w14:paraId="52E83DFD" w14:textId="77777777" w:rsidR="00E421BD" w:rsidRDefault="00E421BD">
            <w:pPr>
              <w:jc w:val="center"/>
              <w:rPr>
                <w:b/>
                <w:bCs/>
                <w:color w:val="000000"/>
                <w:sz w:val="20"/>
                <w:szCs w:val="20"/>
              </w:rPr>
            </w:pPr>
            <w:r>
              <w:rPr>
                <w:b/>
                <w:bCs/>
                <w:color w:val="000000"/>
                <w:sz w:val="20"/>
                <w:szCs w:val="20"/>
              </w:rPr>
              <w:t xml:space="preserve">Iš jų </w:t>
            </w:r>
            <w:r w:rsidR="007010AF">
              <w:rPr>
                <w:b/>
                <w:bCs/>
                <w:color w:val="000000"/>
                <w:sz w:val="20"/>
                <w:szCs w:val="20"/>
              </w:rPr>
              <w:t>ES</w:t>
            </w:r>
            <w:r>
              <w:rPr>
                <w:b/>
                <w:bCs/>
                <w:color w:val="000000"/>
                <w:sz w:val="20"/>
                <w:szCs w:val="20"/>
              </w:rPr>
              <w:t xml:space="preserve"> lėšos </w:t>
            </w:r>
          </w:p>
        </w:tc>
        <w:tc>
          <w:tcPr>
            <w:tcW w:w="449" w:type="pct"/>
            <w:tcBorders>
              <w:top w:val="single" w:sz="8" w:space="0" w:color="auto"/>
              <w:left w:val="nil"/>
              <w:bottom w:val="single" w:sz="4" w:space="0" w:color="auto"/>
              <w:right w:val="single" w:sz="4" w:space="0" w:color="auto"/>
            </w:tcBorders>
            <w:shd w:val="clear" w:color="000000" w:fill="D9D9D9"/>
            <w:vAlign w:val="center"/>
            <w:hideMark/>
          </w:tcPr>
          <w:p w14:paraId="329F0314" w14:textId="77777777" w:rsidR="00E421BD" w:rsidRDefault="00E421BD">
            <w:pPr>
              <w:jc w:val="center"/>
              <w:rPr>
                <w:b/>
                <w:bCs/>
                <w:color w:val="000000"/>
                <w:sz w:val="20"/>
                <w:szCs w:val="20"/>
              </w:rPr>
            </w:pPr>
            <w:r>
              <w:rPr>
                <w:b/>
                <w:bCs/>
                <w:color w:val="000000"/>
                <w:sz w:val="20"/>
                <w:szCs w:val="20"/>
              </w:rPr>
              <w:t>Iš jų savivaldybės biudžeto lėšos (proc.)</w:t>
            </w:r>
          </w:p>
        </w:tc>
        <w:tc>
          <w:tcPr>
            <w:tcW w:w="489" w:type="pct"/>
            <w:tcBorders>
              <w:top w:val="single" w:sz="8" w:space="0" w:color="auto"/>
              <w:left w:val="nil"/>
              <w:bottom w:val="single" w:sz="4" w:space="0" w:color="auto"/>
              <w:right w:val="single" w:sz="4" w:space="0" w:color="auto"/>
            </w:tcBorders>
            <w:shd w:val="clear" w:color="000000" w:fill="D9D9D9"/>
            <w:vAlign w:val="center"/>
            <w:hideMark/>
          </w:tcPr>
          <w:p w14:paraId="1945ECE3" w14:textId="77777777" w:rsidR="00E421BD" w:rsidRDefault="00E421BD">
            <w:pPr>
              <w:jc w:val="center"/>
              <w:rPr>
                <w:b/>
                <w:bCs/>
                <w:color w:val="000000"/>
                <w:sz w:val="20"/>
                <w:szCs w:val="20"/>
              </w:rPr>
            </w:pPr>
            <w:r>
              <w:rPr>
                <w:b/>
                <w:bCs/>
                <w:color w:val="000000"/>
                <w:sz w:val="20"/>
                <w:szCs w:val="20"/>
              </w:rPr>
              <w:t xml:space="preserve">Iš jų savivaldybės biudžeto lėšos </w:t>
            </w:r>
          </w:p>
        </w:tc>
        <w:tc>
          <w:tcPr>
            <w:tcW w:w="395" w:type="pct"/>
            <w:tcBorders>
              <w:top w:val="single" w:sz="8" w:space="0" w:color="auto"/>
              <w:left w:val="nil"/>
              <w:bottom w:val="single" w:sz="4" w:space="0" w:color="auto"/>
              <w:right w:val="single" w:sz="4" w:space="0" w:color="auto"/>
            </w:tcBorders>
            <w:shd w:val="clear" w:color="000000" w:fill="D9D9D9"/>
            <w:vAlign w:val="center"/>
            <w:hideMark/>
          </w:tcPr>
          <w:p w14:paraId="2A9D730B" w14:textId="77777777" w:rsidR="00E421BD" w:rsidRDefault="00E421BD">
            <w:pPr>
              <w:jc w:val="center"/>
              <w:rPr>
                <w:b/>
                <w:bCs/>
                <w:color w:val="000000"/>
                <w:sz w:val="20"/>
                <w:szCs w:val="20"/>
              </w:rPr>
            </w:pPr>
            <w:r>
              <w:rPr>
                <w:b/>
                <w:bCs/>
                <w:color w:val="000000"/>
                <w:sz w:val="20"/>
                <w:szCs w:val="20"/>
              </w:rPr>
              <w:t>Iš jų valstybės biudžeto lėšos (proc.)</w:t>
            </w:r>
          </w:p>
        </w:tc>
        <w:tc>
          <w:tcPr>
            <w:tcW w:w="457" w:type="pct"/>
            <w:tcBorders>
              <w:top w:val="single" w:sz="8" w:space="0" w:color="auto"/>
              <w:left w:val="nil"/>
              <w:bottom w:val="single" w:sz="4" w:space="0" w:color="auto"/>
              <w:right w:val="single" w:sz="8" w:space="0" w:color="auto"/>
            </w:tcBorders>
            <w:shd w:val="clear" w:color="000000" w:fill="D9D9D9"/>
            <w:vAlign w:val="center"/>
            <w:hideMark/>
          </w:tcPr>
          <w:p w14:paraId="755337C6" w14:textId="77777777" w:rsidR="00E421BD" w:rsidRDefault="00E421BD">
            <w:pPr>
              <w:jc w:val="center"/>
              <w:rPr>
                <w:b/>
                <w:bCs/>
                <w:color w:val="000000"/>
                <w:sz w:val="20"/>
                <w:szCs w:val="20"/>
              </w:rPr>
            </w:pPr>
            <w:r>
              <w:rPr>
                <w:b/>
                <w:bCs/>
                <w:color w:val="000000"/>
                <w:sz w:val="20"/>
                <w:szCs w:val="20"/>
              </w:rPr>
              <w:t xml:space="preserve">Iš jų valstybės biudžeto lėšos </w:t>
            </w:r>
          </w:p>
        </w:tc>
      </w:tr>
      <w:tr w:rsidR="00E421BD" w14:paraId="38B5D5F4" w14:textId="77777777" w:rsidTr="00E421BD">
        <w:trPr>
          <w:trHeight w:val="1290"/>
        </w:trPr>
        <w:tc>
          <w:tcPr>
            <w:tcW w:w="611" w:type="pct"/>
            <w:tcBorders>
              <w:top w:val="nil"/>
              <w:left w:val="single" w:sz="8" w:space="0" w:color="auto"/>
              <w:bottom w:val="single" w:sz="8" w:space="0" w:color="auto"/>
              <w:right w:val="single" w:sz="4" w:space="0" w:color="auto"/>
            </w:tcBorders>
            <w:shd w:val="clear" w:color="000000" w:fill="DCE6F1"/>
            <w:vAlign w:val="center"/>
            <w:hideMark/>
          </w:tcPr>
          <w:p w14:paraId="61E404F2" w14:textId="77777777" w:rsidR="00E421BD" w:rsidRDefault="00E421BD">
            <w:pPr>
              <w:jc w:val="center"/>
              <w:rPr>
                <w:sz w:val="20"/>
                <w:szCs w:val="20"/>
              </w:rPr>
            </w:pPr>
            <w:r>
              <w:rPr>
                <w:sz w:val="20"/>
                <w:szCs w:val="20"/>
              </w:rPr>
              <w:t>J.Janonio gatvės (nuo žiedo iki Savitiškio g.) prieigų sutvarkymas</w:t>
            </w:r>
          </w:p>
        </w:tc>
        <w:tc>
          <w:tcPr>
            <w:tcW w:w="426" w:type="pct"/>
            <w:tcBorders>
              <w:top w:val="nil"/>
              <w:left w:val="nil"/>
              <w:bottom w:val="single" w:sz="8" w:space="0" w:color="auto"/>
              <w:right w:val="single" w:sz="4" w:space="0" w:color="auto"/>
            </w:tcBorders>
            <w:shd w:val="clear" w:color="auto" w:fill="auto"/>
            <w:noWrap/>
            <w:vAlign w:val="center"/>
            <w:hideMark/>
          </w:tcPr>
          <w:p w14:paraId="039EB4E6" w14:textId="77777777" w:rsidR="00E421BD" w:rsidRDefault="00E421BD">
            <w:pPr>
              <w:jc w:val="center"/>
              <w:rPr>
                <w:color w:val="000000"/>
                <w:sz w:val="20"/>
                <w:szCs w:val="20"/>
              </w:rPr>
            </w:pPr>
            <w:r>
              <w:rPr>
                <w:color w:val="000000"/>
                <w:sz w:val="20"/>
                <w:szCs w:val="20"/>
              </w:rPr>
              <w:t>2016-2018</w:t>
            </w:r>
          </w:p>
        </w:tc>
        <w:tc>
          <w:tcPr>
            <w:tcW w:w="468" w:type="pct"/>
            <w:tcBorders>
              <w:top w:val="nil"/>
              <w:left w:val="nil"/>
              <w:bottom w:val="single" w:sz="8" w:space="0" w:color="auto"/>
              <w:right w:val="single" w:sz="4" w:space="0" w:color="auto"/>
            </w:tcBorders>
            <w:shd w:val="clear" w:color="auto" w:fill="auto"/>
            <w:vAlign w:val="center"/>
            <w:hideMark/>
          </w:tcPr>
          <w:p w14:paraId="7A8E8E21" w14:textId="77777777" w:rsidR="00E421BD" w:rsidRDefault="00E421BD">
            <w:pPr>
              <w:jc w:val="center"/>
              <w:rPr>
                <w:color w:val="000000"/>
                <w:sz w:val="20"/>
                <w:szCs w:val="20"/>
              </w:rPr>
            </w:pPr>
            <w:r>
              <w:rPr>
                <w:color w:val="000000"/>
                <w:sz w:val="20"/>
                <w:szCs w:val="20"/>
              </w:rPr>
              <w:t>Panevėžio miesto savivaldybės administracija</w:t>
            </w:r>
          </w:p>
        </w:tc>
        <w:tc>
          <w:tcPr>
            <w:tcW w:w="399" w:type="pct"/>
            <w:tcBorders>
              <w:top w:val="nil"/>
              <w:left w:val="nil"/>
              <w:bottom w:val="single" w:sz="8" w:space="0" w:color="auto"/>
              <w:right w:val="single" w:sz="4" w:space="0" w:color="auto"/>
            </w:tcBorders>
            <w:shd w:val="clear" w:color="000000" w:fill="FFFFFF"/>
            <w:vAlign w:val="center"/>
            <w:hideMark/>
          </w:tcPr>
          <w:p w14:paraId="49EF7921" w14:textId="77777777" w:rsidR="00E421BD" w:rsidRDefault="00E421BD">
            <w:pPr>
              <w:jc w:val="center"/>
              <w:rPr>
                <w:color w:val="000000"/>
                <w:sz w:val="20"/>
                <w:szCs w:val="20"/>
              </w:rPr>
            </w:pPr>
            <w:r>
              <w:rPr>
                <w:color w:val="000000"/>
                <w:sz w:val="20"/>
                <w:szCs w:val="20"/>
              </w:rPr>
              <w:t>VRM</w:t>
            </w:r>
          </w:p>
        </w:tc>
        <w:tc>
          <w:tcPr>
            <w:tcW w:w="506" w:type="pct"/>
            <w:tcBorders>
              <w:top w:val="nil"/>
              <w:left w:val="nil"/>
              <w:bottom w:val="single" w:sz="8" w:space="0" w:color="auto"/>
              <w:right w:val="single" w:sz="4" w:space="0" w:color="auto"/>
            </w:tcBorders>
            <w:shd w:val="clear" w:color="000000" w:fill="D8E4BC"/>
            <w:noWrap/>
            <w:vAlign w:val="center"/>
            <w:hideMark/>
          </w:tcPr>
          <w:p w14:paraId="0306CB9F" w14:textId="77777777" w:rsidR="00E421BD" w:rsidRDefault="00E421BD">
            <w:pPr>
              <w:jc w:val="center"/>
              <w:rPr>
                <w:color w:val="000000"/>
                <w:sz w:val="20"/>
                <w:szCs w:val="20"/>
              </w:rPr>
            </w:pPr>
            <w:r>
              <w:rPr>
                <w:color w:val="000000"/>
                <w:sz w:val="20"/>
                <w:szCs w:val="20"/>
              </w:rPr>
              <w:t>2.015.305 €</w:t>
            </w:r>
          </w:p>
        </w:tc>
        <w:tc>
          <w:tcPr>
            <w:tcW w:w="340" w:type="pct"/>
            <w:tcBorders>
              <w:top w:val="nil"/>
              <w:left w:val="nil"/>
              <w:bottom w:val="single" w:sz="8" w:space="0" w:color="auto"/>
              <w:right w:val="single" w:sz="4" w:space="0" w:color="auto"/>
            </w:tcBorders>
            <w:shd w:val="clear" w:color="000000" w:fill="EBF1DE"/>
            <w:noWrap/>
            <w:vAlign w:val="center"/>
            <w:hideMark/>
          </w:tcPr>
          <w:p w14:paraId="36BE4411" w14:textId="77777777" w:rsidR="00E421BD" w:rsidRDefault="00E421BD">
            <w:pPr>
              <w:jc w:val="center"/>
              <w:rPr>
                <w:color w:val="000000"/>
                <w:sz w:val="20"/>
                <w:szCs w:val="20"/>
              </w:rPr>
            </w:pPr>
            <w:r>
              <w:rPr>
                <w:color w:val="000000"/>
                <w:sz w:val="20"/>
                <w:szCs w:val="20"/>
              </w:rPr>
              <w:t>85,00%</w:t>
            </w:r>
          </w:p>
        </w:tc>
        <w:tc>
          <w:tcPr>
            <w:tcW w:w="460" w:type="pct"/>
            <w:tcBorders>
              <w:top w:val="nil"/>
              <w:left w:val="nil"/>
              <w:bottom w:val="single" w:sz="8" w:space="0" w:color="auto"/>
              <w:right w:val="single" w:sz="4" w:space="0" w:color="auto"/>
            </w:tcBorders>
            <w:shd w:val="clear" w:color="000000" w:fill="D8E4BC"/>
            <w:vAlign w:val="center"/>
            <w:hideMark/>
          </w:tcPr>
          <w:p w14:paraId="3C460796" w14:textId="77777777" w:rsidR="00E421BD" w:rsidRDefault="00E421BD">
            <w:pPr>
              <w:jc w:val="center"/>
              <w:rPr>
                <w:color w:val="000000"/>
                <w:sz w:val="20"/>
                <w:szCs w:val="20"/>
              </w:rPr>
            </w:pPr>
            <w:r>
              <w:rPr>
                <w:color w:val="000000"/>
                <w:sz w:val="20"/>
                <w:szCs w:val="20"/>
              </w:rPr>
              <w:t>1.713.009 €</w:t>
            </w:r>
          </w:p>
        </w:tc>
        <w:tc>
          <w:tcPr>
            <w:tcW w:w="449" w:type="pct"/>
            <w:tcBorders>
              <w:top w:val="nil"/>
              <w:left w:val="nil"/>
              <w:bottom w:val="single" w:sz="8" w:space="0" w:color="auto"/>
              <w:right w:val="single" w:sz="4" w:space="0" w:color="auto"/>
            </w:tcBorders>
            <w:shd w:val="clear" w:color="000000" w:fill="EBF1DE"/>
            <w:noWrap/>
            <w:vAlign w:val="center"/>
            <w:hideMark/>
          </w:tcPr>
          <w:p w14:paraId="659DD3F1" w14:textId="77777777" w:rsidR="00E421BD" w:rsidRDefault="00E421BD">
            <w:pPr>
              <w:jc w:val="center"/>
              <w:rPr>
                <w:color w:val="000000"/>
                <w:sz w:val="20"/>
                <w:szCs w:val="20"/>
              </w:rPr>
            </w:pPr>
            <w:r>
              <w:rPr>
                <w:color w:val="000000"/>
                <w:sz w:val="20"/>
                <w:szCs w:val="20"/>
              </w:rPr>
              <w:t>7,50%</w:t>
            </w:r>
          </w:p>
        </w:tc>
        <w:tc>
          <w:tcPr>
            <w:tcW w:w="489" w:type="pct"/>
            <w:tcBorders>
              <w:top w:val="nil"/>
              <w:left w:val="nil"/>
              <w:bottom w:val="single" w:sz="8" w:space="0" w:color="auto"/>
              <w:right w:val="single" w:sz="4" w:space="0" w:color="auto"/>
            </w:tcBorders>
            <w:shd w:val="clear" w:color="000000" w:fill="D8E4BC"/>
            <w:vAlign w:val="center"/>
            <w:hideMark/>
          </w:tcPr>
          <w:p w14:paraId="72D8A535" w14:textId="77777777" w:rsidR="00E421BD" w:rsidRDefault="00E421BD">
            <w:pPr>
              <w:jc w:val="center"/>
              <w:rPr>
                <w:color w:val="000000"/>
                <w:sz w:val="20"/>
                <w:szCs w:val="20"/>
              </w:rPr>
            </w:pPr>
            <w:r>
              <w:rPr>
                <w:color w:val="000000"/>
                <w:sz w:val="20"/>
                <w:szCs w:val="20"/>
              </w:rPr>
              <w:t>151.148 €</w:t>
            </w:r>
          </w:p>
        </w:tc>
        <w:tc>
          <w:tcPr>
            <w:tcW w:w="395" w:type="pct"/>
            <w:tcBorders>
              <w:top w:val="nil"/>
              <w:left w:val="nil"/>
              <w:bottom w:val="single" w:sz="8" w:space="0" w:color="auto"/>
              <w:right w:val="single" w:sz="4" w:space="0" w:color="auto"/>
            </w:tcBorders>
            <w:shd w:val="clear" w:color="000000" w:fill="EBF1DE"/>
            <w:noWrap/>
            <w:vAlign w:val="center"/>
            <w:hideMark/>
          </w:tcPr>
          <w:p w14:paraId="7C46C83A" w14:textId="77777777" w:rsidR="00E421BD" w:rsidRDefault="00E421BD">
            <w:pPr>
              <w:jc w:val="center"/>
              <w:rPr>
                <w:color w:val="000000"/>
                <w:sz w:val="20"/>
                <w:szCs w:val="20"/>
              </w:rPr>
            </w:pPr>
            <w:r>
              <w:rPr>
                <w:color w:val="000000"/>
                <w:sz w:val="20"/>
                <w:szCs w:val="20"/>
              </w:rPr>
              <w:t>7,50%</w:t>
            </w:r>
          </w:p>
        </w:tc>
        <w:tc>
          <w:tcPr>
            <w:tcW w:w="457" w:type="pct"/>
            <w:tcBorders>
              <w:top w:val="nil"/>
              <w:left w:val="nil"/>
              <w:bottom w:val="single" w:sz="8" w:space="0" w:color="auto"/>
              <w:right w:val="single" w:sz="8" w:space="0" w:color="auto"/>
            </w:tcBorders>
            <w:shd w:val="clear" w:color="000000" w:fill="D8E4BC"/>
            <w:vAlign w:val="center"/>
            <w:hideMark/>
          </w:tcPr>
          <w:p w14:paraId="427C6184" w14:textId="77777777" w:rsidR="00E421BD" w:rsidRDefault="00E421BD">
            <w:pPr>
              <w:jc w:val="center"/>
              <w:rPr>
                <w:color w:val="000000"/>
                <w:sz w:val="20"/>
                <w:szCs w:val="20"/>
              </w:rPr>
            </w:pPr>
            <w:r>
              <w:rPr>
                <w:color w:val="000000"/>
                <w:sz w:val="20"/>
                <w:szCs w:val="20"/>
              </w:rPr>
              <w:t>151.148 €</w:t>
            </w:r>
          </w:p>
        </w:tc>
      </w:tr>
    </w:tbl>
    <w:p w14:paraId="32DDB2AE" w14:textId="77777777" w:rsidR="00E421BD" w:rsidRDefault="00E421BD" w:rsidP="00156131">
      <w:pPr>
        <w:jc w:val="both"/>
      </w:pPr>
    </w:p>
    <w:p w14:paraId="7E1C8A29" w14:textId="77777777" w:rsidR="008A4728" w:rsidRPr="00C25BD0" w:rsidRDefault="00501AD3" w:rsidP="00C25BD0">
      <w:pPr>
        <w:spacing w:line="360" w:lineRule="auto"/>
        <w:ind w:firstLine="851"/>
        <w:jc w:val="both"/>
      </w:pPr>
      <w:r w:rsidRPr="00C25BD0">
        <w:t>Pagal Aprašo 3</w:t>
      </w:r>
      <w:r w:rsidR="008A4728" w:rsidRPr="00C25BD0">
        <w:t>4</w:t>
      </w:r>
      <w:r w:rsidRPr="00C25BD0">
        <w:t xml:space="preserve"> p. nuostatas </w:t>
      </w:r>
      <w:r w:rsidR="008A4728" w:rsidRPr="00C25BD0">
        <w:t>„Projekto tinkamų finansuoti išlaidų dalis, kurios nepadengia projektui skiriamo finansavimo lėšos, turi būti finansuojama iš projekto vykdytojo arba partnerio lėšų. Pareiškėjas ir (arba) partneris savo iniciatyva ir savo ir (arba) kitų šaltinių lėšomis gali prisidėti prie projekto įgyvendinimo didesne, nei reikalaujama, lėšų suma„</w:t>
      </w:r>
    </w:p>
    <w:p w14:paraId="27ED35A4" w14:textId="77777777" w:rsidR="00C25BD0" w:rsidRPr="00C25BD0" w:rsidRDefault="00244250" w:rsidP="00C25BD0">
      <w:pPr>
        <w:spacing w:line="360" w:lineRule="auto"/>
        <w:ind w:firstLine="851"/>
        <w:jc w:val="both"/>
      </w:pPr>
      <w:r w:rsidRPr="00C25BD0">
        <w:t xml:space="preserve">Reali projekto įgyvendinimo kaina bus žinoma parengus techninį projektą ir įvykdžius </w:t>
      </w:r>
      <w:r w:rsidR="008A4728" w:rsidRPr="00C25BD0">
        <w:t xml:space="preserve">rangos darbų </w:t>
      </w:r>
      <w:r w:rsidRPr="00C25BD0">
        <w:t>viešuosius pirkimus.</w:t>
      </w:r>
    </w:p>
    <w:p w14:paraId="522F9A09" w14:textId="77777777" w:rsidR="00C25BD0" w:rsidRPr="00C25BD0" w:rsidRDefault="00CE4261" w:rsidP="00C25BD0">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77777777" w:rsidR="00CE4261" w:rsidRPr="00C25BD0" w:rsidRDefault="008A4728" w:rsidP="00C25BD0">
      <w:pPr>
        <w:spacing w:line="360" w:lineRule="auto"/>
        <w:jc w:val="both"/>
      </w:pPr>
      <w:r w:rsidRPr="00C25BD0">
        <w:t>Nenumatomos</w:t>
      </w:r>
    </w:p>
    <w:p w14:paraId="1F0DFBA1" w14:textId="77777777" w:rsidR="00C25BD0" w:rsidRPr="00C25BD0" w:rsidRDefault="00CE4261" w:rsidP="00C25BD0">
      <w:pPr>
        <w:numPr>
          <w:ilvl w:val="0"/>
          <w:numId w:val="3"/>
        </w:numPr>
        <w:spacing w:line="360" w:lineRule="auto"/>
        <w:jc w:val="both"/>
      </w:pPr>
      <w:r w:rsidRPr="00C25BD0">
        <w:rPr>
          <w:b/>
        </w:rPr>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p>
    <w:p w14:paraId="6869ECAF" w14:textId="77777777" w:rsidR="00C25BD0" w:rsidRPr="00C25BD0" w:rsidRDefault="00CE4261" w:rsidP="00C25BD0">
      <w:pPr>
        <w:numPr>
          <w:ilvl w:val="0"/>
          <w:numId w:val="3"/>
        </w:numPr>
        <w:spacing w:line="360" w:lineRule="auto"/>
        <w:jc w:val="both"/>
        <w:rPr>
          <w:b/>
        </w:rPr>
      </w:pPr>
      <w:r w:rsidRPr="00C25BD0">
        <w:rPr>
          <w:b/>
        </w:rPr>
        <w:t xml:space="preserve">Sprendimas suderintas: </w:t>
      </w:r>
    </w:p>
    <w:p w14:paraId="42A9EB96" w14:textId="12516EF5" w:rsidR="00714A9E" w:rsidRPr="00C25BD0" w:rsidRDefault="00CE4261" w:rsidP="00C25BD0">
      <w:pPr>
        <w:spacing w:line="360" w:lineRule="auto"/>
        <w:jc w:val="both"/>
        <w:rPr>
          <w:b/>
        </w:rPr>
      </w:pPr>
      <w:r w:rsidRPr="00C25BD0">
        <w:t xml:space="preserve">su </w:t>
      </w:r>
      <w:r w:rsidR="00F436F6" w:rsidRPr="00C25BD0">
        <w:t>Tarybos sekretore I</w:t>
      </w:r>
      <w:r w:rsidR="00F20CFE" w:rsidRPr="00C25BD0">
        <w:t>.</w:t>
      </w:r>
      <w:r w:rsidR="00F436F6" w:rsidRPr="00C25BD0">
        <w:t xml:space="preserve"> Mazaliauskiene, </w:t>
      </w:r>
      <w:r w:rsidR="004826A2" w:rsidRPr="00C25BD0">
        <w:t>Mero pavaduotoju A.</w:t>
      </w:r>
      <w:r w:rsidR="00F20CFE" w:rsidRPr="00C25BD0">
        <w:t xml:space="preserve"> </w:t>
      </w:r>
      <w:r w:rsidR="004826A2" w:rsidRPr="00C25BD0">
        <w:t>Varna, Administracijos direktoriumi T.</w:t>
      </w:r>
      <w:r w:rsidR="00E01517" w:rsidRPr="00C25BD0">
        <w:t xml:space="preserve"> </w:t>
      </w:r>
      <w:r w:rsidR="004826A2" w:rsidRPr="00C25BD0">
        <w:t xml:space="preserve">Jukna, </w:t>
      </w:r>
      <w:r w:rsidR="00F436F6" w:rsidRPr="00C25BD0">
        <w:t>Administ</w:t>
      </w:r>
      <w:r w:rsidR="00E01517" w:rsidRPr="00C25BD0">
        <w:t>racijos direktoriaus pavaduotoj</w:t>
      </w:r>
      <w:r w:rsidR="006748DD">
        <w:t>u</w:t>
      </w:r>
      <w:r w:rsidR="00E01517" w:rsidRPr="00C25BD0">
        <w:t xml:space="preserve"> </w:t>
      </w:r>
      <w:r w:rsidR="001C60B4">
        <w:t>R. Vyžintu</w:t>
      </w:r>
      <w:r w:rsidR="00F436F6" w:rsidRPr="00C25BD0">
        <w:t xml:space="preserve">, </w:t>
      </w:r>
      <w:r w:rsidR="00D72E08" w:rsidRPr="00C25BD0">
        <w:t xml:space="preserve">Teisės skyriaus </w:t>
      </w:r>
      <w:r w:rsidR="00714A9E" w:rsidRPr="00C25BD0">
        <w:t>vyriaus</w:t>
      </w:r>
      <w:r w:rsidR="004826A2" w:rsidRPr="00C25BD0">
        <w:t>iuoju</w:t>
      </w:r>
      <w:r w:rsidR="00714A9E" w:rsidRPr="00C25BD0">
        <w:t xml:space="preserve"> specialist</w:t>
      </w:r>
      <w:r w:rsidR="004826A2" w:rsidRPr="00C25BD0">
        <w:t>u</w:t>
      </w:r>
      <w:r w:rsidR="00FE4127">
        <w:t>, atliekančiu skyriaus vedėjo funkcijas</w:t>
      </w:r>
      <w:r w:rsidR="00714A9E" w:rsidRPr="00C25BD0">
        <w:t xml:space="preserve"> A</w:t>
      </w:r>
      <w:r w:rsidR="004826A2" w:rsidRPr="00C25BD0">
        <w:t>.</w:t>
      </w:r>
      <w:r w:rsidR="00F20CFE" w:rsidRPr="00C25BD0">
        <w:t xml:space="preserve"> </w:t>
      </w:r>
      <w:r w:rsidR="00714A9E" w:rsidRPr="00C25BD0">
        <w:t>Valkūn</w:t>
      </w:r>
      <w:r w:rsidR="004826A2" w:rsidRPr="00C25BD0">
        <w:t>u</w:t>
      </w:r>
      <w:r w:rsidR="00714A9E" w:rsidRPr="00C25BD0">
        <w:t xml:space="preserve">, Investicijų skyriaus vedėja </w:t>
      </w:r>
      <w:r w:rsidR="00A57B12" w:rsidRPr="00C25BD0">
        <w:t>D. Bajorūne,</w:t>
      </w:r>
      <w:r w:rsidR="00916F0F" w:rsidRPr="00C25BD0">
        <w:t xml:space="preserve"> Finansų ir biudžeto skyriaus vyr. specialiste, atliekančia skyriaus vedėjo funkcijas</w:t>
      </w:r>
      <w:r w:rsidR="00FE4127">
        <w:t xml:space="preserve"> A.</w:t>
      </w:r>
      <w:r w:rsidR="00FE4127" w:rsidRPr="0011226B">
        <w:t xml:space="preserve"> Meškauskienė</w:t>
      </w:r>
      <w:r w:rsidR="00916F0F" w:rsidRPr="00C25BD0">
        <w:t>,</w:t>
      </w:r>
      <w:r w:rsidR="00A57B12" w:rsidRPr="00C25BD0">
        <w:t xml:space="preserve"> </w:t>
      </w:r>
      <w:r w:rsidR="00FE4127" w:rsidRPr="0011226B">
        <w:t>Kanceliarijos vyriausioji specialistė</w:t>
      </w:r>
      <w:r w:rsidR="00FE4127" w:rsidRPr="00C25BD0">
        <w:t xml:space="preserve"> </w:t>
      </w:r>
      <w:r w:rsidR="004826A2" w:rsidRPr="00C25BD0">
        <w:t>D</w:t>
      </w:r>
      <w:r w:rsidR="00AC740E" w:rsidRPr="00C25BD0">
        <w:t>.</w:t>
      </w:r>
      <w:r w:rsidR="00E01517" w:rsidRPr="00C25BD0">
        <w:t xml:space="preserve"> </w:t>
      </w:r>
      <w:r w:rsidR="004826A2" w:rsidRPr="00C25BD0">
        <w:t>Petruityte.</w:t>
      </w:r>
    </w:p>
    <w:p w14:paraId="0BBFB68F" w14:textId="77777777" w:rsidR="00885D3F" w:rsidRPr="00C25BD0" w:rsidRDefault="00885D3F" w:rsidP="00C25BD0">
      <w:pPr>
        <w:spacing w:line="360" w:lineRule="auto"/>
        <w:jc w:val="both"/>
      </w:pPr>
    </w:p>
    <w:p w14:paraId="2DE69CFB" w14:textId="77777777" w:rsidR="00C25BD0" w:rsidRDefault="00E01517" w:rsidP="00C25BD0">
      <w:pPr>
        <w:tabs>
          <w:tab w:val="left" w:pos="7230"/>
        </w:tabs>
        <w:spacing w:line="360" w:lineRule="auto"/>
        <w:jc w:val="both"/>
        <w:rPr>
          <w:bCs/>
        </w:rPr>
      </w:pPr>
      <w:r w:rsidRPr="00C25BD0">
        <w:t>Projekto „</w:t>
      </w:r>
      <w:r w:rsidR="00C25BD0" w:rsidRPr="00C25BD0">
        <w:rPr>
          <w:bCs/>
        </w:rPr>
        <w:t xml:space="preserve">J.Janonio gatvės (nuo žiedo iki </w:t>
      </w:r>
    </w:p>
    <w:p w14:paraId="032116F7" w14:textId="77777777" w:rsidR="00A42799" w:rsidRPr="00C25BD0" w:rsidRDefault="00C25BD0" w:rsidP="00C25BD0">
      <w:pPr>
        <w:tabs>
          <w:tab w:val="left" w:pos="7230"/>
        </w:tabs>
        <w:spacing w:line="360" w:lineRule="auto"/>
        <w:jc w:val="both"/>
      </w:pPr>
      <w:r w:rsidRPr="00C25BD0">
        <w:rPr>
          <w:bCs/>
        </w:rPr>
        <w:t>Savitiškio g.) prieigų sutvarkymas</w:t>
      </w:r>
      <w:r w:rsidR="00E01517" w:rsidRPr="00C25BD0">
        <w:t>“</w:t>
      </w:r>
      <w:r>
        <w:t xml:space="preserve"> </w:t>
      </w:r>
      <w:r w:rsidR="00E01517" w:rsidRPr="00C25BD0">
        <w:t>vadovas</w:t>
      </w:r>
      <w:r>
        <w:tab/>
        <w:t>Tadas Stanikūnas</w:t>
      </w:r>
    </w:p>
    <w:p w14:paraId="277AA3AD" w14:textId="77777777" w:rsidR="00D019E3" w:rsidRPr="00C25BD0" w:rsidRDefault="00D019E3" w:rsidP="00C25BD0">
      <w:pPr>
        <w:tabs>
          <w:tab w:val="left" w:pos="7230"/>
        </w:tabs>
        <w:spacing w:line="360" w:lineRule="auto"/>
        <w:jc w:val="both"/>
      </w:pPr>
    </w:p>
    <w:p w14:paraId="26E5E231" w14:textId="77777777" w:rsidR="004717F3" w:rsidRPr="00C25BD0" w:rsidRDefault="00E01517" w:rsidP="00C25BD0">
      <w:pPr>
        <w:tabs>
          <w:tab w:val="left" w:pos="7230"/>
        </w:tabs>
        <w:spacing w:line="360" w:lineRule="auto"/>
        <w:jc w:val="both"/>
      </w:pPr>
      <w:r w:rsidRPr="00C25BD0">
        <w:t xml:space="preserve">Investicijų skyriaus </w:t>
      </w:r>
      <w:r w:rsidR="00C25BD0">
        <w:t>vyriausiasis specialistas</w:t>
      </w:r>
      <w:r w:rsidR="00C25BD0">
        <w:tab/>
        <w:t>Donatas Mickevičius</w:t>
      </w:r>
    </w:p>
    <w:p w14:paraId="5C234113" w14:textId="77777777" w:rsidR="00501AD3" w:rsidRPr="00C25BD0" w:rsidRDefault="00501AD3" w:rsidP="00C25BD0">
      <w:pPr>
        <w:spacing w:line="360" w:lineRule="auto"/>
        <w:jc w:val="both"/>
        <w:rPr>
          <w:color w:val="0070C0"/>
        </w:rPr>
      </w:pPr>
    </w:p>
    <w:sectPr w:rsidR="00501AD3" w:rsidRPr="00C25BD0" w:rsidSect="00D610C3">
      <w:headerReference w:type="default" r:id="rId9"/>
      <w:pgSz w:w="11907" w:h="16840" w:code="9"/>
      <w:pgMar w:top="851" w:right="708" w:bottom="709" w:left="1560"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B20F" w15:done="0"/>
  <w15:commentEx w15:paraId="6D19A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94C02" w14:textId="77777777" w:rsidR="00101EF7" w:rsidRDefault="00101EF7" w:rsidP="00D610C3">
      <w:r>
        <w:separator/>
      </w:r>
    </w:p>
  </w:endnote>
  <w:endnote w:type="continuationSeparator" w:id="0">
    <w:p w14:paraId="7C518193" w14:textId="77777777" w:rsidR="00101EF7" w:rsidRDefault="00101EF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D3654" w14:textId="77777777" w:rsidR="00101EF7" w:rsidRDefault="00101EF7" w:rsidP="00D610C3">
      <w:r>
        <w:separator/>
      </w:r>
    </w:p>
  </w:footnote>
  <w:footnote w:type="continuationSeparator" w:id="0">
    <w:p w14:paraId="4B414020" w14:textId="77777777" w:rsidR="00101EF7" w:rsidRDefault="00101EF7"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1C60B4">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das Stanikūnas">
    <w15:presenceInfo w15:providerId="AD" w15:userId="S-1-5-21-1614895754-688789844-839522115-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5DF8"/>
    <w:rsid w:val="00050CB3"/>
    <w:rsid w:val="00050D33"/>
    <w:rsid w:val="000D1CCA"/>
    <w:rsid w:val="000E6FCA"/>
    <w:rsid w:val="000F142F"/>
    <w:rsid w:val="000F6EAA"/>
    <w:rsid w:val="00101EF7"/>
    <w:rsid w:val="00105414"/>
    <w:rsid w:val="00134410"/>
    <w:rsid w:val="00144285"/>
    <w:rsid w:val="00153D8F"/>
    <w:rsid w:val="00156131"/>
    <w:rsid w:val="00173464"/>
    <w:rsid w:val="0019105B"/>
    <w:rsid w:val="00194B34"/>
    <w:rsid w:val="001A31DD"/>
    <w:rsid w:val="001A59CF"/>
    <w:rsid w:val="001B1CD5"/>
    <w:rsid w:val="001C60B4"/>
    <w:rsid w:val="001F0F56"/>
    <w:rsid w:val="0021352E"/>
    <w:rsid w:val="002316BC"/>
    <w:rsid w:val="00237E62"/>
    <w:rsid w:val="00244250"/>
    <w:rsid w:val="00264EEB"/>
    <w:rsid w:val="00292DCE"/>
    <w:rsid w:val="0029507D"/>
    <w:rsid w:val="002A2E19"/>
    <w:rsid w:val="002A40B1"/>
    <w:rsid w:val="002B5A69"/>
    <w:rsid w:val="002C333C"/>
    <w:rsid w:val="002D1241"/>
    <w:rsid w:val="002D5815"/>
    <w:rsid w:val="002E30B2"/>
    <w:rsid w:val="002E51AC"/>
    <w:rsid w:val="002F52D8"/>
    <w:rsid w:val="00311EF9"/>
    <w:rsid w:val="00327D6D"/>
    <w:rsid w:val="00341BA1"/>
    <w:rsid w:val="003647E6"/>
    <w:rsid w:val="003666E4"/>
    <w:rsid w:val="003A43A7"/>
    <w:rsid w:val="003C4CFD"/>
    <w:rsid w:val="003E056D"/>
    <w:rsid w:val="0040182A"/>
    <w:rsid w:val="004127D6"/>
    <w:rsid w:val="0046421B"/>
    <w:rsid w:val="004717F3"/>
    <w:rsid w:val="004826A2"/>
    <w:rsid w:val="004D7DA8"/>
    <w:rsid w:val="004E19F6"/>
    <w:rsid w:val="00501AD3"/>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73E98"/>
    <w:rsid w:val="006748DD"/>
    <w:rsid w:val="00675968"/>
    <w:rsid w:val="006808AA"/>
    <w:rsid w:val="006A3F4E"/>
    <w:rsid w:val="006D1BEC"/>
    <w:rsid w:val="007010AF"/>
    <w:rsid w:val="00710A07"/>
    <w:rsid w:val="00714A9E"/>
    <w:rsid w:val="007258D5"/>
    <w:rsid w:val="00761009"/>
    <w:rsid w:val="00776D79"/>
    <w:rsid w:val="0080253F"/>
    <w:rsid w:val="00802F82"/>
    <w:rsid w:val="008217A7"/>
    <w:rsid w:val="00831518"/>
    <w:rsid w:val="008407DC"/>
    <w:rsid w:val="00843093"/>
    <w:rsid w:val="00876427"/>
    <w:rsid w:val="00885D3F"/>
    <w:rsid w:val="00891F8B"/>
    <w:rsid w:val="008A4728"/>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F706A"/>
    <w:rsid w:val="00A043FD"/>
    <w:rsid w:val="00A10F3E"/>
    <w:rsid w:val="00A359FC"/>
    <w:rsid w:val="00A42799"/>
    <w:rsid w:val="00A57B12"/>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40FB8"/>
    <w:rsid w:val="00B500B7"/>
    <w:rsid w:val="00B64AE4"/>
    <w:rsid w:val="00B679D1"/>
    <w:rsid w:val="00B7566C"/>
    <w:rsid w:val="00B7592A"/>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6FD9"/>
    <w:rsid w:val="00D019E3"/>
    <w:rsid w:val="00D04B9C"/>
    <w:rsid w:val="00D24BC8"/>
    <w:rsid w:val="00D55973"/>
    <w:rsid w:val="00D610C3"/>
    <w:rsid w:val="00D72E08"/>
    <w:rsid w:val="00D91DC5"/>
    <w:rsid w:val="00DC1ACF"/>
    <w:rsid w:val="00DE774C"/>
    <w:rsid w:val="00E01517"/>
    <w:rsid w:val="00E142DD"/>
    <w:rsid w:val="00E14F26"/>
    <w:rsid w:val="00E30C40"/>
    <w:rsid w:val="00E34D0F"/>
    <w:rsid w:val="00E421BD"/>
    <w:rsid w:val="00E600EB"/>
    <w:rsid w:val="00E7201B"/>
    <w:rsid w:val="00E77D95"/>
    <w:rsid w:val="00E966EA"/>
    <w:rsid w:val="00EB0BEF"/>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19DE0-6C56-42B6-80F0-5EA98378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6555</Words>
  <Characters>3737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Donatas Mickevičius</cp:lastModifiedBy>
  <cp:revision>7</cp:revision>
  <cp:lastPrinted>2016-01-13T13:11:00Z</cp:lastPrinted>
  <dcterms:created xsi:type="dcterms:W3CDTF">2016-04-12T07:20:00Z</dcterms:created>
  <dcterms:modified xsi:type="dcterms:W3CDTF">2016-04-13T09:57:00Z</dcterms:modified>
</cp:coreProperties>
</file>