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64" w:rsidRPr="004E3164" w:rsidRDefault="004E3164" w:rsidP="004E3164">
      <w:pPr>
        <w:jc w:val="center"/>
        <w:rPr>
          <w:b/>
          <w:caps/>
          <w:szCs w:val="24"/>
        </w:rPr>
      </w:pPr>
      <w:bookmarkStart w:id="0" w:name="_GoBack"/>
      <w:bookmarkEnd w:id="0"/>
      <w:r w:rsidRPr="004E3164">
        <w:rPr>
          <w:b/>
          <w:caps/>
          <w:szCs w:val="24"/>
        </w:rPr>
        <w:t>SPRENDIMAS</w:t>
      </w:r>
    </w:p>
    <w:p w:rsidR="004E3164" w:rsidRPr="004E3164" w:rsidRDefault="004E3164" w:rsidP="004E3164">
      <w:pPr>
        <w:jc w:val="both"/>
        <w:rPr>
          <w:b/>
          <w:caps/>
          <w:szCs w:val="24"/>
        </w:rPr>
      </w:pPr>
      <w:r w:rsidRPr="004E3164">
        <w:rPr>
          <w:b/>
          <w:caps/>
          <w:szCs w:val="24"/>
        </w:rPr>
        <w:t xml:space="preserve">DĖL PANEVĖŽIO MIESTO SAVIVALDYBĖS ADMINISTRACIJOS DIDŽIAUSIO LEISTINO VALSTYBĖS TARNAUTOJŲ IR DARBUOTOJŲ, DIRBANČIŲ PAGAL DARBO SUTARTIS, PAREIGYBIŲ SKAIČIAUS IR STRUKTŪROS PATVIRTINIMO, SAVIVALDYBĖS TARYBOS 2015 M. RUGPJŪČIO 27 D. SPRENDIMO NR. 1-225 2 PUNKTO, 2007 M. BIRŽELIO 28 D. SPRENDIMO NR. 1-5-13, 2015 M. BALANDŽIO  17 d. SPRENDIMO  NR. 1-107  2 PUNKTO,  PRIPAŽINIMO NETEKUSIAIS GALIOS IR  2015 M.GEGUŽĖS  14 D. SPRENDIMO  NR.  1-109  2 PUNKTO  IR  2015 M.GEGUŽĖS  14 D. SPRENDIMO  NR.  1-110 2 PUNKTO PAKEITIMO  </w:t>
      </w:r>
    </w:p>
    <w:p w:rsidR="00DA3852" w:rsidRDefault="00DA3852" w:rsidP="00DA3852">
      <w:pPr>
        <w:jc w:val="center"/>
        <w:rPr>
          <w:b/>
          <w:caps/>
          <w:szCs w:val="24"/>
        </w:rPr>
      </w:pPr>
    </w:p>
    <w:p w:rsidR="00DA3852" w:rsidRDefault="00DA3852" w:rsidP="00DA3852">
      <w:pPr>
        <w:jc w:val="center"/>
        <w:rPr>
          <w:b/>
          <w:sz w:val="20"/>
        </w:rPr>
      </w:pPr>
    </w:p>
    <w:p w:rsidR="00DA3852" w:rsidRDefault="00DA3852" w:rsidP="00DA3852">
      <w:pPr>
        <w:jc w:val="center"/>
        <w:rPr>
          <w:b/>
        </w:rPr>
      </w:pPr>
      <w:r>
        <w:rPr>
          <w:b/>
        </w:rPr>
        <w:t>AIŠKINAMASIS RAŠTAS</w:t>
      </w:r>
    </w:p>
    <w:p w:rsidR="00DA3852" w:rsidRDefault="00DA3852" w:rsidP="00DA3852">
      <w:pPr>
        <w:jc w:val="center"/>
        <w:rPr>
          <w:b/>
          <w:sz w:val="20"/>
        </w:rPr>
      </w:pPr>
    </w:p>
    <w:p w:rsidR="00DA3852" w:rsidRPr="00B57EB4" w:rsidRDefault="00DA3852" w:rsidP="00DA3852">
      <w:pPr>
        <w:jc w:val="center"/>
      </w:pPr>
      <w:r w:rsidRPr="00B57EB4">
        <w:t>2015-</w:t>
      </w:r>
      <w:r w:rsidR="00340CFA" w:rsidRPr="00B57EB4">
        <w:t>11</w:t>
      </w:r>
      <w:r w:rsidRPr="00B57EB4">
        <w:t>-</w:t>
      </w:r>
      <w:r w:rsidR="00B57EB4" w:rsidRPr="00B57EB4">
        <w:t>20</w:t>
      </w:r>
    </w:p>
    <w:p w:rsidR="009E35FB" w:rsidRDefault="009E35FB" w:rsidP="00DA3852">
      <w:pPr>
        <w:jc w:val="center"/>
        <w:rPr>
          <w:b/>
        </w:rPr>
      </w:pPr>
    </w:p>
    <w:p w:rsidR="009E35FB" w:rsidRDefault="00833A36" w:rsidP="00833A36">
      <w:pPr>
        <w:spacing w:line="360" w:lineRule="auto"/>
        <w:jc w:val="both"/>
        <w:rPr>
          <w:b/>
        </w:rPr>
      </w:pPr>
      <w:r>
        <w:rPr>
          <w:b/>
        </w:rPr>
        <w:tab/>
        <w:t>1. Parengto teisės akto projekto tikslas ir uždaviniai.</w:t>
      </w:r>
    </w:p>
    <w:p w:rsidR="00EF2E25" w:rsidRDefault="009E35FB" w:rsidP="00782443">
      <w:pPr>
        <w:spacing w:line="360" w:lineRule="auto"/>
        <w:jc w:val="both"/>
      </w:pPr>
      <w:r>
        <w:t xml:space="preserve">                   </w:t>
      </w:r>
      <w:r w:rsidR="00833A36">
        <w:t>Atsižvelgus</w:t>
      </w:r>
      <w:r>
        <w:t xml:space="preserve"> į 2015 metų Vidaus </w:t>
      </w:r>
      <w:r w:rsidR="00853DF5">
        <w:t xml:space="preserve">reikalų ministerijos parengtas </w:t>
      </w:r>
      <w:r>
        <w:t xml:space="preserve">rekomendacijas „Dėl didžiausio leistino valstybės tarnautojų ir darbuotojų, dirbančių pagal darbo sutartis, pareigybių skaičiaus nustatymo savivaldybės administracijoje“ </w:t>
      </w:r>
      <w:r w:rsidR="00833A36">
        <w:t>ir į</w:t>
      </w:r>
      <w:r>
        <w:t xml:space="preserve"> 2015 m. rugsėjo 21 d. Lietuvos </w:t>
      </w:r>
      <w:r w:rsidR="00C23D75">
        <w:t>R</w:t>
      </w:r>
      <w:r>
        <w:t xml:space="preserve">espublikos Vyriausybės pasitarimo protokolo Nr. 49 </w:t>
      </w:r>
      <w:r w:rsidR="00833A36">
        <w:t>5.2  punkte pateiktas rekomendacijas savivaldybėms</w:t>
      </w:r>
      <w:r w:rsidR="00423C5C">
        <w:t xml:space="preserve"> dėl savivaldybės </w:t>
      </w:r>
      <w:r w:rsidR="00754075">
        <w:t>administracijos struktūros formavimo ir didžiausio leistino valstybės tarnautojų ir darbuotojų, dirbančių pagal darbo sutartis tvirtinimo</w:t>
      </w:r>
      <w:r w:rsidR="0066321F">
        <w:t xml:space="preserve">, </w:t>
      </w:r>
      <w:r w:rsidR="0066321F" w:rsidRPr="00B57EB4">
        <w:t>s</w:t>
      </w:r>
      <w:r w:rsidR="00DA3852" w:rsidRPr="00B57EB4">
        <w:t>truktūros pertvarkymu siekiama šių pagrindinių tikslų:</w:t>
      </w:r>
      <w:r w:rsidR="00B57EB4">
        <w:t xml:space="preserve"> ,,</w:t>
      </w:r>
      <w:r w:rsidR="00DA3852">
        <w:t>Prioritetinių veiklos krypčių išskyrimo</w:t>
      </w:r>
      <w:r w:rsidR="0004215E">
        <w:t>.</w:t>
      </w:r>
      <w:r w:rsidR="00B57EB4">
        <w:t xml:space="preserve"> </w:t>
      </w:r>
      <w:r w:rsidR="00DA3852">
        <w:t>Valdymo efektyvumo ir veiklos kokybės</w:t>
      </w:r>
      <w:r w:rsidR="0004215E">
        <w:t>.</w:t>
      </w:r>
      <w:r w:rsidR="00B57EB4">
        <w:t xml:space="preserve"> </w:t>
      </w:r>
      <w:r w:rsidR="00DA3852">
        <w:t>Funkcinių ryšių pagrįstumo</w:t>
      </w:r>
      <w:r w:rsidR="0004215E">
        <w:t>.</w:t>
      </w:r>
      <w:r w:rsidR="00DA3852">
        <w:t>Valdymo išlaidų, tarp jų darbo užmokesčiui ir valstybiniam socialiniam draudimui, mažinimo</w:t>
      </w:r>
      <w:r w:rsidR="00B57EB4">
        <w:t xml:space="preserve">‘‘, </w:t>
      </w:r>
      <w:r w:rsidR="00A05444">
        <w:t xml:space="preserve">ir tai, kad </w:t>
      </w:r>
      <w:r w:rsidR="00B57EB4">
        <w:t xml:space="preserve"> administracijos direktoriaus T.Juknos teikiamame administracijos struktūros projekte bei aiškinamajame rašte nėra pateikta  v</w:t>
      </w:r>
      <w:r w:rsidR="00B57EB4" w:rsidRPr="00B57EB4">
        <w:t>aldymo efektyvumo ir veiklos kokybės</w:t>
      </w:r>
      <w:r w:rsidR="00B57EB4">
        <w:t xml:space="preserve"> bei f</w:t>
      </w:r>
      <w:r w:rsidR="00B57EB4" w:rsidRPr="00B57EB4">
        <w:t xml:space="preserve">unkcinių ryšių pagrįstumo </w:t>
      </w:r>
      <w:r w:rsidR="00B57EB4">
        <w:t xml:space="preserve">analizė, nenurodytos skyrių funkcijos ir numatomas  jų darbuotojų skaičius,  kai kurie  siūlomi pokyčiai  prasilenkia su logika, siūlomam projektui nepritarė daugelis Tarybos komitetų, būtina pavesti </w:t>
      </w:r>
      <w:r w:rsidR="00B57EB4" w:rsidRPr="00B57EB4">
        <w:t>administracijos direktoriu</w:t>
      </w:r>
      <w:r w:rsidR="00B57EB4">
        <w:t>i</w:t>
      </w:r>
      <w:r w:rsidR="00B57EB4" w:rsidRPr="00B57EB4">
        <w:t xml:space="preserve"> T.Jukn</w:t>
      </w:r>
      <w:r w:rsidR="00B57EB4">
        <w:t xml:space="preserve">ai parengti naują administracijos struktūros projektą. </w:t>
      </w:r>
      <w:r w:rsidR="00782443">
        <w:t>Atsisakius administracijos vadovams skirtų priedų, bus sutaupyta biudžeto lėšų, kurias bus galima panaudoti kompensacijoms atleidžiamiems darbuotojams mokėti.</w:t>
      </w:r>
    </w:p>
    <w:p w:rsidR="001B478F" w:rsidRDefault="001B478F" w:rsidP="001B478F">
      <w:pPr>
        <w:tabs>
          <w:tab w:val="left" w:pos="900"/>
        </w:tabs>
        <w:spacing w:line="360" w:lineRule="auto"/>
        <w:jc w:val="both"/>
        <w:rPr>
          <w:b/>
        </w:rPr>
      </w:pPr>
      <w:r w:rsidRPr="00833109">
        <w:rPr>
          <w:b/>
        </w:rPr>
        <w:t xml:space="preserve">2. Šiuo metu galiojančios ir </w:t>
      </w:r>
      <w:r>
        <w:rPr>
          <w:b/>
        </w:rPr>
        <w:t xml:space="preserve">teikiamu klausimu siūlomos </w:t>
      </w:r>
      <w:r w:rsidRPr="00833109">
        <w:rPr>
          <w:b/>
        </w:rPr>
        <w:t>naujos teisinio reguliavimo nuostatos</w:t>
      </w:r>
    </w:p>
    <w:p w:rsidR="001B478F" w:rsidRPr="008B7B2D" w:rsidRDefault="001B478F" w:rsidP="001B478F">
      <w:pPr>
        <w:tabs>
          <w:tab w:val="left" w:pos="900"/>
        </w:tabs>
        <w:spacing w:line="360" w:lineRule="auto"/>
        <w:jc w:val="both"/>
      </w:pPr>
      <w:r>
        <w:tab/>
      </w:r>
      <w:r w:rsidRPr="008B7B2D">
        <w:t>Šiuo metu galioja</w:t>
      </w:r>
      <w:r>
        <w:t xml:space="preserve"> </w:t>
      </w:r>
      <w:r w:rsidR="00FF40F1">
        <w:t>Panevėžio</w:t>
      </w:r>
      <w:r>
        <w:t xml:space="preserve"> miesto savivaldybės tarybos 201</w:t>
      </w:r>
      <w:r w:rsidR="00FF40F1">
        <w:t>5</w:t>
      </w:r>
      <w:r>
        <w:t xml:space="preserve"> m. </w:t>
      </w:r>
      <w:r w:rsidR="00FF40F1">
        <w:t>rugpjūčio 28</w:t>
      </w:r>
      <w:r>
        <w:t xml:space="preserve"> d. sprendimu Nr. 1-</w:t>
      </w:r>
      <w:r w:rsidR="00FF40F1">
        <w:t xml:space="preserve">225 </w:t>
      </w:r>
      <w:r>
        <w:t xml:space="preserve">patvirtinta </w:t>
      </w:r>
      <w:r w:rsidR="00FF40F1">
        <w:t xml:space="preserve">Panevėžio </w:t>
      </w:r>
      <w:r>
        <w:t xml:space="preserve">miesto savivaldybės administracijos struktūra bei </w:t>
      </w:r>
      <w:r w:rsidR="00FF40F1">
        <w:t>2007 m. birželio 28 d. sprendimu Nr. 1-3-13</w:t>
      </w:r>
      <w:r>
        <w:t xml:space="preserve"> </w:t>
      </w:r>
      <w:r w:rsidR="00FF40F1">
        <w:t>patvirtintas</w:t>
      </w:r>
      <w:r>
        <w:t xml:space="preserve"> didžiausi</w:t>
      </w:r>
      <w:r w:rsidR="00FF40F1">
        <w:t>as</w:t>
      </w:r>
      <w:r>
        <w:t xml:space="preserve"> leistin</w:t>
      </w:r>
      <w:r w:rsidR="00FF40F1">
        <w:t>as pareigybių (etatų) skaičius</w:t>
      </w:r>
      <w:r>
        <w:t xml:space="preserve">. Šiuo sprendimu siūloma </w:t>
      </w:r>
      <w:r w:rsidR="00782443">
        <w:t xml:space="preserve">iki gruodžio </w:t>
      </w:r>
      <w:r w:rsidR="00782443">
        <w:rPr>
          <w:lang w:val="en-US"/>
        </w:rPr>
        <w:t xml:space="preserve">10 d.  </w:t>
      </w:r>
      <w:r>
        <w:t>pa</w:t>
      </w:r>
      <w:r w:rsidR="00782443">
        <w:t xml:space="preserve">rengti </w:t>
      </w:r>
      <w:r>
        <w:t xml:space="preserve"> naują struktūrą ir nustatyti didžiausią leistiną valstybės tarnautojų pareigybių ir darbuotojų, dirbančių pagal darbo sutartis, skaičių – </w:t>
      </w:r>
      <w:r w:rsidR="00FF40F1">
        <w:t>245</w:t>
      </w:r>
      <w:r>
        <w:t xml:space="preserve"> (mažėja </w:t>
      </w:r>
      <w:r w:rsidR="00FF40F1">
        <w:t>25</w:t>
      </w:r>
      <w:r>
        <w:t xml:space="preserve"> pareigybėmis (etatais).</w:t>
      </w:r>
    </w:p>
    <w:p w:rsidR="001B478F" w:rsidRDefault="001B478F" w:rsidP="001B478F">
      <w:pPr>
        <w:spacing w:line="360" w:lineRule="auto"/>
        <w:jc w:val="both"/>
        <w:rPr>
          <w:b/>
        </w:rPr>
      </w:pPr>
      <w:r w:rsidRPr="00833109">
        <w:rPr>
          <w:b/>
        </w:rPr>
        <w:lastRenderedPageBreak/>
        <w:t xml:space="preserve">3. </w:t>
      </w:r>
      <w:r>
        <w:rPr>
          <w:b/>
        </w:rPr>
        <w:t>Galimos teigiamos ar</w:t>
      </w:r>
      <w:r w:rsidRPr="00833109">
        <w:t xml:space="preserve"> </w:t>
      </w:r>
      <w:r w:rsidRPr="00833109">
        <w:rPr>
          <w:b/>
        </w:rPr>
        <w:t>neigiamos priimto teisės akto pasekmės</w:t>
      </w:r>
      <w:r>
        <w:rPr>
          <w:b/>
        </w:rPr>
        <w:t>,</w:t>
      </w:r>
      <w:r w:rsidRPr="00833109">
        <w:rPr>
          <w:b/>
        </w:rPr>
        <w:t xml:space="preserve"> kokių priemonių būtina imtis, siekiant </w:t>
      </w:r>
      <w:r>
        <w:rPr>
          <w:b/>
        </w:rPr>
        <w:t xml:space="preserve">pastarųjų </w:t>
      </w:r>
      <w:r w:rsidRPr="00833109">
        <w:rPr>
          <w:b/>
        </w:rPr>
        <w:t>išvengti</w:t>
      </w:r>
    </w:p>
    <w:p w:rsidR="001B478F" w:rsidRPr="000D2B5C" w:rsidRDefault="001B478F" w:rsidP="001B478F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b/>
          <w:sz w:val="18"/>
          <w:szCs w:val="18"/>
        </w:rPr>
        <w:tab/>
      </w:r>
      <w:r w:rsidRPr="000D2B5C">
        <w:rPr>
          <w:szCs w:val="24"/>
        </w:rPr>
        <w:t>Neigiamų pasekmių nenumatoma.</w:t>
      </w:r>
      <w:r>
        <w:rPr>
          <w:szCs w:val="24"/>
        </w:rPr>
        <w:t xml:space="preserve"> Savivaldybės administracijos direktorius, įgyvendindamas šį sprendimą, pagal teisės aktų reikalavimus turės </w:t>
      </w:r>
      <w:r w:rsidR="00B57EB4">
        <w:rPr>
          <w:szCs w:val="24"/>
        </w:rPr>
        <w:t xml:space="preserve">parengti naują administracijos struktūrą, atlikti ir pateikti Tarybos komitetams būsimo </w:t>
      </w:r>
      <w:r w:rsidR="00B57EB4" w:rsidRPr="00B57EB4">
        <w:rPr>
          <w:szCs w:val="24"/>
        </w:rPr>
        <w:t>valdymo efektyvumo ir veiklos kokybės bei funkcinių ryšių pagrįstumo analiz</w:t>
      </w:r>
      <w:r w:rsidR="00B57EB4">
        <w:rPr>
          <w:szCs w:val="24"/>
        </w:rPr>
        <w:t>ę</w:t>
      </w:r>
      <w:r w:rsidR="00B57EB4" w:rsidRPr="00B57EB4">
        <w:rPr>
          <w:szCs w:val="24"/>
        </w:rPr>
        <w:t>, nurodyt</w:t>
      </w:r>
      <w:r w:rsidR="00B57EB4">
        <w:rPr>
          <w:szCs w:val="24"/>
        </w:rPr>
        <w:t>i</w:t>
      </w:r>
      <w:r w:rsidR="00B57EB4" w:rsidRPr="00B57EB4">
        <w:rPr>
          <w:szCs w:val="24"/>
        </w:rPr>
        <w:t xml:space="preserve"> skyrių funkcij</w:t>
      </w:r>
      <w:r w:rsidR="00B57EB4">
        <w:rPr>
          <w:szCs w:val="24"/>
        </w:rPr>
        <w:t>as</w:t>
      </w:r>
      <w:r w:rsidR="00B57EB4" w:rsidRPr="00B57EB4">
        <w:rPr>
          <w:szCs w:val="24"/>
        </w:rPr>
        <w:t>s ir numatom</w:t>
      </w:r>
      <w:r w:rsidR="00B57EB4">
        <w:rPr>
          <w:szCs w:val="24"/>
        </w:rPr>
        <w:t>ą</w:t>
      </w:r>
      <w:r w:rsidR="00B57EB4" w:rsidRPr="00B57EB4">
        <w:rPr>
          <w:szCs w:val="24"/>
        </w:rPr>
        <w:t xml:space="preserve">  jų darbuotojų skaiči</w:t>
      </w:r>
      <w:r w:rsidR="00B57EB4">
        <w:rPr>
          <w:szCs w:val="24"/>
        </w:rPr>
        <w:t xml:space="preserve">ų. </w:t>
      </w:r>
    </w:p>
    <w:p w:rsidR="001B478F" w:rsidRPr="00833109" w:rsidRDefault="001B478F" w:rsidP="001B478F">
      <w:pPr>
        <w:spacing w:line="360" w:lineRule="auto"/>
        <w:jc w:val="both"/>
        <w:rPr>
          <w:b/>
        </w:rPr>
      </w:pPr>
      <w:r w:rsidRPr="00833109">
        <w:rPr>
          <w:b/>
        </w:rPr>
        <w:t xml:space="preserve">4. Suderinamumas su </w:t>
      </w:r>
      <w:r>
        <w:rPr>
          <w:b/>
        </w:rPr>
        <w:t>Lietuvos Respublikos galiojančiais teisės norminiais aktais</w:t>
      </w:r>
      <w:r w:rsidR="004E1ABD">
        <w:rPr>
          <w:b/>
        </w:rPr>
        <w:t>:</w:t>
      </w:r>
    </w:p>
    <w:p w:rsidR="001B478F" w:rsidRDefault="001B478F" w:rsidP="001B478F">
      <w:pPr>
        <w:tabs>
          <w:tab w:val="left" w:pos="900"/>
        </w:tabs>
        <w:spacing w:line="360" w:lineRule="auto"/>
        <w:jc w:val="both"/>
      </w:pPr>
      <w:r>
        <w:tab/>
        <w:t xml:space="preserve">Neprieštarauja galiojantiems teisės aktams. </w:t>
      </w:r>
    </w:p>
    <w:p w:rsidR="001B478F" w:rsidRPr="00833109" w:rsidRDefault="001B478F" w:rsidP="001B478F">
      <w:pPr>
        <w:spacing w:line="360" w:lineRule="auto"/>
        <w:jc w:val="both"/>
        <w:rPr>
          <w:b/>
        </w:rPr>
      </w:pPr>
      <w:r w:rsidRPr="00833109">
        <w:rPr>
          <w:b/>
        </w:rPr>
        <w:t xml:space="preserve">5. Priimtam teisės aktui įgyvendinti reikalingi papildomi </w:t>
      </w:r>
      <w:r>
        <w:rPr>
          <w:b/>
        </w:rPr>
        <w:t xml:space="preserve">(priimti, pakeisti) </w:t>
      </w:r>
      <w:r w:rsidRPr="00833109">
        <w:rPr>
          <w:b/>
        </w:rPr>
        <w:t>teisės aktai</w:t>
      </w:r>
      <w:r w:rsidR="004E1ABD">
        <w:rPr>
          <w:b/>
        </w:rPr>
        <w:t>:</w:t>
      </w:r>
    </w:p>
    <w:p w:rsidR="001B478F" w:rsidRDefault="001B478F" w:rsidP="001B478F">
      <w:pPr>
        <w:tabs>
          <w:tab w:val="left" w:pos="900"/>
        </w:tabs>
        <w:spacing w:line="360" w:lineRule="auto"/>
        <w:jc w:val="both"/>
        <w:rPr>
          <w:szCs w:val="24"/>
        </w:rPr>
      </w:pPr>
      <w:r w:rsidRPr="00391C52">
        <w:rPr>
          <w:szCs w:val="24"/>
        </w:rPr>
        <w:tab/>
      </w:r>
      <w:r>
        <w:rPr>
          <w:szCs w:val="24"/>
        </w:rPr>
        <w:t xml:space="preserve">Priėmus teikiamą sprendimo projektą, bus </w:t>
      </w:r>
      <w:r w:rsidR="00782443">
        <w:rPr>
          <w:szCs w:val="24"/>
        </w:rPr>
        <w:t xml:space="preserve">parengta ir vėliau patvirtinta nauja administracijos </w:t>
      </w:r>
      <w:r>
        <w:rPr>
          <w:szCs w:val="24"/>
        </w:rPr>
        <w:t>keičiamas Panevėžio miesto savivaldybės administracijos pareigybių sąrašas, struktūrinių padalinių nuostatai ir pareigybių aprašymai.</w:t>
      </w:r>
    </w:p>
    <w:p w:rsidR="001B478F" w:rsidRDefault="001B478F" w:rsidP="001B478F">
      <w:pPr>
        <w:spacing w:line="360" w:lineRule="auto"/>
        <w:jc w:val="both"/>
        <w:rPr>
          <w:b/>
        </w:rPr>
      </w:pPr>
      <w:r w:rsidRPr="00833109">
        <w:rPr>
          <w:b/>
        </w:rPr>
        <w:t>6. Biudžeto lėšų poreikis teisės aktui įgyvendinti</w:t>
      </w:r>
      <w:r w:rsidR="004E1ABD">
        <w:rPr>
          <w:b/>
        </w:rPr>
        <w:t>:</w:t>
      </w:r>
    </w:p>
    <w:p w:rsidR="00FC3AAB" w:rsidRPr="00B57EB4" w:rsidRDefault="00FC3AAB" w:rsidP="00B57EB4">
      <w:pPr>
        <w:spacing w:line="360" w:lineRule="auto"/>
        <w:rPr>
          <w:color w:val="000000"/>
        </w:rPr>
      </w:pPr>
      <w:r>
        <w:rPr>
          <w:b/>
        </w:rPr>
        <w:t xml:space="preserve">               </w:t>
      </w:r>
      <w:r w:rsidR="00B57EB4" w:rsidRPr="00B57EB4">
        <w:t xml:space="preserve">Nėra. </w:t>
      </w:r>
    </w:p>
    <w:p w:rsidR="001B478F" w:rsidRDefault="001B478F" w:rsidP="00FC3AAB">
      <w:pPr>
        <w:tabs>
          <w:tab w:val="left" w:pos="900"/>
        </w:tabs>
        <w:spacing w:line="360" w:lineRule="auto"/>
        <w:jc w:val="both"/>
        <w:rPr>
          <w:b/>
          <w:bCs/>
        </w:rPr>
      </w:pPr>
      <w:r>
        <w:rPr>
          <w:b/>
        </w:rPr>
        <w:t>7</w:t>
      </w:r>
      <w:r w:rsidRPr="00833109">
        <w:t xml:space="preserve">. </w:t>
      </w:r>
      <w:r w:rsidRPr="00833109">
        <w:rPr>
          <w:b/>
          <w:bCs/>
        </w:rPr>
        <w:t>T</w:t>
      </w:r>
      <w:r w:rsidRPr="00833109">
        <w:rPr>
          <w:b/>
        </w:rPr>
        <w:t>eisės akto projekto</w:t>
      </w:r>
      <w:r w:rsidRPr="00833109">
        <w:rPr>
          <w:b/>
          <w:bCs/>
        </w:rPr>
        <w:t xml:space="preserve"> iniciatoriai: institucija, asmenys ar piliečių įgalioti atstovai</w:t>
      </w:r>
      <w:r w:rsidR="004E1ABD">
        <w:rPr>
          <w:b/>
          <w:bCs/>
        </w:rPr>
        <w:t>:</w:t>
      </w:r>
    </w:p>
    <w:p w:rsidR="00782443" w:rsidRPr="00782443" w:rsidRDefault="00782443" w:rsidP="00FC3AAB">
      <w:pPr>
        <w:tabs>
          <w:tab w:val="left" w:pos="900"/>
        </w:tabs>
        <w:spacing w:line="360" w:lineRule="auto"/>
        <w:jc w:val="both"/>
        <w:rPr>
          <w:bCs/>
        </w:rPr>
      </w:pPr>
      <w:r w:rsidRPr="00782443">
        <w:rPr>
          <w:bCs/>
        </w:rPr>
        <w:t xml:space="preserve">Tarybos opozicija </w:t>
      </w:r>
    </w:p>
    <w:p w:rsidR="001B478F" w:rsidRDefault="001B478F" w:rsidP="001B478F">
      <w:pPr>
        <w:spacing w:line="360" w:lineRule="auto"/>
        <w:jc w:val="both"/>
        <w:rPr>
          <w:bCs/>
        </w:rPr>
      </w:pPr>
      <w:r w:rsidRPr="00833109">
        <w:rPr>
          <w:b/>
        </w:rPr>
        <w:t>8. Teisės akto projekto autoriai (rengėjai)</w:t>
      </w:r>
      <w:r w:rsidR="004E1ABD">
        <w:rPr>
          <w:b/>
        </w:rPr>
        <w:t>:</w:t>
      </w:r>
      <w:r>
        <w:rPr>
          <w:b/>
        </w:rPr>
        <w:t xml:space="preserve"> </w:t>
      </w:r>
    </w:p>
    <w:p w:rsidR="001B478F" w:rsidRDefault="00782443" w:rsidP="001B478F">
      <w:pPr>
        <w:ind w:firstLine="900"/>
        <w:jc w:val="both"/>
      </w:pPr>
      <w:r>
        <w:t xml:space="preserve">Tarybos opozicija </w:t>
      </w:r>
      <w:r w:rsidR="00081A60">
        <w:t>.</w:t>
      </w:r>
    </w:p>
    <w:p w:rsidR="001B478F" w:rsidRDefault="001B478F" w:rsidP="001B478F">
      <w:pPr>
        <w:jc w:val="both"/>
      </w:pPr>
    </w:p>
    <w:p w:rsidR="001B478F" w:rsidRDefault="001B478F" w:rsidP="001B478F">
      <w:pPr>
        <w:jc w:val="both"/>
      </w:pPr>
    </w:p>
    <w:p w:rsidR="001B478F" w:rsidRDefault="001B478F" w:rsidP="001B478F">
      <w:pPr>
        <w:jc w:val="both"/>
      </w:pPr>
    </w:p>
    <w:p w:rsidR="001B478F" w:rsidRDefault="00782443" w:rsidP="001B478F">
      <w:pPr>
        <w:jc w:val="both"/>
      </w:pPr>
      <w:r>
        <w:t xml:space="preserve">Opozicijos vadovė </w:t>
      </w:r>
      <w:r w:rsidR="001B478F">
        <w:tab/>
      </w:r>
      <w:r w:rsidR="001B478F">
        <w:tab/>
      </w:r>
      <w:r w:rsidR="001B478F">
        <w:tab/>
      </w:r>
      <w:r>
        <w:t xml:space="preserve"> Gema Umbrasienė </w:t>
      </w:r>
    </w:p>
    <w:p w:rsidR="001B478F" w:rsidRDefault="001B478F" w:rsidP="001B478F">
      <w:pPr>
        <w:jc w:val="both"/>
      </w:pPr>
    </w:p>
    <w:p w:rsidR="001B478F" w:rsidRDefault="001B478F"/>
    <w:sectPr w:rsidR="001B478F" w:rsidSect="00C47E18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873AE"/>
    <w:multiLevelType w:val="multilevel"/>
    <w:tmpl w:val="50067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1B10D9"/>
    <w:multiLevelType w:val="hybridMultilevel"/>
    <w:tmpl w:val="FDC6569A"/>
    <w:lvl w:ilvl="0" w:tplc="D00039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52"/>
    <w:rsid w:val="000168EE"/>
    <w:rsid w:val="000235E5"/>
    <w:rsid w:val="00040AE4"/>
    <w:rsid w:val="0004215E"/>
    <w:rsid w:val="00080E36"/>
    <w:rsid w:val="00081A60"/>
    <w:rsid w:val="00092626"/>
    <w:rsid w:val="000F6DF2"/>
    <w:rsid w:val="0012084D"/>
    <w:rsid w:val="00157791"/>
    <w:rsid w:val="00190772"/>
    <w:rsid w:val="001A3FC6"/>
    <w:rsid w:val="001B478F"/>
    <w:rsid w:val="001C3861"/>
    <w:rsid w:val="001F41E2"/>
    <w:rsid w:val="002643FE"/>
    <w:rsid w:val="00296AD9"/>
    <w:rsid w:val="002B7855"/>
    <w:rsid w:val="002C70BD"/>
    <w:rsid w:val="002D0524"/>
    <w:rsid w:val="00340CFA"/>
    <w:rsid w:val="003822CD"/>
    <w:rsid w:val="00391CD5"/>
    <w:rsid w:val="003C462D"/>
    <w:rsid w:val="003D362B"/>
    <w:rsid w:val="003D5160"/>
    <w:rsid w:val="00406E1E"/>
    <w:rsid w:val="00423C5C"/>
    <w:rsid w:val="00495558"/>
    <w:rsid w:val="004D0C89"/>
    <w:rsid w:val="004E1ABD"/>
    <w:rsid w:val="004E3164"/>
    <w:rsid w:val="006236CB"/>
    <w:rsid w:val="006242C3"/>
    <w:rsid w:val="0066321F"/>
    <w:rsid w:val="00666496"/>
    <w:rsid w:val="007263F6"/>
    <w:rsid w:val="00754075"/>
    <w:rsid w:val="00761C4B"/>
    <w:rsid w:val="00780BF4"/>
    <w:rsid w:val="00782443"/>
    <w:rsid w:val="00784A2C"/>
    <w:rsid w:val="00787EAD"/>
    <w:rsid w:val="00796B3B"/>
    <w:rsid w:val="008174E0"/>
    <w:rsid w:val="0082744E"/>
    <w:rsid w:val="00832243"/>
    <w:rsid w:val="00833A36"/>
    <w:rsid w:val="00853DF5"/>
    <w:rsid w:val="00881883"/>
    <w:rsid w:val="00885473"/>
    <w:rsid w:val="008934C9"/>
    <w:rsid w:val="008C119C"/>
    <w:rsid w:val="008D4BB7"/>
    <w:rsid w:val="008F6D5E"/>
    <w:rsid w:val="00963955"/>
    <w:rsid w:val="00972744"/>
    <w:rsid w:val="009B2303"/>
    <w:rsid w:val="009E35FB"/>
    <w:rsid w:val="00A05444"/>
    <w:rsid w:val="00A13166"/>
    <w:rsid w:val="00A659B8"/>
    <w:rsid w:val="00A871B7"/>
    <w:rsid w:val="00AB1497"/>
    <w:rsid w:val="00AB43DA"/>
    <w:rsid w:val="00AD0FE6"/>
    <w:rsid w:val="00AD1600"/>
    <w:rsid w:val="00AE31C2"/>
    <w:rsid w:val="00B57EB4"/>
    <w:rsid w:val="00C012C1"/>
    <w:rsid w:val="00C2281C"/>
    <w:rsid w:val="00C23D75"/>
    <w:rsid w:val="00C47E18"/>
    <w:rsid w:val="00C7244E"/>
    <w:rsid w:val="00CC274D"/>
    <w:rsid w:val="00CE4549"/>
    <w:rsid w:val="00D42F1C"/>
    <w:rsid w:val="00D67D64"/>
    <w:rsid w:val="00DA2999"/>
    <w:rsid w:val="00DA3852"/>
    <w:rsid w:val="00DE1B64"/>
    <w:rsid w:val="00DE2450"/>
    <w:rsid w:val="00E13A15"/>
    <w:rsid w:val="00E423C8"/>
    <w:rsid w:val="00E461E3"/>
    <w:rsid w:val="00EB76DD"/>
    <w:rsid w:val="00EF2E25"/>
    <w:rsid w:val="00F10AA7"/>
    <w:rsid w:val="00F2091B"/>
    <w:rsid w:val="00FC3AAB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52"/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52"/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2498</Words>
  <Characters>1425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 Silantjeva</dc:creator>
  <cp:lastModifiedBy>W7</cp:lastModifiedBy>
  <cp:revision>2</cp:revision>
  <dcterms:created xsi:type="dcterms:W3CDTF">2015-11-20T11:53:00Z</dcterms:created>
  <dcterms:modified xsi:type="dcterms:W3CDTF">2015-11-20T11:53:00Z</dcterms:modified>
</cp:coreProperties>
</file>