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9C" w:rsidRPr="009D143B" w:rsidRDefault="006E14D9">
      <w:pPr>
        <w:rPr>
          <w:b/>
        </w:rPr>
      </w:pPr>
      <w:r w:rsidRPr="009D143B">
        <w:rPr>
          <w:b/>
        </w:rPr>
        <w:t>PRIEDAS PRIE AIŠKINAMOJO RAŠTO</w:t>
      </w:r>
    </w:p>
    <w:p w:rsidR="00FC334F" w:rsidRPr="00B463E2" w:rsidRDefault="00FC334F" w:rsidP="00FC334F">
      <w:pPr>
        <w:jc w:val="both"/>
        <w:rPr>
          <w:b/>
          <w:color w:val="FF0000"/>
        </w:rPr>
      </w:pPr>
    </w:p>
    <w:p w:rsidR="00616E08" w:rsidRPr="00AA5C8D" w:rsidRDefault="00845C55" w:rsidP="00AA5C8D">
      <w:pPr>
        <w:spacing w:before="360" w:after="240"/>
        <w:ind w:firstLine="748"/>
        <w:jc w:val="both"/>
      </w:pPr>
      <w:r w:rsidRPr="006770A7">
        <w:t xml:space="preserve">Sprendimo projektą sudaro </w:t>
      </w:r>
      <w:r w:rsidR="00253A3F" w:rsidRPr="006770A7">
        <w:t xml:space="preserve">3 </w:t>
      </w:r>
      <w:r w:rsidRPr="006770A7">
        <w:t>priedai</w:t>
      </w:r>
      <w:r w:rsidR="00616E08" w:rsidRPr="006770A7">
        <w:t>:</w:t>
      </w:r>
      <w:r w:rsidR="00616E08" w:rsidRPr="00B463E2">
        <w:rPr>
          <w:color w:val="FF0000"/>
        </w:rPr>
        <w:t xml:space="preserve"> </w:t>
      </w:r>
      <w:r w:rsidR="00616E08" w:rsidRPr="006770A7">
        <w:t xml:space="preserve">1 priedas. Panevėžio miesto plėtros strateginio plano įgyvendinimo vizijos </w:t>
      </w:r>
      <w:r w:rsidR="00616E08" w:rsidRPr="00B77DE8">
        <w:t>rodikliai; 2 priedas.</w:t>
      </w:r>
      <w:r w:rsidR="00B77DE8" w:rsidRPr="00B77DE8">
        <w:rPr>
          <w:color w:val="FF0000"/>
        </w:rPr>
        <w:t xml:space="preserve"> </w:t>
      </w:r>
      <w:r w:rsidR="00B77DE8" w:rsidRPr="00B77DE8">
        <w:t>Panevėžio miesto plėtros strateginio plano įgyvendinimo prioritetų rodikliai</w:t>
      </w:r>
      <w:r w:rsidR="00B77DE8" w:rsidRPr="00AA5C8D">
        <w:t>;</w:t>
      </w:r>
      <w:r w:rsidR="00616E08" w:rsidRPr="00AA5C8D">
        <w:t xml:space="preserve"> 3 priedas. </w:t>
      </w:r>
      <w:r w:rsidR="00AA5C8D" w:rsidRPr="00AA5C8D">
        <w:t xml:space="preserve">Priemonių įgyvendinimo lygio rodikliai už 2014 m. </w:t>
      </w:r>
      <w:r w:rsidR="003A2581">
        <w:t>(V</w:t>
      </w:r>
      <w:r w:rsidR="00AA5C8D" w:rsidRPr="00AA5C8D">
        <w:t>isi prioritetai)</w:t>
      </w:r>
      <w:r w:rsidR="00AA5C8D">
        <w:t>.</w:t>
      </w:r>
    </w:p>
    <w:p w:rsidR="00845C55" w:rsidRPr="00AA5C8D" w:rsidRDefault="00845C55" w:rsidP="00845C55">
      <w:pPr>
        <w:ind w:firstLine="748"/>
        <w:jc w:val="both"/>
      </w:pPr>
      <w:r w:rsidRPr="00AA5C8D">
        <w:t>20</w:t>
      </w:r>
      <w:r w:rsidR="00DA50A8" w:rsidRPr="00AA5C8D">
        <w:t>1</w:t>
      </w:r>
      <w:r w:rsidR="00AA5C8D" w:rsidRPr="00AA5C8D">
        <w:t>4</w:t>
      </w:r>
      <w:r w:rsidRPr="00AA5C8D">
        <w:t xml:space="preserve"> m. numatyta įgyvendinti </w:t>
      </w:r>
      <w:r w:rsidR="00A770CB" w:rsidRPr="00AA5C8D">
        <w:t>1</w:t>
      </w:r>
      <w:r w:rsidR="00AA5C8D" w:rsidRPr="00AA5C8D">
        <w:t xml:space="preserve">24 </w:t>
      </w:r>
      <w:r w:rsidR="00FD4BC4" w:rsidRPr="00AA5C8D">
        <w:t>priemon</w:t>
      </w:r>
      <w:r w:rsidR="00AA5C8D" w:rsidRPr="00AA5C8D">
        <w:t>es</w:t>
      </w:r>
      <w:r w:rsidRPr="00AA5C8D">
        <w:t>. Strateginio plano įgyvendinimas už 20</w:t>
      </w:r>
      <w:r w:rsidR="00FD4BC4" w:rsidRPr="00AA5C8D">
        <w:t>1</w:t>
      </w:r>
      <w:r w:rsidR="00AA5C8D" w:rsidRPr="00AA5C8D">
        <w:t>4</w:t>
      </w:r>
      <w:r w:rsidRPr="00AA5C8D">
        <w:t xml:space="preserve"> m. siekia </w:t>
      </w:r>
      <w:r w:rsidR="009D143B" w:rsidRPr="00AA5C8D">
        <w:t>8</w:t>
      </w:r>
      <w:r w:rsidR="00AA5C8D" w:rsidRPr="00AA5C8D">
        <w:t>6</w:t>
      </w:r>
      <w:r w:rsidRPr="00AA5C8D">
        <w:t xml:space="preserve"> proc., t.y. buvo vykdom</w:t>
      </w:r>
      <w:r w:rsidR="00710EBA" w:rsidRPr="00AA5C8D">
        <w:t>a</w:t>
      </w:r>
      <w:r w:rsidR="00AA5C8D" w:rsidRPr="00AA5C8D">
        <w:t xml:space="preserve"> </w:t>
      </w:r>
      <w:r w:rsidR="006870CF">
        <w:t>arba iš dalies</w:t>
      </w:r>
      <w:r w:rsidR="00AA5C8D" w:rsidRPr="00AA5C8D">
        <w:t xml:space="preserve"> vykdoma</w:t>
      </w:r>
      <w:r w:rsidRPr="00AA5C8D">
        <w:t xml:space="preserve"> </w:t>
      </w:r>
      <w:r w:rsidR="009D143B" w:rsidRPr="00AA5C8D">
        <w:t>10</w:t>
      </w:r>
      <w:r w:rsidR="00AA5C8D" w:rsidRPr="00AA5C8D">
        <w:t>7</w:t>
      </w:r>
      <w:r w:rsidRPr="00AA5C8D">
        <w:t>, nevykdoma</w:t>
      </w:r>
      <w:r w:rsidR="00CB2843" w:rsidRPr="00AA5C8D">
        <w:t xml:space="preserve"> </w:t>
      </w:r>
      <w:r w:rsidRPr="00AA5C8D">
        <w:t xml:space="preserve"> </w:t>
      </w:r>
      <w:r w:rsidR="009D143B" w:rsidRPr="00AA5C8D">
        <w:t>1</w:t>
      </w:r>
      <w:r w:rsidR="00AA5C8D" w:rsidRPr="00AA5C8D">
        <w:t>7</w:t>
      </w:r>
      <w:r w:rsidRPr="00AA5C8D">
        <w:t xml:space="preserve"> (</w:t>
      </w:r>
      <w:r w:rsidR="005A7C18" w:rsidRPr="00AA5C8D">
        <w:t>1</w:t>
      </w:r>
      <w:r w:rsidR="00AA5C8D" w:rsidRPr="00AA5C8D">
        <w:t>4</w:t>
      </w:r>
      <w:r w:rsidRPr="00AA5C8D">
        <w:t xml:space="preserve"> proc.) miesto plėtros strateginio plano priemonių (žr.1 diagramą). </w:t>
      </w:r>
    </w:p>
    <w:p w:rsidR="00CB2843" w:rsidRPr="00B463E2" w:rsidRDefault="00F17A52" w:rsidP="00845C55">
      <w:pPr>
        <w:ind w:firstLine="748"/>
        <w:jc w:val="both"/>
        <w:rPr>
          <w:color w:val="FF0000"/>
        </w:rPr>
      </w:pPr>
      <w:r w:rsidRPr="00F17A52">
        <w:rPr>
          <w:noProof/>
          <w:color w:val="FF0000"/>
          <w:lang w:val="en-US" w:eastAsia="en-US"/>
        </w:rPr>
        <w:drawing>
          <wp:inline distT="0" distB="0" distL="0" distR="0">
            <wp:extent cx="4514850" cy="269557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5C55" w:rsidRPr="007D5F06" w:rsidRDefault="00845C55" w:rsidP="005251A3">
      <w:pPr>
        <w:tabs>
          <w:tab w:val="left" w:pos="748"/>
        </w:tabs>
        <w:jc w:val="both"/>
        <w:rPr>
          <w:noProof/>
        </w:rPr>
      </w:pPr>
      <w:r w:rsidRPr="00B463E2">
        <w:rPr>
          <w:b/>
          <w:noProof/>
          <w:color w:val="FF0000"/>
        </w:rPr>
        <w:tab/>
      </w:r>
      <w:r w:rsidRPr="007D5F06">
        <w:rPr>
          <w:noProof/>
        </w:rPr>
        <w:t>20</w:t>
      </w:r>
      <w:r w:rsidR="00FD4BC4" w:rsidRPr="007D5F06">
        <w:rPr>
          <w:noProof/>
        </w:rPr>
        <w:t>1</w:t>
      </w:r>
      <w:r w:rsidR="00AD7F93" w:rsidRPr="007D5F06">
        <w:rPr>
          <w:noProof/>
        </w:rPr>
        <w:t>4</w:t>
      </w:r>
      <w:r w:rsidRPr="007D5F06">
        <w:rPr>
          <w:noProof/>
        </w:rPr>
        <w:t xml:space="preserve"> m.</w:t>
      </w:r>
      <w:r w:rsidR="00936D8B" w:rsidRPr="007D5F06">
        <w:rPr>
          <w:noProof/>
        </w:rPr>
        <w:t xml:space="preserve"> </w:t>
      </w:r>
      <w:r w:rsidRPr="007D5F06">
        <w:rPr>
          <w:noProof/>
        </w:rPr>
        <w:t xml:space="preserve">Panevėžio miesto plėtros strateginiam planui įgyvendinti </w:t>
      </w:r>
      <w:r w:rsidR="00EE29EC" w:rsidRPr="007D5F06">
        <w:rPr>
          <w:noProof/>
        </w:rPr>
        <w:t xml:space="preserve">buvo panaudota </w:t>
      </w:r>
      <w:r w:rsidR="007D5F06" w:rsidRPr="007D5F06">
        <w:rPr>
          <w:noProof/>
        </w:rPr>
        <w:t>45122,</w:t>
      </w:r>
      <w:r w:rsidR="00545EF9">
        <w:rPr>
          <w:noProof/>
        </w:rPr>
        <w:t>6</w:t>
      </w:r>
      <w:r w:rsidR="00936D8B" w:rsidRPr="007D5F06">
        <w:rPr>
          <w:noProof/>
        </w:rPr>
        <w:t xml:space="preserve"> </w:t>
      </w:r>
      <w:r w:rsidR="00EE29EC" w:rsidRPr="007D5F06">
        <w:rPr>
          <w:noProof/>
        </w:rPr>
        <w:t xml:space="preserve"> tūkst.</w:t>
      </w:r>
      <w:r w:rsidR="00710EBA" w:rsidRPr="007D5F06">
        <w:rPr>
          <w:noProof/>
        </w:rPr>
        <w:t xml:space="preserve"> </w:t>
      </w:r>
      <w:r w:rsidR="00EE29EC" w:rsidRPr="007D5F06">
        <w:rPr>
          <w:noProof/>
        </w:rPr>
        <w:t>Lt</w:t>
      </w:r>
      <w:r w:rsidR="007D5F06" w:rsidRPr="007D5F06">
        <w:rPr>
          <w:noProof/>
        </w:rPr>
        <w:t xml:space="preserve"> (13068,4 tūkst.EUR)</w:t>
      </w:r>
      <w:r w:rsidR="00850707">
        <w:rPr>
          <w:noProof/>
        </w:rPr>
        <w:t>.</w:t>
      </w:r>
      <w:r w:rsidR="00EE29EC" w:rsidRPr="007D5F06">
        <w:rPr>
          <w:noProof/>
        </w:rPr>
        <w:t xml:space="preserve"> Detalesnis </w:t>
      </w:r>
      <w:r w:rsidRPr="007D5F06">
        <w:rPr>
          <w:noProof/>
        </w:rPr>
        <w:t>lėšų pasiskirstymas parodytas 2 diagramoje.</w:t>
      </w:r>
    </w:p>
    <w:p w:rsidR="00845C55" w:rsidRPr="00B463E2" w:rsidRDefault="00845C55" w:rsidP="00845C55">
      <w:pPr>
        <w:ind w:firstLine="748"/>
        <w:jc w:val="both"/>
        <w:rPr>
          <w:color w:val="FF0000"/>
        </w:rPr>
      </w:pPr>
    </w:p>
    <w:p w:rsidR="00B27777" w:rsidRPr="00B463E2" w:rsidRDefault="00717293" w:rsidP="00845C55">
      <w:pPr>
        <w:ind w:firstLine="748"/>
        <w:jc w:val="both"/>
        <w:rPr>
          <w:noProof/>
          <w:color w:val="FF0000"/>
        </w:rPr>
      </w:pPr>
      <w:r w:rsidRPr="00B463E2">
        <w:rPr>
          <w:noProof/>
          <w:color w:val="FF0000"/>
          <w:lang w:val="en-US" w:eastAsia="en-US"/>
        </w:rPr>
        <w:drawing>
          <wp:inline distT="0" distB="0" distL="0" distR="0">
            <wp:extent cx="5248275" cy="3057525"/>
            <wp:effectExtent l="19050" t="0" r="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C55" w:rsidRPr="00B463E2" w:rsidRDefault="00700F2A" w:rsidP="00845C55">
      <w:pPr>
        <w:tabs>
          <w:tab w:val="left" w:pos="748"/>
        </w:tabs>
        <w:jc w:val="both"/>
        <w:rPr>
          <w:color w:val="FF0000"/>
        </w:rPr>
      </w:pPr>
      <w:r w:rsidRPr="00B463E2">
        <w:rPr>
          <w:color w:val="FF0000"/>
        </w:rPr>
        <w:tab/>
      </w:r>
      <w:r w:rsidRPr="006870CF">
        <w:t xml:space="preserve">Strateginiam planui įgyvendinti </w:t>
      </w:r>
      <w:r w:rsidR="00845C55" w:rsidRPr="006870CF">
        <w:t xml:space="preserve"> </w:t>
      </w:r>
      <w:r w:rsidRPr="006870CF">
        <w:t>lėšų pasiskirstymas pagal prioritetus pavaizduotas 3 diagramoje. I prioritetas „</w:t>
      </w:r>
      <w:r w:rsidR="006870CF" w:rsidRPr="006870CF">
        <w:rPr>
          <w:i/>
        </w:rPr>
        <w:t>Panevėžio konkurencinio (</w:t>
      </w:r>
      <w:proofErr w:type="spellStart"/>
      <w:r w:rsidR="006870CF" w:rsidRPr="006870CF">
        <w:rPr>
          <w:i/>
        </w:rPr>
        <w:t>metropolinio</w:t>
      </w:r>
      <w:proofErr w:type="spellEnd"/>
      <w:r w:rsidR="006870CF" w:rsidRPr="006870CF">
        <w:rPr>
          <w:i/>
        </w:rPr>
        <w:t>) potencialo stiprinimas</w:t>
      </w:r>
      <w:r w:rsidRPr="006870CF">
        <w:t>“ panaudota</w:t>
      </w:r>
      <w:r w:rsidRPr="00B463E2">
        <w:rPr>
          <w:color w:val="FF0000"/>
        </w:rPr>
        <w:t xml:space="preserve"> </w:t>
      </w:r>
      <w:r w:rsidR="00545EF9" w:rsidRPr="00545EF9">
        <w:t>3837</w:t>
      </w:r>
      <w:r w:rsidR="00545EF9">
        <w:t>,0</w:t>
      </w:r>
      <w:r w:rsidRPr="00545EF9">
        <w:t xml:space="preserve"> tūkst.</w:t>
      </w:r>
      <w:r w:rsidR="00C412C9">
        <w:t xml:space="preserve"> </w:t>
      </w:r>
      <w:r w:rsidRPr="00545EF9">
        <w:t>Lt</w:t>
      </w:r>
      <w:r w:rsidR="00C412C9">
        <w:t xml:space="preserve"> (1111,3 tūkst. EUR)</w:t>
      </w:r>
      <w:r w:rsidRPr="00545EF9">
        <w:t>.</w:t>
      </w:r>
      <w:r w:rsidRPr="00B463E2">
        <w:rPr>
          <w:color w:val="FF0000"/>
        </w:rPr>
        <w:t xml:space="preserve"> </w:t>
      </w:r>
      <w:r w:rsidRPr="006870CF">
        <w:t>II prioritetas</w:t>
      </w:r>
      <w:r w:rsidRPr="006870CF">
        <w:rPr>
          <w:i/>
        </w:rPr>
        <w:t xml:space="preserve"> „</w:t>
      </w:r>
      <w:r w:rsidR="006870CF" w:rsidRPr="006870CF">
        <w:rPr>
          <w:i/>
        </w:rPr>
        <w:t>Kokybiškų gyvenimo sąlygų ir aukštos socialinės gerovės kūrimas</w:t>
      </w:r>
      <w:r w:rsidRPr="006870CF">
        <w:t>“ panaudota</w:t>
      </w:r>
      <w:r w:rsidRPr="00B463E2">
        <w:rPr>
          <w:color w:val="FF0000"/>
        </w:rPr>
        <w:t xml:space="preserve"> </w:t>
      </w:r>
      <w:r w:rsidR="00545EF9" w:rsidRPr="00545EF9">
        <w:t>17799,2</w:t>
      </w:r>
      <w:r w:rsidRPr="00545EF9">
        <w:t xml:space="preserve"> tūkst.</w:t>
      </w:r>
      <w:r w:rsidR="003E75F3" w:rsidRPr="00545EF9">
        <w:t xml:space="preserve"> </w:t>
      </w:r>
      <w:r w:rsidRPr="00545EF9">
        <w:t>Lt</w:t>
      </w:r>
      <w:r w:rsidR="00C412C9">
        <w:t xml:space="preserve"> (5155,0 tūkst. EUR)</w:t>
      </w:r>
      <w:r w:rsidRPr="00545EF9">
        <w:t xml:space="preserve">. </w:t>
      </w:r>
      <w:smartTag w:uri="urn:schemas-microsoft-com:office:smarttags" w:element="stockticker">
        <w:r w:rsidRPr="00545EF9">
          <w:t>III</w:t>
        </w:r>
      </w:smartTag>
      <w:r w:rsidRPr="00545EF9">
        <w:t xml:space="preserve"> prioritetas</w:t>
      </w:r>
      <w:r w:rsidRPr="00B463E2">
        <w:rPr>
          <w:i/>
          <w:color w:val="FF0000"/>
        </w:rPr>
        <w:t xml:space="preserve"> </w:t>
      </w:r>
      <w:r w:rsidRPr="0076564F">
        <w:rPr>
          <w:i/>
        </w:rPr>
        <w:t>„</w:t>
      </w:r>
      <w:r w:rsidR="0076564F" w:rsidRPr="0076564F">
        <w:rPr>
          <w:i/>
        </w:rPr>
        <w:t>Darni miesto teritorijų ir infrastruktūros plėtra</w:t>
      </w:r>
      <w:r w:rsidRPr="0076564F">
        <w:rPr>
          <w:i/>
        </w:rPr>
        <w:t>“</w:t>
      </w:r>
      <w:r w:rsidRPr="0076564F">
        <w:t xml:space="preserve"> panaudota</w:t>
      </w:r>
      <w:r w:rsidRPr="00B463E2">
        <w:rPr>
          <w:color w:val="FF0000"/>
        </w:rPr>
        <w:t xml:space="preserve"> </w:t>
      </w:r>
      <w:r w:rsidR="00545EF9" w:rsidRPr="00545EF9">
        <w:t>23486,4</w:t>
      </w:r>
      <w:r w:rsidR="003E75F3" w:rsidRPr="00545EF9">
        <w:t xml:space="preserve"> </w:t>
      </w:r>
      <w:r w:rsidRPr="00545EF9">
        <w:t xml:space="preserve"> tūkst.</w:t>
      </w:r>
      <w:r w:rsidR="003E75F3" w:rsidRPr="00545EF9">
        <w:t xml:space="preserve"> </w:t>
      </w:r>
      <w:r w:rsidRPr="00545EF9">
        <w:t>Lt</w:t>
      </w:r>
      <w:r w:rsidR="00C412C9">
        <w:t xml:space="preserve"> (6802,1 tūkst. EUR)</w:t>
      </w:r>
      <w:r w:rsidR="00C412C9" w:rsidRPr="00545EF9">
        <w:t>.</w:t>
      </w:r>
    </w:p>
    <w:p w:rsidR="00845C55" w:rsidRPr="00B463E2" w:rsidRDefault="003E75F3" w:rsidP="00845C55">
      <w:pPr>
        <w:ind w:firstLine="748"/>
        <w:jc w:val="both"/>
        <w:rPr>
          <w:noProof/>
          <w:color w:val="FF0000"/>
        </w:rPr>
      </w:pPr>
      <w:r w:rsidRPr="00B463E2">
        <w:rPr>
          <w:noProof/>
          <w:color w:val="FF0000"/>
          <w:lang w:val="en-US" w:eastAsia="en-US"/>
        </w:rPr>
        <w:lastRenderedPageBreak/>
        <w:drawing>
          <wp:inline distT="0" distB="0" distL="0" distR="0">
            <wp:extent cx="4676775" cy="2733675"/>
            <wp:effectExtent l="19050" t="0" r="0" b="0"/>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5C55" w:rsidRPr="00F344BA" w:rsidRDefault="00845C55" w:rsidP="00180A40">
      <w:pPr>
        <w:tabs>
          <w:tab w:val="left" w:pos="748"/>
        </w:tabs>
        <w:jc w:val="both"/>
        <w:rPr>
          <w:noProof/>
        </w:rPr>
      </w:pPr>
      <w:r w:rsidRPr="00B463E2">
        <w:rPr>
          <w:color w:val="FF0000"/>
        </w:rPr>
        <w:tab/>
      </w:r>
      <w:r w:rsidR="00180A40" w:rsidRPr="00B463E2">
        <w:rPr>
          <w:color w:val="FF0000"/>
        </w:rPr>
        <w:tab/>
      </w:r>
      <w:r w:rsidRPr="00F344BA">
        <w:rPr>
          <w:b/>
          <w:noProof/>
        </w:rPr>
        <w:t>I prioritetas.</w:t>
      </w:r>
      <w:r w:rsidR="00F344BA" w:rsidRPr="00F344BA">
        <w:rPr>
          <w:i/>
        </w:rPr>
        <w:t xml:space="preserve"> Panevėžio konkurencinio (</w:t>
      </w:r>
      <w:proofErr w:type="spellStart"/>
      <w:r w:rsidR="00F344BA" w:rsidRPr="00F344BA">
        <w:rPr>
          <w:i/>
        </w:rPr>
        <w:t>metropolinio</w:t>
      </w:r>
      <w:proofErr w:type="spellEnd"/>
      <w:r w:rsidR="00F344BA" w:rsidRPr="00F344BA">
        <w:rPr>
          <w:i/>
        </w:rPr>
        <w:t>) potencialo stiprinimas</w:t>
      </w:r>
      <w:r w:rsidR="00180A40" w:rsidRPr="00F344BA">
        <w:t xml:space="preserve">. </w:t>
      </w:r>
      <w:r w:rsidRPr="00F344BA">
        <w:rPr>
          <w:noProof/>
        </w:rPr>
        <w:t>Strateginio plano I-o prioriteto priemonių vykdymas pavaizduotas 4 diagramoje.</w:t>
      </w:r>
    </w:p>
    <w:p w:rsidR="00845C55" w:rsidRPr="00B463E2" w:rsidRDefault="003E03D1" w:rsidP="00845C55">
      <w:pPr>
        <w:ind w:firstLine="748"/>
        <w:jc w:val="both"/>
        <w:rPr>
          <w:noProof/>
          <w:color w:val="FF0000"/>
        </w:rPr>
      </w:pPr>
      <w:r w:rsidRPr="00B463E2">
        <w:rPr>
          <w:noProof/>
          <w:color w:val="FF0000"/>
          <w:lang w:val="en-US" w:eastAsia="en-US"/>
        </w:rPr>
        <w:drawing>
          <wp:inline distT="0" distB="0" distL="0" distR="0">
            <wp:extent cx="4676775" cy="2733675"/>
            <wp:effectExtent l="0" t="0" r="0" b="0"/>
            <wp:docPr id="4"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C55" w:rsidRPr="00FD1BB2" w:rsidRDefault="00845C55" w:rsidP="00845C55">
      <w:pPr>
        <w:ind w:firstLine="748"/>
        <w:jc w:val="both"/>
        <w:rPr>
          <w:noProof/>
        </w:rPr>
      </w:pPr>
      <w:r w:rsidRPr="00FD1BB2">
        <w:rPr>
          <w:noProof/>
        </w:rPr>
        <w:t xml:space="preserve"> I prioriteto neįgyvendintos priemonės per 20</w:t>
      </w:r>
      <w:r w:rsidR="00180A40" w:rsidRPr="00FD1BB2">
        <w:rPr>
          <w:noProof/>
        </w:rPr>
        <w:t>1</w:t>
      </w:r>
      <w:r w:rsidR="00A46FB8" w:rsidRPr="00FD1BB2">
        <w:rPr>
          <w:noProof/>
        </w:rPr>
        <w:t>4</w:t>
      </w:r>
      <w:r w:rsidRPr="00FD1BB2">
        <w:rPr>
          <w:noProof/>
        </w:rPr>
        <w:t xml:space="preserve"> m.:</w:t>
      </w:r>
    </w:p>
    <w:p w:rsidR="00FD1BB2" w:rsidRDefault="00FD1BB2" w:rsidP="00FD1BB2">
      <w:pPr>
        <w:ind w:firstLine="720"/>
        <w:jc w:val="both"/>
      </w:pPr>
      <w:r w:rsidRPr="00FD1BB2">
        <w:t>1.1.3.6. Dalyvauti ES kaimynystės politikos realizavimo</w:t>
      </w:r>
      <w:r w:rsidRPr="00E46382">
        <w:t xml:space="preserve"> priemonėse, užmezgant darbinius santykius su Rusijos ir Baltarusijos regionais, transporto bei logistikos institucijomis</w:t>
      </w:r>
      <w:r>
        <w:t>.</w:t>
      </w:r>
    </w:p>
    <w:p w:rsidR="00FD1BB2" w:rsidRDefault="00FD1BB2" w:rsidP="00FD1BB2">
      <w:pPr>
        <w:ind w:firstLine="720"/>
        <w:jc w:val="both"/>
      </w:pPr>
      <w:r w:rsidRPr="00E46382">
        <w:t>1.2.1.1. Parengti Panevėžio ir Šiaulių miestų (kaip tikslinio regiono) bendradarbiavimo programą</w:t>
      </w:r>
      <w:r>
        <w:t>.</w:t>
      </w:r>
    </w:p>
    <w:p w:rsidR="00FD1BB2" w:rsidRPr="00E46382" w:rsidRDefault="00FD1BB2" w:rsidP="00FD1BB2">
      <w:pPr>
        <w:ind w:firstLine="720"/>
        <w:jc w:val="both"/>
      </w:pPr>
      <w:r w:rsidRPr="00E46382">
        <w:t xml:space="preserve">2014 m.   Panevėžio m. savivaldybės ir Šiaulių miesto savivaldybių atstovai </w:t>
      </w:r>
      <w:r>
        <w:t>bendrame pasitarime aptarė b</w:t>
      </w:r>
      <w:r w:rsidRPr="00E46382">
        <w:t>endradarbiavim</w:t>
      </w:r>
      <w:r>
        <w:t xml:space="preserve">ą įvairiose </w:t>
      </w:r>
      <w:r w:rsidRPr="00E46382">
        <w:t>sritys</w:t>
      </w:r>
      <w:r>
        <w:t>e</w:t>
      </w:r>
      <w:r w:rsidRPr="00E46382">
        <w:t xml:space="preserve">. </w:t>
      </w:r>
    </w:p>
    <w:p w:rsidR="00FD1BB2" w:rsidRDefault="00FD1BB2" w:rsidP="00FD1BB2">
      <w:pPr>
        <w:ind w:firstLine="720"/>
        <w:jc w:val="both"/>
      </w:pPr>
      <w:r w:rsidRPr="00E46382">
        <w:t>Dėl tolimesnių veiksmų nėra priimto konkretaus politinio sprendimo</w:t>
      </w:r>
      <w:r>
        <w:t>.</w:t>
      </w:r>
    </w:p>
    <w:p w:rsidR="00FD1BB2" w:rsidRDefault="00FD1BB2" w:rsidP="00FD1BB2">
      <w:pPr>
        <w:ind w:firstLine="720"/>
        <w:jc w:val="both"/>
      </w:pPr>
      <w:r w:rsidRPr="00E46382">
        <w:t>1.2.1.2. Parengti Panevėžio miesto ir Panevėžio rajono savivaldybės bendradarbiavimo gaires</w:t>
      </w:r>
      <w:r>
        <w:t>.</w:t>
      </w:r>
    </w:p>
    <w:p w:rsidR="00FD1BB2" w:rsidRDefault="00FD1BB2" w:rsidP="00FD1BB2">
      <w:pPr>
        <w:ind w:firstLine="720"/>
        <w:jc w:val="both"/>
      </w:pPr>
      <w:r w:rsidRPr="00E46382">
        <w:t>Nėra priimto konkretaus politinio sprendimo</w:t>
      </w:r>
      <w:r>
        <w:t>.</w:t>
      </w:r>
    </w:p>
    <w:p w:rsidR="00FD1BB2" w:rsidRDefault="00FD1BB2" w:rsidP="00FD1BB2">
      <w:pPr>
        <w:ind w:firstLine="720"/>
        <w:jc w:val="both"/>
      </w:pPr>
      <w:r w:rsidRPr="00E46382">
        <w:t>1.2.1.3.</w:t>
      </w:r>
      <w:r>
        <w:t xml:space="preserve"> </w:t>
      </w:r>
      <w:r w:rsidRPr="00E46382">
        <w:t xml:space="preserve">Parengti Panevėžio miesto, regiono ir kitų Panevėžio </w:t>
      </w:r>
      <w:proofErr w:type="spellStart"/>
      <w:r w:rsidRPr="00E46382">
        <w:t>metropolinės</w:t>
      </w:r>
      <w:proofErr w:type="spellEnd"/>
      <w:r w:rsidRPr="00E46382">
        <w:t xml:space="preserve"> zonos savivaldybių bendradarbiavimo gaires</w:t>
      </w:r>
      <w:r>
        <w:t>.</w:t>
      </w:r>
    </w:p>
    <w:p w:rsidR="00FD1BB2" w:rsidRDefault="00FD1BB2" w:rsidP="00FD1BB2">
      <w:pPr>
        <w:ind w:firstLine="720"/>
        <w:jc w:val="both"/>
      </w:pPr>
      <w:r w:rsidRPr="00E46382">
        <w:t>Nėra priimto konkretaus politinio sprendimo</w:t>
      </w:r>
      <w:r>
        <w:t>.</w:t>
      </w:r>
    </w:p>
    <w:p w:rsidR="00FD1BB2" w:rsidRDefault="00FD1BB2" w:rsidP="00FD1BB2">
      <w:pPr>
        <w:ind w:firstLine="720"/>
        <w:jc w:val="both"/>
      </w:pPr>
      <w:r w:rsidRPr="00E46382">
        <w:t>1.2.3.1.</w:t>
      </w:r>
      <w:r>
        <w:t xml:space="preserve"> </w:t>
      </w:r>
      <w:r w:rsidRPr="00E46382">
        <w:t xml:space="preserve">Parengti studiją dėl </w:t>
      </w:r>
      <w:proofErr w:type="spellStart"/>
      <w:r w:rsidRPr="00E46382">
        <w:t>Pajuosčio</w:t>
      </w:r>
      <w:proofErr w:type="spellEnd"/>
      <w:r w:rsidRPr="00E46382">
        <w:t xml:space="preserve"> teritorijos panaudojimo verslo ir sportinio turizmo reikmėms</w:t>
      </w:r>
      <w:r>
        <w:t xml:space="preserve">. </w:t>
      </w:r>
    </w:p>
    <w:p w:rsidR="00FD1BB2" w:rsidRDefault="00FD1BB2" w:rsidP="00FD1BB2">
      <w:pPr>
        <w:ind w:firstLine="720"/>
        <w:jc w:val="both"/>
      </w:pPr>
      <w:proofErr w:type="spellStart"/>
      <w:r w:rsidRPr="00E46382">
        <w:t>Pajuosčio</w:t>
      </w:r>
      <w:proofErr w:type="spellEnd"/>
      <w:r w:rsidRPr="00E46382">
        <w:t xml:space="preserve"> žemė priklauso Panevėžio raj</w:t>
      </w:r>
      <w:r>
        <w:t>ono s</w:t>
      </w:r>
      <w:r w:rsidRPr="00E46382">
        <w:t>avivaldybei. Nėra priimto konkretaus politinio sprendimo dėl žemės panaudojimo/ ar perėmimo ir tolimesnių veiksmų</w:t>
      </w:r>
      <w:r>
        <w:t>.</w:t>
      </w:r>
    </w:p>
    <w:p w:rsidR="00FD1BB2" w:rsidRDefault="00FD1BB2" w:rsidP="00FD1BB2">
      <w:pPr>
        <w:ind w:firstLine="720"/>
        <w:jc w:val="both"/>
      </w:pPr>
      <w:r w:rsidRPr="00E46382">
        <w:t>1.2.2.1.</w:t>
      </w:r>
      <w:r>
        <w:t xml:space="preserve"> </w:t>
      </w:r>
      <w:r w:rsidRPr="00E46382">
        <w:t>Parengti verslo plėtros iki 2020 m. programą</w:t>
      </w:r>
      <w:r>
        <w:t>.</w:t>
      </w:r>
    </w:p>
    <w:p w:rsidR="00FD1BB2" w:rsidRPr="00597019" w:rsidRDefault="00FD1BB2" w:rsidP="00FD1BB2">
      <w:pPr>
        <w:ind w:firstLine="720"/>
        <w:jc w:val="both"/>
      </w:pPr>
      <w:r w:rsidRPr="00E46382">
        <w:t>2014 m. neskirta Savivaldybės biudžeto lėšų verslo plėtros programai parengti</w:t>
      </w:r>
      <w:r>
        <w:t xml:space="preserve">. </w:t>
      </w:r>
    </w:p>
    <w:p w:rsidR="00FD1BB2" w:rsidRDefault="00FD1BB2" w:rsidP="00FD1BB2">
      <w:pPr>
        <w:ind w:firstLine="720"/>
        <w:jc w:val="both"/>
      </w:pPr>
      <w:r w:rsidRPr="006173ED">
        <w:t>1.2.2.3.</w:t>
      </w:r>
      <w:r>
        <w:t xml:space="preserve"> </w:t>
      </w:r>
      <w:r w:rsidRPr="006173ED">
        <w:t>Skatinti įmonių įsijungimą į miesto, nacionalinius ir tarptautinius klasterius</w:t>
      </w:r>
      <w:r>
        <w:t>.</w:t>
      </w:r>
    </w:p>
    <w:p w:rsidR="00FD1BB2" w:rsidRDefault="00FD1BB2" w:rsidP="00FD1BB2">
      <w:pPr>
        <w:ind w:firstLine="720"/>
        <w:jc w:val="both"/>
      </w:pPr>
      <w:r w:rsidRPr="006173ED">
        <w:lastRenderedPageBreak/>
        <w:t>2014 m. priemonė nebuvo vykdoma. Planuojama įgyvendinti per projektus iš 201</w:t>
      </w:r>
      <w:r>
        <w:t>4</w:t>
      </w:r>
      <w:r w:rsidRPr="006173ED">
        <w:t>-2020 m. ES SF finansinės paramos</w:t>
      </w:r>
      <w:r>
        <w:t>.</w:t>
      </w:r>
    </w:p>
    <w:p w:rsidR="003B3532" w:rsidRPr="00B463E2" w:rsidRDefault="003B3532" w:rsidP="00845C55">
      <w:pPr>
        <w:ind w:firstLine="748"/>
        <w:jc w:val="both"/>
        <w:rPr>
          <w:noProof/>
          <w:color w:val="FF0000"/>
        </w:rPr>
      </w:pPr>
    </w:p>
    <w:p w:rsidR="00E31BA3" w:rsidRPr="00F86729" w:rsidRDefault="008F6506" w:rsidP="00845C55">
      <w:pPr>
        <w:ind w:firstLine="748"/>
        <w:jc w:val="both"/>
      </w:pPr>
      <w:r w:rsidRPr="00F86729">
        <w:rPr>
          <w:noProof/>
        </w:rPr>
        <w:t>I Prioritet</w:t>
      </w:r>
      <w:r w:rsidR="00BD0A9A">
        <w:rPr>
          <w:noProof/>
        </w:rPr>
        <w:t>e nurodytos priemonės</w:t>
      </w:r>
      <w:r w:rsidRPr="00F86729">
        <w:rPr>
          <w:noProof/>
        </w:rPr>
        <w:t xml:space="preserve"> apima </w:t>
      </w:r>
      <w:r w:rsidR="00E31BA3" w:rsidRPr="00F86729">
        <w:t>palanki</w:t>
      </w:r>
      <w:r w:rsidR="00544F6A" w:rsidRPr="00F86729">
        <w:t>os</w:t>
      </w:r>
      <w:r w:rsidR="00E31BA3" w:rsidRPr="00F86729">
        <w:t xml:space="preserve"> investicijoms ir bendradarbiavimui aplinkos sudarymą, darbo vietų kūrimą ir užimtumo didinimą</w:t>
      </w:r>
      <w:r w:rsidR="00831E03" w:rsidRPr="00F86729">
        <w:t>.</w:t>
      </w:r>
    </w:p>
    <w:p w:rsidR="00E31BA3" w:rsidRPr="00403FC2" w:rsidRDefault="00E31BA3" w:rsidP="00845C55">
      <w:pPr>
        <w:ind w:firstLine="748"/>
        <w:jc w:val="both"/>
        <w:rPr>
          <w:noProof/>
        </w:rPr>
      </w:pPr>
    </w:p>
    <w:p w:rsidR="00942ED9" w:rsidRPr="00403FC2" w:rsidRDefault="00F8757C" w:rsidP="003D57F9">
      <w:pPr>
        <w:ind w:firstLine="748"/>
        <w:jc w:val="both"/>
        <w:rPr>
          <w:noProof/>
        </w:rPr>
      </w:pPr>
      <w:r w:rsidRPr="00403FC2">
        <w:rPr>
          <w:noProof/>
        </w:rPr>
        <w:t xml:space="preserve">Pagal bendrąjį vidaus produktą, tenkantį vienam gyventojui, Panevėžio apskritis užima </w:t>
      </w:r>
      <w:r w:rsidR="00F0782E" w:rsidRPr="00403FC2">
        <w:rPr>
          <w:noProof/>
        </w:rPr>
        <w:t>5</w:t>
      </w:r>
      <w:r w:rsidRPr="00403FC2">
        <w:rPr>
          <w:noProof/>
        </w:rPr>
        <w:t xml:space="preserve">-ąją vietą </w:t>
      </w:r>
      <w:r w:rsidR="00D0777F" w:rsidRPr="00403FC2">
        <w:rPr>
          <w:noProof/>
        </w:rPr>
        <w:t>(iš penkių didžiųjų Lietuvos  miestų)</w:t>
      </w:r>
      <w:r w:rsidR="003D57F9" w:rsidRPr="00403FC2">
        <w:rPr>
          <w:noProof/>
        </w:rPr>
        <w:t>, tačiau pagal šį rodiklį</w:t>
      </w:r>
      <w:r w:rsidR="00544F6A" w:rsidRPr="00403FC2">
        <w:rPr>
          <w:noProof/>
        </w:rPr>
        <w:t>,</w:t>
      </w:r>
      <w:r w:rsidR="00D0777F" w:rsidRPr="00403FC2">
        <w:rPr>
          <w:noProof/>
        </w:rPr>
        <w:t xml:space="preserve"> </w:t>
      </w:r>
      <w:r w:rsidR="003D57F9" w:rsidRPr="00403FC2">
        <w:rPr>
          <w:noProof/>
        </w:rPr>
        <w:t xml:space="preserve"> </w:t>
      </w:r>
      <w:r w:rsidR="003D57F9" w:rsidRPr="00403FC2">
        <w:t>Panevėžio apskritis tesiekia apie 7</w:t>
      </w:r>
      <w:r w:rsidR="00403FC2" w:rsidRPr="00403FC2">
        <w:t>4</w:t>
      </w:r>
      <w:r w:rsidR="003D57F9" w:rsidRPr="00403FC2">
        <w:t xml:space="preserve"> % šalies lygio ir nusileidžia mažesn</w:t>
      </w:r>
      <w:r w:rsidR="00F0782E" w:rsidRPr="00403FC2">
        <w:t>ei</w:t>
      </w:r>
      <w:r w:rsidR="003D57F9" w:rsidRPr="00403FC2">
        <w:t xml:space="preserve"> </w:t>
      </w:r>
      <w:r w:rsidR="00544F6A" w:rsidRPr="00403FC2">
        <w:t xml:space="preserve">- </w:t>
      </w:r>
      <w:r w:rsidR="00A34283" w:rsidRPr="00403FC2">
        <w:t>Telšių</w:t>
      </w:r>
      <w:r w:rsidR="00F0782E" w:rsidRPr="00403FC2">
        <w:t xml:space="preserve"> apskričiai</w:t>
      </w:r>
      <w:r w:rsidR="003D57F9" w:rsidRPr="00403FC2">
        <w:t xml:space="preserve">  </w:t>
      </w:r>
      <w:r w:rsidR="00942ED9" w:rsidRPr="00403FC2">
        <w:rPr>
          <w:noProof/>
        </w:rPr>
        <w:t>(5 diagrama)</w:t>
      </w:r>
      <w:r w:rsidRPr="00403FC2">
        <w:rPr>
          <w:noProof/>
        </w:rPr>
        <w:t>.</w:t>
      </w:r>
      <w:r w:rsidR="001232DD" w:rsidRPr="00403FC2">
        <w:rPr>
          <w:noProof/>
        </w:rPr>
        <w:t xml:space="preserve"> </w:t>
      </w:r>
    </w:p>
    <w:p w:rsidR="003D57F9" w:rsidRPr="00B463E2" w:rsidRDefault="003D57F9" w:rsidP="00845C55">
      <w:pPr>
        <w:ind w:firstLine="748"/>
        <w:jc w:val="both"/>
        <w:rPr>
          <w:noProof/>
          <w:color w:val="FF0000"/>
        </w:rPr>
      </w:pPr>
    </w:p>
    <w:p w:rsidR="00942ED9" w:rsidRPr="00403FC2" w:rsidRDefault="00942ED9" w:rsidP="00845C55">
      <w:pPr>
        <w:ind w:firstLine="748"/>
        <w:jc w:val="both"/>
        <w:rPr>
          <w:noProof/>
        </w:rPr>
      </w:pPr>
      <w:r w:rsidRPr="00403FC2">
        <w:rPr>
          <w:noProof/>
        </w:rPr>
        <w:t>5.</w:t>
      </w:r>
      <w:r w:rsidR="003A024E">
        <w:rPr>
          <w:noProof/>
        </w:rPr>
        <w:t xml:space="preserve"> </w:t>
      </w:r>
      <w:r w:rsidRPr="00403FC2">
        <w:rPr>
          <w:noProof/>
        </w:rPr>
        <w:t>diagrama. Bendrasis vidaus produktas, tenkantis 1-am gyventojui</w:t>
      </w:r>
      <w:r w:rsidR="001232DD" w:rsidRPr="00403FC2">
        <w:rPr>
          <w:noProof/>
        </w:rPr>
        <w:t xml:space="preserve"> Panevėžio apskrityje</w:t>
      </w:r>
      <w:r w:rsidR="00853117" w:rsidRPr="00403FC2">
        <w:rPr>
          <w:noProof/>
        </w:rPr>
        <w:t xml:space="preserve"> (</w:t>
      </w:r>
      <w:r w:rsidR="00403FC2">
        <w:rPr>
          <w:noProof/>
        </w:rPr>
        <w:t>tūkst.EUR</w:t>
      </w:r>
      <w:r w:rsidR="00853117" w:rsidRPr="00403FC2">
        <w:rPr>
          <w:noProof/>
        </w:rPr>
        <w:t>)</w:t>
      </w:r>
      <w:r w:rsidR="001232DD" w:rsidRPr="00403FC2">
        <w:rPr>
          <w:noProof/>
        </w:rPr>
        <w:t>.</w:t>
      </w:r>
    </w:p>
    <w:p w:rsidR="00F8757C" w:rsidRPr="00B463E2" w:rsidRDefault="003E03D1" w:rsidP="00845C55">
      <w:pPr>
        <w:ind w:firstLine="748"/>
        <w:jc w:val="both"/>
        <w:rPr>
          <w:noProof/>
          <w:color w:val="FF0000"/>
        </w:rPr>
      </w:pPr>
      <w:r w:rsidRPr="00B463E2">
        <w:rPr>
          <w:noProof/>
          <w:color w:val="FF0000"/>
          <w:lang w:val="en-US" w:eastAsia="en-US"/>
        </w:rPr>
        <w:drawing>
          <wp:inline distT="0" distB="0" distL="0" distR="0">
            <wp:extent cx="4152900" cy="18288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5C55" w:rsidRDefault="00E63F59" w:rsidP="00845C55">
      <w:pPr>
        <w:ind w:firstLine="748"/>
        <w:jc w:val="both"/>
        <w:rPr>
          <w:noProof/>
          <w:color w:val="FF0000"/>
        </w:rPr>
      </w:pPr>
      <w:r w:rsidRPr="00A537A9">
        <w:t xml:space="preserve">Vienas svarbiausių konkurencingumo rodiklių yra pritraukiamos tiesioginės užsienio investicijos (toliau – </w:t>
      </w:r>
      <w:smartTag w:uri="urn:schemas-microsoft-com:office:smarttags" w:element="stockticker">
        <w:r w:rsidRPr="00A537A9">
          <w:t>TUI</w:t>
        </w:r>
      </w:smartTag>
      <w:r w:rsidR="009807B7" w:rsidRPr="00A537A9">
        <w:t xml:space="preserve">) šalyje, nes </w:t>
      </w:r>
      <w:smartTag w:uri="urn:schemas-microsoft-com:office:smarttags" w:element="stockticker">
        <w:r w:rsidR="009807B7" w:rsidRPr="00A537A9">
          <w:t>TUI</w:t>
        </w:r>
      </w:smartTag>
      <w:r w:rsidR="009807B7" w:rsidRPr="00A537A9">
        <w:t xml:space="preserve"> – labai svarbi ekonomikos augimo prielaida. Statistikos departamento duomenimis </w:t>
      </w:r>
      <w:r w:rsidR="0011554D" w:rsidRPr="00A537A9">
        <w:t>Panevėžyje</w:t>
      </w:r>
      <w:r w:rsidR="009807B7" w:rsidRPr="00B463E2">
        <w:rPr>
          <w:color w:val="FF0000"/>
        </w:rPr>
        <w:t xml:space="preserve"> </w:t>
      </w:r>
      <w:r w:rsidR="009807B7" w:rsidRPr="00A537A9">
        <w:t>20</w:t>
      </w:r>
      <w:r w:rsidR="0011554D" w:rsidRPr="00A537A9">
        <w:t>1</w:t>
      </w:r>
      <w:r w:rsidR="00A537A9" w:rsidRPr="00A537A9">
        <w:t>3</w:t>
      </w:r>
      <w:r w:rsidR="009807B7" w:rsidRPr="00A537A9">
        <w:t xml:space="preserve"> m. buvo sukaupta </w:t>
      </w:r>
      <w:r w:rsidR="00A537A9" w:rsidRPr="00A537A9">
        <w:t>246,05</w:t>
      </w:r>
      <w:r w:rsidR="00C22151" w:rsidRPr="00A537A9">
        <w:t xml:space="preserve"> </w:t>
      </w:r>
      <w:r w:rsidR="0011554D" w:rsidRPr="00A537A9">
        <w:t>mln.</w:t>
      </w:r>
      <w:r w:rsidR="009807B7" w:rsidRPr="00A537A9">
        <w:t xml:space="preserve"> </w:t>
      </w:r>
      <w:r w:rsidR="00A537A9" w:rsidRPr="00A537A9">
        <w:t>EUR</w:t>
      </w:r>
      <w:r w:rsidR="009807B7" w:rsidRPr="00A537A9">
        <w:t xml:space="preserve"> </w:t>
      </w:r>
      <w:smartTag w:uri="urn:schemas-microsoft-com:office:smarttags" w:element="stockticker">
        <w:r w:rsidR="009807B7" w:rsidRPr="00A537A9">
          <w:t>TUI</w:t>
        </w:r>
      </w:smartTag>
      <w:r w:rsidR="009807B7" w:rsidRPr="00A537A9">
        <w:t xml:space="preserve">, tai sudaro </w:t>
      </w:r>
      <w:r w:rsidR="0035744B" w:rsidRPr="00A537A9">
        <w:t>apie 2</w:t>
      </w:r>
      <w:r w:rsidR="009807B7" w:rsidRPr="00A537A9">
        <w:t xml:space="preserve"> % šalies </w:t>
      </w:r>
      <w:smartTag w:uri="urn:schemas-microsoft-com:office:smarttags" w:element="stockticker">
        <w:r w:rsidR="009807B7" w:rsidRPr="00A537A9">
          <w:t>TUI</w:t>
        </w:r>
      </w:smartTag>
      <w:r w:rsidR="009807B7" w:rsidRPr="00A537A9">
        <w:t xml:space="preserve">. </w:t>
      </w:r>
      <w:r w:rsidR="00845C55" w:rsidRPr="00A537A9">
        <w:rPr>
          <w:noProof/>
        </w:rPr>
        <w:t xml:space="preserve"> </w:t>
      </w:r>
      <w:r w:rsidR="00845C55" w:rsidRPr="00343D0A">
        <w:rPr>
          <w:noProof/>
        </w:rPr>
        <w:t xml:space="preserve">Pagal </w:t>
      </w:r>
      <w:smartTag w:uri="urn:schemas-microsoft-com:office:smarttags" w:element="stockticker">
        <w:r w:rsidR="00845C55" w:rsidRPr="00343D0A">
          <w:rPr>
            <w:noProof/>
          </w:rPr>
          <w:t>TUI</w:t>
        </w:r>
      </w:smartTag>
      <w:r w:rsidR="00845C55" w:rsidRPr="00343D0A">
        <w:rPr>
          <w:noProof/>
        </w:rPr>
        <w:t xml:space="preserve"> tenkančias vienam gyventojui iš penkių didžiųjų Lietuvos miestų Panevėžys užima 4-ą vietą (</w:t>
      </w:r>
      <w:r w:rsidR="00942ED9" w:rsidRPr="00343D0A">
        <w:rPr>
          <w:noProof/>
        </w:rPr>
        <w:t>6</w:t>
      </w:r>
      <w:r w:rsidR="00845C55" w:rsidRPr="00343D0A">
        <w:rPr>
          <w:noProof/>
        </w:rPr>
        <w:t xml:space="preserve"> diagrama), tačiau jos </w:t>
      </w:r>
      <w:r w:rsidR="00DE5705" w:rsidRPr="00343D0A">
        <w:rPr>
          <w:noProof/>
        </w:rPr>
        <w:t xml:space="preserve">beveik du kartus mažesnės nei </w:t>
      </w:r>
      <w:r w:rsidR="00845C55" w:rsidRPr="00343D0A">
        <w:rPr>
          <w:noProof/>
        </w:rPr>
        <w:t>Lietuvos Respublikos vidurki</w:t>
      </w:r>
      <w:r w:rsidR="00DE5705" w:rsidRPr="00343D0A">
        <w:rPr>
          <w:noProof/>
        </w:rPr>
        <w:t xml:space="preserve">s </w:t>
      </w:r>
      <w:r w:rsidR="00474C90" w:rsidRPr="00343D0A">
        <w:rPr>
          <w:noProof/>
        </w:rPr>
        <w:t xml:space="preserve"> (</w:t>
      </w:r>
      <w:r w:rsidR="00A537A9" w:rsidRPr="00343D0A">
        <w:rPr>
          <w:noProof/>
        </w:rPr>
        <w:t>4134 EUR</w:t>
      </w:r>
      <w:r w:rsidR="00474C90" w:rsidRPr="00343D0A">
        <w:rPr>
          <w:noProof/>
        </w:rPr>
        <w:t>)</w:t>
      </w:r>
      <w:r w:rsidR="00845C55" w:rsidRPr="00343D0A">
        <w:rPr>
          <w:noProof/>
        </w:rPr>
        <w:t>.</w:t>
      </w:r>
      <w:r w:rsidR="00334357" w:rsidRPr="00B463E2">
        <w:rPr>
          <w:noProof/>
          <w:color w:val="FF0000"/>
        </w:rPr>
        <w:t xml:space="preserve"> </w:t>
      </w:r>
    </w:p>
    <w:p w:rsidR="00334357" w:rsidRPr="00B463E2" w:rsidRDefault="00334357" w:rsidP="00845C55">
      <w:pPr>
        <w:ind w:firstLine="748"/>
        <w:jc w:val="both"/>
        <w:rPr>
          <w:noProof/>
          <w:color w:val="FF0000"/>
        </w:rPr>
      </w:pPr>
    </w:p>
    <w:p w:rsidR="00845C55" w:rsidRDefault="00942ED9" w:rsidP="00845C55">
      <w:pPr>
        <w:ind w:firstLine="748"/>
        <w:jc w:val="both"/>
        <w:rPr>
          <w:noProof/>
        </w:rPr>
      </w:pPr>
      <w:r w:rsidRPr="005134FA">
        <w:rPr>
          <w:noProof/>
        </w:rPr>
        <w:t>6</w:t>
      </w:r>
      <w:r w:rsidR="00845C55" w:rsidRPr="005134FA">
        <w:rPr>
          <w:noProof/>
        </w:rPr>
        <w:t xml:space="preserve"> diagrama. Tiesioginės užsienio investicijos tenkančios vienam gyventojui, </w:t>
      </w:r>
      <w:r w:rsidR="00765172">
        <w:rPr>
          <w:noProof/>
        </w:rPr>
        <w:t>EUR</w:t>
      </w:r>
    </w:p>
    <w:p w:rsidR="00334357" w:rsidRDefault="00334357" w:rsidP="00845C55">
      <w:pPr>
        <w:ind w:firstLine="748"/>
        <w:jc w:val="both"/>
        <w:rPr>
          <w:noProof/>
        </w:rPr>
      </w:pPr>
    </w:p>
    <w:p w:rsidR="00765172" w:rsidRPr="005134FA" w:rsidRDefault="00765172" w:rsidP="00845C55">
      <w:pPr>
        <w:ind w:firstLine="748"/>
        <w:jc w:val="both"/>
        <w:rPr>
          <w:noProof/>
        </w:rPr>
      </w:pPr>
      <w:r>
        <w:rPr>
          <w:noProof/>
          <w:lang w:val="en-US" w:eastAsia="en-US"/>
        </w:rPr>
        <w:drawing>
          <wp:inline distT="0" distB="0" distL="0" distR="0">
            <wp:extent cx="4991100" cy="14573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5A2F" w:rsidRPr="00B463E2" w:rsidRDefault="00955A2F" w:rsidP="00845C55">
      <w:pPr>
        <w:ind w:firstLine="748"/>
        <w:jc w:val="both"/>
        <w:rPr>
          <w:noProof/>
          <w:color w:val="FF0000"/>
        </w:rPr>
      </w:pPr>
    </w:p>
    <w:p w:rsidR="00764FFB" w:rsidRPr="00B463E2" w:rsidRDefault="00764FFB" w:rsidP="00845C55">
      <w:pPr>
        <w:ind w:firstLine="748"/>
        <w:jc w:val="both"/>
        <w:rPr>
          <w:noProof/>
          <w:color w:val="FF0000"/>
        </w:rPr>
      </w:pPr>
    </w:p>
    <w:p w:rsidR="00845C55" w:rsidRPr="00845742" w:rsidRDefault="00845C55" w:rsidP="00845C55">
      <w:pPr>
        <w:ind w:firstLine="748"/>
        <w:jc w:val="both"/>
        <w:rPr>
          <w:noProof/>
        </w:rPr>
      </w:pPr>
      <w:r w:rsidRPr="00845742">
        <w:rPr>
          <w:noProof/>
        </w:rPr>
        <w:t>Panevėžio miesto tiesioginės užsienio investicijos per 5 metus (nuo 200</w:t>
      </w:r>
      <w:r w:rsidR="004C2AB4" w:rsidRPr="00845742">
        <w:rPr>
          <w:noProof/>
        </w:rPr>
        <w:t xml:space="preserve">9 m. </w:t>
      </w:r>
      <w:r w:rsidRPr="00845742">
        <w:rPr>
          <w:noProof/>
        </w:rPr>
        <w:t>iki 20</w:t>
      </w:r>
      <w:r w:rsidR="00A3762B" w:rsidRPr="00845742">
        <w:rPr>
          <w:noProof/>
        </w:rPr>
        <w:t>1</w:t>
      </w:r>
      <w:r w:rsidR="004C2AB4" w:rsidRPr="00845742">
        <w:rPr>
          <w:noProof/>
        </w:rPr>
        <w:t xml:space="preserve">3 </w:t>
      </w:r>
      <w:r w:rsidRPr="00845742">
        <w:rPr>
          <w:noProof/>
        </w:rPr>
        <w:t xml:space="preserve">m.) </w:t>
      </w:r>
      <w:r w:rsidR="00A3762B" w:rsidRPr="00845742">
        <w:rPr>
          <w:noProof/>
        </w:rPr>
        <w:t>didėjo</w:t>
      </w:r>
      <w:r w:rsidRPr="00845742">
        <w:rPr>
          <w:noProof/>
        </w:rPr>
        <w:t xml:space="preserve"> </w:t>
      </w:r>
      <w:r w:rsidR="00845742" w:rsidRPr="00845742">
        <w:rPr>
          <w:noProof/>
        </w:rPr>
        <w:t xml:space="preserve">daugiau kaip </w:t>
      </w:r>
      <w:r w:rsidR="00A12687" w:rsidRPr="00845742">
        <w:rPr>
          <w:noProof/>
        </w:rPr>
        <w:t xml:space="preserve">50 </w:t>
      </w:r>
      <w:r w:rsidRPr="00845742">
        <w:rPr>
          <w:noProof/>
        </w:rPr>
        <w:t>proc. (</w:t>
      </w:r>
      <w:r w:rsidR="00942ED9" w:rsidRPr="00845742">
        <w:rPr>
          <w:noProof/>
        </w:rPr>
        <w:t>7</w:t>
      </w:r>
      <w:r w:rsidRPr="00845742">
        <w:rPr>
          <w:noProof/>
        </w:rPr>
        <w:t xml:space="preserve"> diagrama).</w:t>
      </w:r>
      <w:r w:rsidR="00465149" w:rsidRPr="00845742">
        <w:rPr>
          <w:noProof/>
        </w:rPr>
        <w:t xml:space="preserve"> </w:t>
      </w:r>
    </w:p>
    <w:p w:rsidR="00845C55" w:rsidRPr="00764FFB" w:rsidRDefault="00845C55" w:rsidP="00641CFF">
      <w:pPr>
        <w:tabs>
          <w:tab w:val="left" w:pos="3735"/>
        </w:tabs>
        <w:ind w:firstLine="748"/>
        <w:jc w:val="both"/>
        <w:rPr>
          <w:noProof/>
        </w:rPr>
      </w:pPr>
      <w:r w:rsidRPr="00845742">
        <w:rPr>
          <w:noProof/>
        </w:rPr>
        <w:t xml:space="preserve"> </w:t>
      </w:r>
      <w:r w:rsidR="00942ED9" w:rsidRPr="00764FFB">
        <w:rPr>
          <w:noProof/>
        </w:rPr>
        <w:t>7</w:t>
      </w:r>
      <w:r w:rsidRPr="00764FFB">
        <w:rPr>
          <w:noProof/>
        </w:rPr>
        <w:t xml:space="preserve"> diagrama. Tiesioginių užsienio investicijų dinamika Panevėžio mieste</w:t>
      </w:r>
      <w:r w:rsidR="00DB173E" w:rsidRPr="00764FFB">
        <w:rPr>
          <w:noProof/>
        </w:rPr>
        <w:t xml:space="preserve">, </w:t>
      </w:r>
      <w:r w:rsidR="00764FFB">
        <w:rPr>
          <w:noProof/>
        </w:rPr>
        <w:t>mln</w:t>
      </w:r>
      <w:r w:rsidR="00DB173E" w:rsidRPr="00764FFB">
        <w:rPr>
          <w:noProof/>
        </w:rPr>
        <w:t>.</w:t>
      </w:r>
      <w:r w:rsidR="004C2AB4" w:rsidRPr="00764FFB">
        <w:rPr>
          <w:noProof/>
        </w:rPr>
        <w:t>EUR</w:t>
      </w:r>
    </w:p>
    <w:p w:rsidR="00A12687" w:rsidRPr="00B463E2" w:rsidRDefault="00A12687" w:rsidP="00845C55">
      <w:pPr>
        <w:ind w:firstLine="748"/>
        <w:jc w:val="both"/>
        <w:rPr>
          <w:noProof/>
          <w:color w:val="FF0000"/>
        </w:rPr>
      </w:pPr>
    </w:p>
    <w:p w:rsidR="00845C55" w:rsidRPr="00B463E2" w:rsidRDefault="003E03D1" w:rsidP="00845C55">
      <w:pPr>
        <w:ind w:firstLine="748"/>
        <w:jc w:val="both"/>
        <w:rPr>
          <w:noProof/>
          <w:color w:val="FF0000"/>
        </w:rPr>
      </w:pPr>
      <w:r w:rsidRPr="00B463E2">
        <w:rPr>
          <w:noProof/>
          <w:color w:val="FF0000"/>
          <w:lang w:val="en-US" w:eastAsia="en-US"/>
        </w:rPr>
        <w:drawing>
          <wp:inline distT="0" distB="0" distL="0" distR="0">
            <wp:extent cx="5076825" cy="14478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428B" w:rsidRPr="00E056B7" w:rsidRDefault="00AF428B" w:rsidP="00AF428B">
      <w:pPr>
        <w:ind w:firstLine="748"/>
        <w:jc w:val="both"/>
      </w:pPr>
      <w:r w:rsidRPr="00E056B7">
        <w:lastRenderedPageBreak/>
        <w:t xml:space="preserve">Į Panevėžio įmones investuota per 2 proc. viso Lietuvoje investuoto kapitalo. Savo verslo vystymui Panevėžio apskritį pasirinko tokios šalys, kaip Danija, Vokietija, Norvegija,  </w:t>
      </w:r>
      <w:r w:rsidR="00E056B7" w:rsidRPr="00E056B7">
        <w:t xml:space="preserve">Suomija, </w:t>
      </w:r>
      <w:r w:rsidRPr="00E056B7">
        <w:t xml:space="preserve">Estija, </w:t>
      </w:r>
      <w:r w:rsidR="002C206A" w:rsidRPr="00E056B7">
        <w:t xml:space="preserve">Prancūzija, </w:t>
      </w:r>
      <w:r w:rsidR="00E056B7">
        <w:t xml:space="preserve">Šveicarija, </w:t>
      </w:r>
      <w:r w:rsidR="00DF4BC3" w:rsidRPr="00E056B7">
        <w:t xml:space="preserve">Latvija, </w:t>
      </w:r>
      <w:r w:rsidR="002C206A" w:rsidRPr="00E056B7">
        <w:t>Lenkija</w:t>
      </w:r>
      <w:r w:rsidRPr="00E056B7">
        <w:t>. (8 diagrama).</w:t>
      </w:r>
    </w:p>
    <w:p w:rsidR="00E056B7" w:rsidRPr="00E056B7" w:rsidRDefault="00E056B7" w:rsidP="00AF428B">
      <w:pPr>
        <w:ind w:firstLine="748"/>
        <w:jc w:val="both"/>
      </w:pPr>
    </w:p>
    <w:p w:rsidR="00AF428B" w:rsidRPr="00E056B7" w:rsidRDefault="00AF428B" w:rsidP="00AF428B">
      <w:pPr>
        <w:ind w:firstLine="748"/>
        <w:jc w:val="both"/>
      </w:pPr>
      <w:r w:rsidRPr="00E056B7">
        <w:t>8 diagrama. Šalys investuotojos į Panevėžio apskritį 201</w:t>
      </w:r>
      <w:r w:rsidR="00A12687" w:rsidRPr="00E056B7">
        <w:t>3</w:t>
      </w:r>
      <w:r w:rsidRPr="00E056B7">
        <w:t xml:space="preserve"> metai (mln.</w:t>
      </w:r>
      <w:r w:rsidR="008B1D34" w:rsidRPr="00E056B7">
        <w:t xml:space="preserve"> </w:t>
      </w:r>
      <w:r w:rsidR="00E056B7" w:rsidRPr="00E056B7">
        <w:t>EUR</w:t>
      </w:r>
      <w:r w:rsidRPr="00E056B7">
        <w:t>)</w:t>
      </w:r>
    </w:p>
    <w:p w:rsidR="00AF428B" w:rsidRPr="00920098" w:rsidRDefault="002C206A" w:rsidP="00E056B7">
      <w:pPr>
        <w:jc w:val="both"/>
        <w:rPr>
          <w:noProof/>
        </w:rPr>
      </w:pPr>
      <w:r w:rsidRPr="00B463E2">
        <w:rPr>
          <w:noProof/>
          <w:color w:val="FF0000"/>
          <w:lang w:val="en-US" w:eastAsia="en-US"/>
        </w:rPr>
        <w:drawing>
          <wp:inline distT="0" distB="0" distL="0" distR="0">
            <wp:extent cx="5915025" cy="1893928"/>
            <wp:effectExtent l="0" t="0" r="0" b="0"/>
            <wp:docPr id="27"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056B7">
        <w:rPr>
          <w:color w:val="FF0000"/>
        </w:rPr>
        <w:t xml:space="preserve">        </w:t>
      </w:r>
      <w:r w:rsidR="006A02EF" w:rsidRPr="00920098">
        <w:t>Naujau</w:t>
      </w:r>
      <w:r w:rsidR="00AF428B" w:rsidRPr="00920098">
        <w:t xml:space="preserve">si materialinių investicijų duomenys rodo, kad  verslas </w:t>
      </w:r>
      <w:r w:rsidR="00920098" w:rsidRPr="00920098">
        <w:t>teigiamai</w:t>
      </w:r>
      <w:r w:rsidR="00AF428B" w:rsidRPr="00920098">
        <w:t xml:space="preserve"> vertina ateities perspektyvas. Materialinių investicijų apimtys per paskutinius 5 metus Panevėžio mieste </w:t>
      </w:r>
      <w:r w:rsidR="00920098" w:rsidRPr="00920098">
        <w:t>augo</w:t>
      </w:r>
      <w:r w:rsidR="00AF428B" w:rsidRPr="00920098">
        <w:t xml:space="preserve"> beveik </w:t>
      </w:r>
      <w:r w:rsidR="00920098" w:rsidRPr="00920098">
        <w:t>apie 70 proc.</w:t>
      </w:r>
      <w:r w:rsidR="00AF428B" w:rsidRPr="00920098">
        <w:t xml:space="preserve"> </w:t>
      </w:r>
      <w:r w:rsidR="00920098" w:rsidRPr="00920098">
        <w:t xml:space="preserve">Tačiau tai sudaro tik apie 3 % šalies materialinių investicijų. </w:t>
      </w:r>
      <w:r w:rsidR="00AF428B" w:rsidRPr="00920098">
        <w:t xml:space="preserve">Šio rodiklio </w:t>
      </w:r>
      <w:r w:rsidR="00920098" w:rsidRPr="00920098">
        <w:t>nepakankamas augimas</w:t>
      </w:r>
      <w:r w:rsidR="00AF428B" w:rsidRPr="00920098">
        <w:t xml:space="preserve"> stabdo inovacijų ir naujų technologijų diegimą, konkurencingą verslo plėtrą. </w:t>
      </w:r>
    </w:p>
    <w:p w:rsidR="00AF428B" w:rsidRPr="00920098" w:rsidRDefault="00AF428B" w:rsidP="00AF428B">
      <w:pPr>
        <w:ind w:firstLine="748"/>
      </w:pPr>
    </w:p>
    <w:p w:rsidR="00C0558F" w:rsidRPr="00920098" w:rsidRDefault="00C0558F" w:rsidP="00C0558F">
      <w:pPr>
        <w:ind w:firstLine="748"/>
        <w:rPr>
          <w:noProof/>
        </w:rPr>
      </w:pPr>
      <w:r w:rsidRPr="00920098">
        <w:rPr>
          <w:noProof/>
        </w:rPr>
        <w:t xml:space="preserve">Materialinių užsienio investicijų dinamika Panevėžio mieste, </w:t>
      </w:r>
      <w:r w:rsidR="00920098" w:rsidRPr="00920098">
        <w:rPr>
          <w:noProof/>
        </w:rPr>
        <w:t>mln.EUR</w:t>
      </w:r>
      <w:r w:rsidRPr="00920098">
        <w:rPr>
          <w:noProof/>
        </w:rPr>
        <w:t>.</w:t>
      </w:r>
    </w:p>
    <w:p w:rsidR="00C0558F" w:rsidRPr="00B463E2" w:rsidRDefault="00C0558F" w:rsidP="00C0558F">
      <w:pPr>
        <w:ind w:firstLine="748"/>
        <w:rPr>
          <w:color w:val="FF0000"/>
        </w:rPr>
      </w:pPr>
      <w:r w:rsidRPr="00B463E2">
        <w:rPr>
          <w:noProof/>
          <w:color w:val="FF0000"/>
          <w:lang w:val="en-US" w:eastAsia="en-US"/>
        </w:rPr>
        <w:drawing>
          <wp:inline distT="0" distB="0" distL="0" distR="0">
            <wp:extent cx="5076825" cy="1724025"/>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25B60" w:rsidRDefault="00125B60" w:rsidP="00125B60">
      <w:pPr>
        <w:ind w:firstLine="748"/>
        <w:jc w:val="both"/>
      </w:pPr>
      <w:r w:rsidRPr="00125B60">
        <w:t xml:space="preserve">I prioriteto vienas iš tikslų – </w:t>
      </w:r>
      <w:r>
        <w:t xml:space="preserve">sukurti palankiausią verslui ir investicijoms aplinką Lietuvos šiaurės regione. 2014 m. Savivaldybė  baigė įgyvendinti Panevėžio pramoninio parko (LEZ) rinkodaros projektą </w:t>
      </w:r>
      <w:r w:rsidRPr="00125B60">
        <w:t>(parengta rinkodaros strategija, sukurtas filmas, dalyvauta viešinimo renginiuose).</w:t>
      </w:r>
    </w:p>
    <w:p w:rsidR="00125B60" w:rsidRDefault="00125B60" w:rsidP="00125B60">
      <w:pPr>
        <w:ind w:firstLine="748"/>
        <w:jc w:val="both"/>
      </w:pPr>
      <w:r w:rsidRPr="00920098">
        <w:rPr>
          <w:noProof/>
        </w:rPr>
        <w:t xml:space="preserve">Siekiant plėtoti palankią investicijoms ir bendradarbiavimui aplinką, kartu su  Panevėžio </w:t>
      </w:r>
      <w:r w:rsidRPr="00920098">
        <w:t xml:space="preserve"> prekybos, pramonės ir amatų rūmais (PPAR) 2014 m. organizuotos miesto verslininkų misijos tikslinėse užsienio rinkose, organizuotos konferencijos verslo temomis, dalyvauta tarptautinėje parodoje „</w:t>
      </w:r>
      <w:proofErr w:type="spellStart"/>
      <w:r w:rsidRPr="00920098">
        <w:t>Expo</w:t>
      </w:r>
      <w:proofErr w:type="spellEnd"/>
      <w:r w:rsidRPr="00920098">
        <w:t xml:space="preserve"> Aukštaitija 2014“.</w:t>
      </w:r>
      <w:r>
        <w:t xml:space="preserve"> </w:t>
      </w:r>
    </w:p>
    <w:p w:rsidR="00125B60" w:rsidRPr="00125B60" w:rsidRDefault="00125B60" w:rsidP="00125B60">
      <w:pPr>
        <w:ind w:firstLine="748"/>
        <w:jc w:val="both"/>
      </w:pPr>
      <w:r w:rsidRPr="00125B60">
        <w:rPr>
          <w:rFonts w:eastAsia="Arial Unicode MS"/>
        </w:rPr>
        <w:t xml:space="preserve">Savivaldybė kartu su partneriais teikė nemokamą informaciją, konsultacijas verslo klausimais, buvo organizuoti mokymai ir seminarai norintiems pradėti verslą, įmonėms inovacijų svarbai propaguoti. </w:t>
      </w:r>
    </w:p>
    <w:p w:rsidR="00125B60" w:rsidRPr="00094E46" w:rsidRDefault="00125B60" w:rsidP="0091161D">
      <w:pPr>
        <w:ind w:right="89" w:firstLine="748"/>
        <w:jc w:val="both"/>
        <w:rPr>
          <w:noProof/>
        </w:rPr>
      </w:pPr>
      <w:r w:rsidRPr="00094E46">
        <w:rPr>
          <w:rFonts w:eastAsia="Arial Unicode MS"/>
        </w:rPr>
        <w:t xml:space="preserve">2014 m. buvo organizuotas Panevėžio miesto geriausios inovacinės įmonės konkursas, toliau tęsiama  </w:t>
      </w:r>
      <w:proofErr w:type="spellStart"/>
      <w:r w:rsidRPr="00094E46">
        <w:rPr>
          <w:rFonts w:eastAsia="Arial Unicode MS"/>
        </w:rPr>
        <w:t>FIBA</w:t>
      </w:r>
      <w:r w:rsidRPr="00094E46">
        <w:t>ssociation</w:t>
      </w:r>
      <w:proofErr w:type="spellEnd"/>
      <w:r w:rsidRPr="00094E46">
        <w:rPr>
          <w:rFonts w:eastAsia="Arial Unicode MS"/>
        </w:rPr>
        <w:t xml:space="preserve"> veikla </w:t>
      </w:r>
      <w:r w:rsidRPr="00094E46">
        <w:t>(</w:t>
      </w:r>
      <w:proofErr w:type="spellStart"/>
      <w:r w:rsidRPr="00094E46">
        <w:t>Foreign</w:t>
      </w:r>
      <w:proofErr w:type="spellEnd"/>
      <w:r w:rsidRPr="00094E46">
        <w:t xml:space="preserve"> </w:t>
      </w:r>
      <w:proofErr w:type="spellStart"/>
      <w:r w:rsidRPr="00094E46">
        <w:t>Investment</w:t>
      </w:r>
      <w:proofErr w:type="spellEnd"/>
      <w:r w:rsidRPr="00094E46">
        <w:t xml:space="preserve"> </w:t>
      </w:r>
      <w:proofErr w:type="spellStart"/>
      <w:r w:rsidRPr="00094E46">
        <w:t>Business</w:t>
      </w:r>
      <w:proofErr w:type="spellEnd"/>
      <w:r w:rsidRPr="00094E46">
        <w:t xml:space="preserve"> </w:t>
      </w:r>
      <w:proofErr w:type="spellStart"/>
      <w:r w:rsidRPr="00094E46">
        <w:t>Association</w:t>
      </w:r>
      <w:proofErr w:type="spellEnd"/>
      <w:r w:rsidRPr="00094E46">
        <w:t xml:space="preserve">) (Užsienio investuotojų verslo asociacija). 2014 m. </w:t>
      </w:r>
      <w:r w:rsidR="003406BE" w:rsidRPr="00094E46">
        <w:t>įkurta Verslo taryba</w:t>
      </w:r>
      <w:r w:rsidRPr="00094E46">
        <w:t>.</w:t>
      </w:r>
    </w:p>
    <w:p w:rsidR="00125B60" w:rsidRPr="00094E46" w:rsidRDefault="00125B60" w:rsidP="00845C55">
      <w:pPr>
        <w:ind w:firstLine="748"/>
        <w:jc w:val="both"/>
      </w:pPr>
    </w:p>
    <w:p w:rsidR="00731FE7" w:rsidRPr="004965AF" w:rsidRDefault="00731FE7" w:rsidP="0091161D">
      <w:pPr>
        <w:ind w:firstLine="748"/>
        <w:jc w:val="both"/>
      </w:pPr>
      <w:r w:rsidRPr="004965AF">
        <w:t>Stiprinant miesto rinkodarą šalyje ir užsienyje</w:t>
      </w:r>
      <w:r w:rsidR="0020318A" w:rsidRPr="004965AF">
        <w:t>,</w:t>
      </w:r>
      <w:r w:rsidRPr="004965AF">
        <w:t xml:space="preserve"> Savivaldybė įgyvendino rinkodaros programą</w:t>
      </w:r>
      <w:r w:rsidR="009125B1" w:rsidRPr="004965AF">
        <w:t xml:space="preserve">, </w:t>
      </w:r>
      <w:r w:rsidR="006B766F" w:rsidRPr="004965AF">
        <w:t>sukurta nauja miesto rinkodaros grupė</w:t>
      </w:r>
      <w:r w:rsidRPr="004965AF">
        <w:t xml:space="preserve">. </w:t>
      </w:r>
    </w:p>
    <w:p w:rsidR="004965AF" w:rsidRPr="00434210" w:rsidRDefault="004965AF" w:rsidP="004965AF">
      <w:pPr>
        <w:ind w:firstLine="748"/>
        <w:jc w:val="both"/>
      </w:pPr>
      <w:r w:rsidRPr="00434210">
        <w:rPr>
          <w:rFonts w:eastAsia="Arial Unicode MS"/>
        </w:rPr>
        <w:t xml:space="preserve">Kitas I prioriteto tikslų – skatinti darbo vietų kūrimą. </w:t>
      </w:r>
      <w:r w:rsidRPr="00434210">
        <w:t>Pagal patvirtintą Panevėžio miesto Viešųjų darbų programą per 201</w:t>
      </w:r>
      <w:r w:rsidR="00434210" w:rsidRPr="00434210">
        <w:t>4</w:t>
      </w:r>
      <w:r w:rsidRPr="00434210">
        <w:t xml:space="preserve"> metus įdarbinta </w:t>
      </w:r>
      <w:r w:rsidR="00434210" w:rsidRPr="00434210">
        <w:t>604</w:t>
      </w:r>
      <w:r w:rsidRPr="00434210">
        <w:t xml:space="preserve"> Panevėžio teritorinės darbo biržos siųstų asmenų. Už viešųjų darbų atlikimą iš Savivaldybės biudžeto išmokėta </w:t>
      </w:r>
      <w:r w:rsidR="00434210" w:rsidRPr="00434210">
        <w:t>197,3</w:t>
      </w:r>
      <w:r w:rsidRPr="00434210">
        <w:t xml:space="preserve"> tūkst.</w:t>
      </w:r>
      <w:r w:rsidR="00434210" w:rsidRPr="00434210">
        <w:t xml:space="preserve"> EUR (681,2 tūkst.</w:t>
      </w:r>
      <w:r w:rsidR="00434210">
        <w:t xml:space="preserve"> </w:t>
      </w:r>
      <w:r w:rsidR="00434210" w:rsidRPr="00434210">
        <w:t>Lt)</w:t>
      </w:r>
      <w:r w:rsidRPr="00434210">
        <w:t xml:space="preserve">. Į šių priemonių įgyvendinimą įtrauktos ne tik savivaldos bei valstybinės institucijos, bet ir socialiniai partneriai (Darbo birža). </w:t>
      </w:r>
    </w:p>
    <w:p w:rsidR="008F6506" w:rsidRPr="00B463E2" w:rsidRDefault="008F6506" w:rsidP="00164E07">
      <w:pPr>
        <w:ind w:firstLine="748"/>
        <w:jc w:val="both"/>
        <w:rPr>
          <w:color w:val="FF0000"/>
        </w:rPr>
      </w:pPr>
    </w:p>
    <w:p w:rsidR="008F6506" w:rsidRPr="00E96C0D" w:rsidRDefault="00740910" w:rsidP="008F6506">
      <w:pPr>
        <w:ind w:firstLine="748"/>
        <w:jc w:val="both"/>
        <w:rPr>
          <w:noProof/>
        </w:rPr>
      </w:pPr>
      <w:r w:rsidRPr="00E96C0D">
        <w:rPr>
          <w:noProof/>
        </w:rPr>
        <w:t xml:space="preserve">Panevėžio </w:t>
      </w:r>
      <w:r w:rsidR="001232DD" w:rsidRPr="00E96C0D">
        <w:rPr>
          <w:noProof/>
        </w:rPr>
        <w:t>m</w:t>
      </w:r>
      <w:r w:rsidR="008F6506" w:rsidRPr="00E96C0D">
        <w:rPr>
          <w:noProof/>
        </w:rPr>
        <w:t xml:space="preserve">ieste nedarbo lygis </w:t>
      </w:r>
      <w:r w:rsidR="00E96C0D" w:rsidRPr="00E96C0D">
        <w:rPr>
          <w:noProof/>
        </w:rPr>
        <w:t>penki me</w:t>
      </w:r>
      <w:r w:rsidRPr="00E96C0D">
        <w:rPr>
          <w:noProof/>
        </w:rPr>
        <w:t xml:space="preserve">tai iš eilės mažėja </w:t>
      </w:r>
      <w:r w:rsidR="00202FCE" w:rsidRPr="00E96C0D">
        <w:rPr>
          <w:noProof/>
        </w:rPr>
        <w:t xml:space="preserve"> ir per 201</w:t>
      </w:r>
      <w:r w:rsidR="00E96C0D" w:rsidRPr="00E96C0D">
        <w:rPr>
          <w:noProof/>
        </w:rPr>
        <w:t>4</w:t>
      </w:r>
      <w:r w:rsidR="00202FCE" w:rsidRPr="00E96C0D">
        <w:rPr>
          <w:noProof/>
        </w:rPr>
        <w:t xml:space="preserve"> metus</w:t>
      </w:r>
      <w:r w:rsidR="008F6506" w:rsidRPr="00E96C0D">
        <w:rPr>
          <w:noProof/>
        </w:rPr>
        <w:t xml:space="preserve"> </w:t>
      </w:r>
      <w:r w:rsidR="00202FCE" w:rsidRPr="00E96C0D">
        <w:rPr>
          <w:noProof/>
        </w:rPr>
        <w:t xml:space="preserve">sudarė </w:t>
      </w:r>
      <w:r w:rsidR="00E96C0D" w:rsidRPr="00E96C0D">
        <w:rPr>
          <w:noProof/>
        </w:rPr>
        <w:t>9,6</w:t>
      </w:r>
      <w:r w:rsidR="008F6506" w:rsidRPr="00E96C0D">
        <w:rPr>
          <w:noProof/>
        </w:rPr>
        <w:t xml:space="preserve">  procento. (žr.</w:t>
      </w:r>
      <w:r w:rsidR="00942ED9" w:rsidRPr="00E96C0D">
        <w:rPr>
          <w:noProof/>
        </w:rPr>
        <w:t>9</w:t>
      </w:r>
      <w:r w:rsidR="008F6506" w:rsidRPr="00E96C0D">
        <w:rPr>
          <w:noProof/>
        </w:rPr>
        <w:t xml:space="preserve"> diagramą). </w:t>
      </w:r>
    </w:p>
    <w:p w:rsidR="00473249" w:rsidRPr="00E96C0D" w:rsidRDefault="00473249" w:rsidP="008F6506">
      <w:pPr>
        <w:ind w:firstLine="748"/>
        <w:jc w:val="both"/>
        <w:rPr>
          <w:noProof/>
        </w:rPr>
      </w:pPr>
    </w:p>
    <w:p w:rsidR="008F6506" w:rsidRPr="00E96C0D" w:rsidRDefault="00942ED9" w:rsidP="008F6506">
      <w:pPr>
        <w:ind w:firstLine="748"/>
        <w:jc w:val="both"/>
        <w:rPr>
          <w:noProof/>
        </w:rPr>
      </w:pPr>
      <w:r w:rsidRPr="00E96C0D">
        <w:rPr>
          <w:noProof/>
        </w:rPr>
        <w:t>9</w:t>
      </w:r>
      <w:r w:rsidR="008F6506" w:rsidRPr="00E96C0D">
        <w:rPr>
          <w:noProof/>
        </w:rPr>
        <w:t xml:space="preserve"> diagrama. Nedarbo lygis Panevėžio mieste, %</w:t>
      </w:r>
    </w:p>
    <w:p w:rsidR="008F6506" w:rsidRPr="00B463E2" w:rsidRDefault="003E03D1" w:rsidP="008F6506">
      <w:pPr>
        <w:ind w:firstLine="748"/>
        <w:jc w:val="both"/>
        <w:rPr>
          <w:noProof/>
          <w:color w:val="FF0000"/>
        </w:rPr>
      </w:pPr>
      <w:r w:rsidRPr="00B463E2">
        <w:rPr>
          <w:noProof/>
          <w:color w:val="FF0000"/>
          <w:lang w:val="en-US" w:eastAsia="en-US"/>
        </w:rPr>
        <w:drawing>
          <wp:inline distT="0" distB="0" distL="0" distR="0">
            <wp:extent cx="5105400" cy="182880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6506" w:rsidRPr="00985741" w:rsidRDefault="008F6506" w:rsidP="008F6506">
      <w:pPr>
        <w:ind w:firstLine="748"/>
        <w:jc w:val="both"/>
        <w:rPr>
          <w:noProof/>
        </w:rPr>
      </w:pPr>
      <w:r w:rsidRPr="00985741">
        <w:t>201</w:t>
      </w:r>
      <w:r w:rsidR="00985741" w:rsidRPr="00985741">
        <w:t>4</w:t>
      </w:r>
      <w:r w:rsidRPr="00985741">
        <w:t xml:space="preserve"> m. Panevėžyje veikė 3</w:t>
      </w:r>
      <w:r w:rsidR="007319AB" w:rsidRPr="00985741">
        <w:t>32</w:t>
      </w:r>
      <w:r w:rsidR="00985741" w:rsidRPr="00985741">
        <w:t>8</w:t>
      </w:r>
      <w:r w:rsidRPr="00985741">
        <w:t xml:space="preserve"> ūkio subjekta</w:t>
      </w:r>
      <w:r w:rsidR="00FD43B1" w:rsidRPr="00985741">
        <w:t>i</w:t>
      </w:r>
      <w:r w:rsidRPr="00985741">
        <w:t xml:space="preserve"> ir </w:t>
      </w:r>
      <w:r w:rsidR="00F45903" w:rsidRPr="00985741">
        <w:t xml:space="preserve">per 5 metus sumažėjo </w:t>
      </w:r>
      <w:r w:rsidR="00985741">
        <w:t>4</w:t>
      </w:r>
      <w:r w:rsidR="00F45903" w:rsidRPr="00985741">
        <w:t xml:space="preserve"> p</w:t>
      </w:r>
      <w:r w:rsidRPr="00985741">
        <w:t xml:space="preserve">roc. </w:t>
      </w:r>
      <w:r w:rsidRPr="00985741">
        <w:rPr>
          <w:noProof/>
        </w:rPr>
        <w:t>(žr.</w:t>
      </w:r>
      <w:r w:rsidR="00031224" w:rsidRPr="00985741">
        <w:rPr>
          <w:noProof/>
        </w:rPr>
        <w:t>10</w:t>
      </w:r>
      <w:r w:rsidRPr="00985741">
        <w:rPr>
          <w:noProof/>
        </w:rPr>
        <w:t xml:space="preserve"> diagramą). Mieste dominuoja įmonės, kuriose dirba 1-9 dirbantieji.</w:t>
      </w:r>
    </w:p>
    <w:p w:rsidR="00473249" w:rsidRPr="00985741" w:rsidRDefault="00473249" w:rsidP="008F6506">
      <w:pPr>
        <w:ind w:firstLine="748"/>
        <w:jc w:val="both"/>
        <w:rPr>
          <w:noProof/>
        </w:rPr>
      </w:pPr>
    </w:p>
    <w:p w:rsidR="008F6506" w:rsidRPr="00985741" w:rsidRDefault="00031224" w:rsidP="008F6506">
      <w:pPr>
        <w:ind w:firstLine="748"/>
        <w:jc w:val="both"/>
        <w:rPr>
          <w:noProof/>
        </w:rPr>
      </w:pPr>
      <w:r w:rsidRPr="00985741">
        <w:rPr>
          <w:noProof/>
        </w:rPr>
        <w:t>10</w:t>
      </w:r>
      <w:r w:rsidR="008F6506" w:rsidRPr="00985741">
        <w:rPr>
          <w:noProof/>
        </w:rPr>
        <w:t xml:space="preserve"> diagrama. Veikiantys ūkio subjektai Panevėžio mieste, vnt.</w:t>
      </w:r>
    </w:p>
    <w:p w:rsidR="008F6506" w:rsidRPr="00B463E2" w:rsidRDefault="003E03D1" w:rsidP="008F6506">
      <w:pPr>
        <w:ind w:firstLine="748"/>
        <w:jc w:val="both"/>
        <w:rPr>
          <w:color w:val="FF0000"/>
        </w:rPr>
      </w:pPr>
      <w:r w:rsidRPr="00B463E2">
        <w:rPr>
          <w:noProof/>
          <w:color w:val="FF0000"/>
          <w:lang w:val="en-US" w:eastAsia="en-US"/>
        </w:rPr>
        <w:drawing>
          <wp:inline distT="0" distB="0" distL="0" distR="0">
            <wp:extent cx="5372100" cy="182880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59A5" w:rsidRPr="00B463E2" w:rsidRDefault="006B59A5" w:rsidP="00845C55">
      <w:pPr>
        <w:tabs>
          <w:tab w:val="left" w:pos="748"/>
        </w:tabs>
        <w:ind w:left="187" w:firstLine="561"/>
        <w:jc w:val="both"/>
        <w:rPr>
          <w:b/>
          <w:noProof/>
          <w:color w:val="FF0000"/>
        </w:rPr>
      </w:pPr>
    </w:p>
    <w:p w:rsidR="00F45903" w:rsidRPr="00390A85" w:rsidRDefault="00F45903" w:rsidP="00845C55">
      <w:pPr>
        <w:tabs>
          <w:tab w:val="left" w:pos="748"/>
        </w:tabs>
        <w:ind w:left="187" w:firstLine="561"/>
        <w:jc w:val="both"/>
      </w:pPr>
      <w:r w:rsidRPr="00390A85">
        <w:t xml:space="preserve">Įmonių skaičius, tenkantis tūkstančiui gyventojų, parodo verslumo lygį. Lietuvos verslumo lygis </w:t>
      </w:r>
      <w:r w:rsidR="00D235B9" w:rsidRPr="00390A85">
        <w:t xml:space="preserve">2 </w:t>
      </w:r>
      <w:r w:rsidRPr="00390A85">
        <w:t xml:space="preserve"> kartus mažesnis, nei ES</w:t>
      </w:r>
      <w:r w:rsidR="00D235B9" w:rsidRPr="00390A85">
        <w:t xml:space="preserve"> (tūkstančiui gyventojų tenka maždaug 55 įmonės)</w:t>
      </w:r>
      <w:r w:rsidRPr="00390A85">
        <w:t xml:space="preserve">, o Panevėžio mieste verslumo lygis </w:t>
      </w:r>
      <w:r w:rsidR="00CD73FB" w:rsidRPr="00390A85">
        <w:t xml:space="preserve">yra mažiausias iš 5 didžiųjų miestų ir tūkstančiui gyventojų tenka </w:t>
      </w:r>
      <w:r w:rsidR="00E14B5A" w:rsidRPr="00390A85">
        <w:t>3</w:t>
      </w:r>
      <w:r w:rsidR="007319AB" w:rsidRPr="00390A85">
        <w:t>5</w:t>
      </w:r>
      <w:r w:rsidR="00CD73FB" w:rsidRPr="00390A85">
        <w:t xml:space="preserve"> įmonės.</w:t>
      </w:r>
    </w:p>
    <w:p w:rsidR="00F45903" w:rsidRPr="00B463E2" w:rsidRDefault="00F45903" w:rsidP="00845C55">
      <w:pPr>
        <w:tabs>
          <w:tab w:val="left" w:pos="748"/>
        </w:tabs>
        <w:ind w:left="187" w:firstLine="561"/>
        <w:jc w:val="both"/>
        <w:rPr>
          <w:b/>
          <w:noProof/>
          <w:color w:val="FF0000"/>
        </w:rPr>
      </w:pPr>
    </w:p>
    <w:p w:rsidR="00845C55" w:rsidRDefault="006E14D9" w:rsidP="00845C55">
      <w:pPr>
        <w:tabs>
          <w:tab w:val="left" w:pos="748"/>
        </w:tabs>
        <w:ind w:left="187" w:firstLine="561"/>
        <w:jc w:val="both"/>
      </w:pPr>
      <w:r w:rsidRPr="000072D9">
        <w:rPr>
          <w:b/>
          <w:noProof/>
        </w:rPr>
        <w:t>II PRIORITETAS.</w:t>
      </w:r>
      <w:r w:rsidR="000072D9" w:rsidRPr="000072D9">
        <w:rPr>
          <w:b/>
          <w:noProof/>
        </w:rPr>
        <w:t xml:space="preserve"> </w:t>
      </w:r>
      <w:r w:rsidR="000072D9" w:rsidRPr="000072D9">
        <w:t>Kokybiškų gyvenimo sąlygų ir aukštos socialinės gerovės kūrimas</w:t>
      </w:r>
      <w:r w:rsidR="005251A3" w:rsidRPr="000072D9">
        <w:t>.</w:t>
      </w:r>
    </w:p>
    <w:p w:rsidR="00013AFD" w:rsidRPr="000072D9" w:rsidRDefault="00013AFD" w:rsidP="00845C55">
      <w:pPr>
        <w:tabs>
          <w:tab w:val="left" w:pos="748"/>
        </w:tabs>
        <w:ind w:left="187" w:firstLine="561"/>
        <w:jc w:val="both"/>
      </w:pPr>
    </w:p>
    <w:p w:rsidR="00031224" w:rsidRDefault="00BD0A9A" w:rsidP="00845C55">
      <w:pPr>
        <w:tabs>
          <w:tab w:val="left" w:pos="748"/>
        </w:tabs>
        <w:ind w:left="187" w:firstLine="561"/>
        <w:jc w:val="both"/>
        <w:rPr>
          <w:noProof/>
        </w:rPr>
      </w:pPr>
      <w:r w:rsidRPr="00044667">
        <w:rPr>
          <w:noProof/>
        </w:rPr>
        <w:t xml:space="preserve">II prioritete nurodytos priemonės </w:t>
      </w:r>
      <w:r w:rsidR="00044667">
        <w:rPr>
          <w:noProof/>
        </w:rPr>
        <w:t>apima švietimą, sveikatos, socialinę apsaugą, kultūrą ir meną</w:t>
      </w:r>
      <w:r w:rsidR="005E7A56">
        <w:rPr>
          <w:noProof/>
        </w:rPr>
        <w:t xml:space="preserve">, </w:t>
      </w:r>
      <w:r w:rsidR="00044667">
        <w:rPr>
          <w:noProof/>
        </w:rPr>
        <w:t>kūno kultūrą ir sportą, viešąjį saugumą.</w:t>
      </w:r>
    </w:p>
    <w:p w:rsidR="00845C55" w:rsidRPr="000072D9" w:rsidRDefault="00845C55" w:rsidP="00845C55">
      <w:pPr>
        <w:ind w:firstLine="748"/>
        <w:jc w:val="both"/>
        <w:rPr>
          <w:noProof/>
        </w:rPr>
      </w:pPr>
      <w:r w:rsidRPr="000072D9">
        <w:rPr>
          <w:noProof/>
        </w:rPr>
        <w:t xml:space="preserve">Strateginio plano II-o prioriteto priemonių vykdymas pavaizduotas </w:t>
      </w:r>
      <w:r w:rsidR="00031224" w:rsidRPr="000072D9">
        <w:rPr>
          <w:noProof/>
        </w:rPr>
        <w:t>11</w:t>
      </w:r>
      <w:r w:rsidRPr="000072D9">
        <w:rPr>
          <w:noProof/>
        </w:rPr>
        <w:t xml:space="preserve"> diagramoje.</w:t>
      </w:r>
    </w:p>
    <w:p w:rsidR="00845C55" w:rsidRPr="00B463E2" w:rsidRDefault="00845C55" w:rsidP="00845C55">
      <w:pPr>
        <w:ind w:firstLine="748"/>
        <w:jc w:val="both"/>
        <w:rPr>
          <w:noProof/>
          <w:color w:val="FF0000"/>
        </w:rPr>
      </w:pPr>
    </w:p>
    <w:p w:rsidR="00641CFF" w:rsidRDefault="00641CFF" w:rsidP="00845C55">
      <w:pPr>
        <w:ind w:firstLine="748"/>
        <w:jc w:val="both"/>
        <w:rPr>
          <w:noProof/>
        </w:rPr>
      </w:pPr>
    </w:p>
    <w:p w:rsidR="00641CFF" w:rsidRDefault="00641CFF" w:rsidP="00845C55">
      <w:pPr>
        <w:ind w:firstLine="748"/>
        <w:jc w:val="both"/>
        <w:rPr>
          <w:noProof/>
        </w:rPr>
      </w:pPr>
      <w:r w:rsidRPr="00B463E2">
        <w:rPr>
          <w:noProof/>
          <w:color w:val="FF0000"/>
          <w:lang w:val="en-US" w:eastAsia="en-US"/>
        </w:rPr>
        <w:drawing>
          <wp:inline distT="0" distB="0" distL="0" distR="0">
            <wp:extent cx="4676775" cy="2019300"/>
            <wp:effectExtent l="0" t="0" r="0" b="0"/>
            <wp:docPr id="3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5C55" w:rsidRPr="004F1A34" w:rsidRDefault="00845C55" w:rsidP="00845C55">
      <w:pPr>
        <w:ind w:firstLine="748"/>
        <w:jc w:val="both"/>
        <w:rPr>
          <w:noProof/>
        </w:rPr>
      </w:pPr>
      <w:r w:rsidRPr="004F1A34">
        <w:rPr>
          <w:noProof/>
        </w:rPr>
        <w:lastRenderedPageBreak/>
        <w:t>II prioriteto neįgyvendintos priemonės 20</w:t>
      </w:r>
      <w:r w:rsidR="006E1DF4" w:rsidRPr="004F1A34">
        <w:rPr>
          <w:noProof/>
        </w:rPr>
        <w:t>1</w:t>
      </w:r>
      <w:r w:rsidR="004F1A34" w:rsidRPr="004F1A34">
        <w:rPr>
          <w:noProof/>
        </w:rPr>
        <w:t>4</w:t>
      </w:r>
      <w:r w:rsidRPr="004F1A34">
        <w:rPr>
          <w:noProof/>
        </w:rPr>
        <w:t xml:space="preserve"> m.:</w:t>
      </w:r>
    </w:p>
    <w:p w:rsidR="004F1A34" w:rsidRDefault="004F1A34" w:rsidP="004F1A34">
      <w:pPr>
        <w:ind w:firstLine="720"/>
        <w:jc w:val="both"/>
      </w:pPr>
      <w:r w:rsidRPr="006173ED">
        <w:t>2.1.1.3.</w:t>
      </w:r>
      <w:r>
        <w:t xml:space="preserve"> </w:t>
      </w:r>
      <w:r w:rsidRPr="006173ED">
        <w:t>Parengti ir įgyvendinti programą mokyklų iniciatyvoms (ugdymo kokybei gerinti) remti</w:t>
      </w:r>
      <w:r>
        <w:t>.</w:t>
      </w:r>
    </w:p>
    <w:p w:rsidR="004F1A34" w:rsidRDefault="004F1A34" w:rsidP="004F1A34">
      <w:pPr>
        <w:ind w:firstLine="720"/>
        <w:jc w:val="both"/>
      </w:pPr>
      <w:r w:rsidRPr="006173ED">
        <w:t>Programa neparengta.  2016 m. planuojama parengti  programos aprašą, numatant atitinkamoms programos veikloms finansinį pagrįstumą</w:t>
      </w:r>
      <w:r w:rsidR="00582E94">
        <w:t>.</w:t>
      </w:r>
    </w:p>
    <w:p w:rsidR="004F1A34" w:rsidRDefault="004F1A34" w:rsidP="004F1A34">
      <w:pPr>
        <w:ind w:firstLine="720"/>
        <w:jc w:val="both"/>
      </w:pPr>
      <w:r w:rsidRPr="00D405EC">
        <w:t>2.1.1.8.</w:t>
      </w:r>
      <w:r>
        <w:t xml:space="preserve"> </w:t>
      </w:r>
      <w:r w:rsidRPr="00D405EC">
        <w:t>Plėtoti nuotolinį mokymą</w:t>
      </w:r>
      <w:r>
        <w:t>.</w:t>
      </w:r>
    </w:p>
    <w:p w:rsidR="004F1A34" w:rsidRDefault="004F1A34" w:rsidP="004F1A34">
      <w:pPr>
        <w:ind w:firstLine="720"/>
        <w:jc w:val="both"/>
      </w:pPr>
      <w:r w:rsidRPr="00D405EC">
        <w:t>Panevėžio mieste besimokantiems mokiniams sudarytos sąlygos mokytis nuotoliniu būdu 100 proc. Norint užtikrinti nuotolinį mokymąsi išvykusiems į užsienį,   reikalinga atnaujinti atitinkamą IT bazę ir programų parengimą. Priemonę planuojama vykdyti nuo 2018 m.</w:t>
      </w:r>
    </w:p>
    <w:p w:rsidR="004F1A34" w:rsidRDefault="004F1A34" w:rsidP="004F1A34">
      <w:pPr>
        <w:ind w:firstLine="720"/>
        <w:jc w:val="both"/>
      </w:pPr>
      <w:r w:rsidRPr="00D405EC">
        <w:t>2.3.3.3.</w:t>
      </w:r>
      <w:r>
        <w:t xml:space="preserve"> </w:t>
      </w:r>
      <w:r w:rsidRPr="00D405EC">
        <w:t>Parengti kūrybinių industrijų galimybių plėtros studiją ir pagal ją įgyvendinti priemones</w:t>
      </w:r>
      <w:r>
        <w:t>.</w:t>
      </w:r>
    </w:p>
    <w:p w:rsidR="004F1A34" w:rsidRDefault="004F1A34" w:rsidP="004F1A34">
      <w:pPr>
        <w:ind w:firstLine="720"/>
        <w:jc w:val="both"/>
      </w:pPr>
      <w:r w:rsidRPr="00D405EC">
        <w:t>2014 m. biudžete nenumatytos lėšos</w:t>
      </w:r>
      <w:r w:rsidR="00582E94">
        <w:t xml:space="preserve">, </w:t>
      </w:r>
      <w:r w:rsidRPr="00D405EC">
        <w:t xml:space="preserve"> studija neparengta. Planuojama parengti 2016 m.</w:t>
      </w:r>
    </w:p>
    <w:p w:rsidR="004F1A34" w:rsidRDefault="004F1A34" w:rsidP="004F1A34">
      <w:pPr>
        <w:ind w:firstLine="720"/>
        <w:jc w:val="both"/>
      </w:pPr>
      <w:r w:rsidRPr="00D405EC">
        <w:t>2.3.5.1.</w:t>
      </w:r>
      <w:r>
        <w:t xml:space="preserve"> </w:t>
      </w:r>
      <w:r w:rsidRPr="00D405EC">
        <w:t>Užtikrinti nekilnojamojo kultūros paveldo tvarkybą ir pritaikymą visuomenės poreikiams</w:t>
      </w:r>
      <w:r>
        <w:t>:</w:t>
      </w:r>
    </w:p>
    <w:p w:rsidR="004F1A34" w:rsidRDefault="004F1A34" w:rsidP="004F1A34">
      <w:pPr>
        <w:ind w:firstLine="720"/>
        <w:jc w:val="both"/>
      </w:pPr>
      <w:r>
        <w:t xml:space="preserve">2.3.5.1.3. </w:t>
      </w:r>
      <w:r w:rsidRPr="00D405EC">
        <w:t>Poeto J.Čerkeso-Besparnio sodybos atstatymas ir pritaikymas</w:t>
      </w:r>
      <w:r>
        <w:t xml:space="preserve">. </w:t>
      </w:r>
    </w:p>
    <w:p w:rsidR="004F1A34" w:rsidRDefault="004F1A34" w:rsidP="004F1A34">
      <w:pPr>
        <w:ind w:firstLine="720"/>
        <w:jc w:val="both"/>
      </w:pPr>
      <w:r w:rsidRPr="00D405EC">
        <w:t>Nevykdoma, neskirtas finansavimas</w:t>
      </w:r>
      <w:r>
        <w:t>.</w:t>
      </w:r>
    </w:p>
    <w:p w:rsidR="004F1A34" w:rsidRDefault="004F1A34" w:rsidP="004F1A34">
      <w:pPr>
        <w:ind w:firstLine="720"/>
        <w:jc w:val="both"/>
      </w:pPr>
      <w:r>
        <w:t>2.3.5.1.</w:t>
      </w:r>
      <w:r w:rsidRPr="00D405EC">
        <w:t>5. Panevėžio V.Žemkalnio gimnazijos senojo pastato sutvarkymas (patalpų išplėtimas palėpėje)</w:t>
      </w:r>
      <w:r>
        <w:t>.</w:t>
      </w:r>
    </w:p>
    <w:p w:rsidR="004F1A34" w:rsidRDefault="004F1A34" w:rsidP="004F1A34">
      <w:pPr>
        <w:ind w:firstLine="720"/>
        <w:jc w:val="both"/>
      </w:pPr>
      <w:r w:rsidRPr="00D405EC">
        <w:t>Nevykdoma, neskirtas finansavimas</w:t>
      </w:r>
      <w:r>
        <w:t>.</w:t>
      </w:r>
    </w:p>
    <w:p w:rsidR="004F1A34" w:rsidRDefault="004F1A34" w:rsidP="004F1A34">
      <w:pPr>
        <w:ind w:firstLine="720"/>
        <w:jc w:val="both"/>
      </w:pPr>
      <w:r>
        <w:t xml:space="preserve">2.3.5.1.6. </w:t>
      </w:r>
      <w:r w:rsidRPr="00D405EC">
        <w:t>Namo, kuriame gyveno G.Petkevičaitė-Bitė, rekonstravimas ir pritaikymas</w:t>
      </w:r>
      <w:r>
        <w:t>.</w:t>
      </w:r>
    </w:p>
    <w:p w:rsidR="004F1A34" w:rsidRDefault="004F1A34" w:rsidP="004F1A34">
      <w:pPr>
        <w:ind w:firstLine="720"/>
        <w:jc w:val="both"/>
      </w:pPr>
      <w:r w:rsidRPr="00D405EC">
        <w:t>Nevykdoma, objektas priklauso keliems savininkams. Reikalingas politinis sprendimas</w:t>
      </w:r>
      <w:r>
        <w:t>.</w:t>
      </w:r>
    </w:p>
    <w:p w:rsidR="004F1A34" w:rsidRDefault="004F1A34" w:rsidP="004F1A34">
      <w:pPr>
        <w:ind w:firstLine="720"/>
        <w:jc w:val="both"/>
      </w:pPr>
      <w:r w:rsidRPr="00D405EC">
        <w:t>2.5.4.6.</w:t>
      </w:r>
      <w:r>
        <w:t xml:space="preserve"> </w:t>
      </w:r>
      <w:r w:rsidRPr="00D405EC">
        <w:t>Savivaldybės ekstremaliųjų situacijų operacijų centro patalpų įrengimas ir aprūpinimas privalomomis techninėmis priemonėmis</w:t>
      </w:r>
      <w:r>
        <w:t>.</w:t>
      </w:r>
    </w:p>
    <w:p w:rsidR="004F1A34" w:rsidRDefault="004F1A34" w:rsidP="004F1A34">
      <w:pPr>
        <w:ind w:firstLine="720"/>
        <w:jc w:val="both"/>
      </w:pPr>
      <w:r w:rsidRPr="00D405EC">
        <w:t>Planuojama numatyti lėšas 2017 m. dėl techninės įrangos įsig</w:t>
      </w:r>
      <w:r>
        <w:t>i</w:t>
      </w:r>
      <w:r w:rsidRPr="00D405EC">
        <w:t>jimo</w:t>
      </w:r>
      <w:r>
        <w:t xml:space="preserve">. </w:t>
      </w:r>
    </w:p>
    <w:p w:rsidR="004F1A34" w:rsidRDefault="004F1A34" w:rsidP="004F1A34">
      <w:pPr>
        <w:ind w:firstLine="720"/>
        <w:jc w:val="both"/>
      </w:pPr>
      <w:r w:rsidRPr="00D405EC">
        <w:t>2.5.4.7.</w:t>
      </w:r>
      <w:r>
        <w:t xml:space="preserve"> </w:t>
      </w:r>
      <w:r w:rsidRPr="00D405EC">
        <w:t>Įkurti koordinacinę tarybą, kuri koordinuotų ir vykdytų visas saugaus miesto veiklos kryptis</w:t>
      </w:r>
      <w:r>
        <w:t>.</w:t>
      </w:r>
    </w:p>
    <w:p w:rsidR="004F1A34" w:rsidRDefault="004F1A34" w:rsidP="004F1A34">
      <w:pPr>
        <w:ind w:firstLine="720"/>
        <w:jc w:val="both"/>
      </w:pPr>
      <w:r w:rsidRPr="00D405EC">
        <w:t>Planuojama koordinacinę tarybą įkurti 2017 m.</w:t>
      </w:r>
    </w:p>
    <w:p w:rsidR="00641CFF" w:rsidRDefault="00641CFF" w:rsidP="004F1A34">
      <w:pPr>
        <w:ind w:firstLine="720"/>
        <w:jc w:val="both"/>
      </w:pPr>
    </w:p>
    <w:p w:rsidR="00641CFF" w:rsidRPr="00831734" w:rsidRDefault="00641CFF" w:rsidP="00641CFF">
      <w:pPr>
        <w:ind w:firstLine="748"/>
        <w:jc w:val="both"/>
        <w:rPr>
          <w:noProof/>
        </w:rPr>
      </w:pPr>
      <w:r w:rsidRPr="00831734">
        <w:rPr>
          <w:noProof/>
        </w:rPr>
        <w:t xml:space="preserve">Statistikos departamento duomenimis vidutinis metinis gyventojų skaičius 2014 m. Panevėžio mieste buvo 95 765  ir, palyginus su 2013 m. (96 836), sumažėjo 1,0 proc. Panevėžyje gyventojų skaičiaus mažėjimas yra gana ženklus, per paskutinius 5 metus gyventojų mieste sumažėjo </w:t>
      </w:r>
      <w:r w:rsidR="00831734" w:rsidRPr="00831734">
        <w:rPr>
          <w:noProof/>
        </w:rPr>
        <w:t>5799</w:t>
      </w:r>
      <w:r w:rsidRPr="00831734">
        <w:rPr>
          <w:noProof/>
        </w:rPr>
        <w:t xml:space="preserve"> arba </w:t>
      </w:r>
      <w:r w:rsidR="00831734" w:rsidRPr="00831734">
        <w:rPr>
          <w:noProof/>
        </w:rPr>
        <w:t>5,7</w:t>
      </w:r>
      <w:r w:rsidRPr="00831734">
        <w:rPr>
          <w:noProof/>
        </w:rPr>
        <w:t xml:space="preserve"> proc. (žr.12 diagramą)</w:t>
      </w:r>
    </w:p>
    <w:p w:rsidR="00641CFF" w:rsidRPr="00831734" w:rsidRDefault="00641CFF" w:rsidP="00641CFF">
      <w:pPr>
        <w:ind w:firstLine="748"/>
        <w:jc w:val="both"/>
        <w:rPr>
          <w:noProof/>
        </w:rPr>
      </w:pPr>
    </w:p>
    <w:p w:rsidR="00641CFF" w:rsidRDefault="00641CFF" w:rsidP="00641CFF">
      <w:pPr>
        <w:ind w:firstLine="748"/>
        <w:jc w:val="both"/>
        <w:rPr>
          <w:noProof/>
        </w:rPr>
      </w:pPr>
      <w:r w:rsidRPr="00831734">
        <w:rPr>
          <w:noProof/>
        </w:rPr>
        <w:t>12 diagrama. Gyventojų skaičiaus kaita Panevėžio mieste</w:t>
      </w:r>
    </w:p>
    <w:p w:rsidR="00225C73" w:rsidRDefault="00225C73" w:rsidP="00641CFF">
      <w:pPr>
        <w:ind w:firstLine="748"/>
        <w:jc w:val="both"/>
        <w:rPr>
          <w:noProof/>
        </w:rPr>
      </w:pPr>
      <w:r w:rsidRPr="00225C73">
        <w:rPr>
          <w:noProof/>
        </w:rPr>
        <w:drawing>
          <wp:inline distT="0" distB="0" distL="0" distR="0">
            <wp:extent cx="5314950" cy="1828800"/>
            <wp:effectExtent l="0" t="0" r="0" b="0"/>
            <wp:docPr id="12"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5C73" w:rsidRPr="00831734" w:rsidRDefault="00225C73" w:rsidP="00641CFF">
      <w:pPr>
        <w:ind w:firstLine="748"/>
        <w:jc w:val="both"/>
        <w:rPr>
          <w:noProof/>
        </w:rPr>
      </w:pPr>
    </w:p>
    <w:p w:rsidR="00641CFF" w:rsidRPr="00831734" w:rsidRDefault="00641CFF" w:rsidP="00641CFF">
      <w:pPr>
        <w:ind w:firstLine="748"/>
        <w:jc w:val="both"/>
        <w:rPr>
          <w:noProof/>
        </w:rPr>
      </w:pPr>
      <w:r w:rsidRPr="00B463E2">
        <w:rPr>
          <w:noProof/>
          <w:color w:val="FF0000"/>
        </w:rPr>
        <w:tab/>
        <w:t xml:space="preserve"> </w:t>
      </w:r>
      <w:r w:rsidRPr="00831734">
        <w:rPr>
          <w:noProof/>
        </w:rPr>
        <w:t xml:space="preserve">Žemas gimstamumo lygis neužtikrina kartų kaitos. Dėl neigiamos natūralios kaitos gyventojų skaičius sumažėjo </w:t>
      </w:r>
      <w:r w:rsidR="00831734" w:rsidRPr="00831734">
        <w:rPr>
          <w:noProof/>
        </w:rPr>
        <w:t>217</w:t>
      </w:r>
      <w:r w:rsidRPr="00831734">
        <w:rPr>
          <w:noProof/>
        </w:rPr>
        <w:t>. Gimstamumas, palyginus su ankstesniais metais, sumažėjo 7 procentais, o mirštamumas sumažėjo 5 proc.</w:t>
      </w:r>
      <w:r w:rsidR="00831734" w:rsidRPr="00831734">
        <w:rPr>
          <w:noProof/>
        </w:rPr>
        <w:t xml:space="preserve">, </w:t>
      </w:r>
      <w:r w:rsidRPr="00831734">
        <w:rPr>
          <w:noProof/>
        </w:rPr>
        <w:t xml:space="preserve"> migracijos saldo</w:t>
      </w:r>
      <w:r w:rsidR="00831734" w:rsidRPr="00831734">
        <w:rPr>
          <w:noProof/>
        </w:rPr>
        <w:t xml:space="preserve"> - neigiamas</w:t>
      </w:r>
      <w:r w:rsidRPr="00831734">
        <w:rPr>
          <w:noProof/>
        </w:rPr>
        <w:t xml:space="preserve"> </w:t>
      </w:r>
      <w:r w:rsidR="00831734" w:rsidRPr="00831734">
        <w:rPr>
          <w:noProof/>
        </w:rPr>
        <w:t>(909)</w:t>
      </w:r>
      <w:r w:rsidRPr="00831734">
        <w:rPr>
          <w:noProof/>
        </w:rPr>
        <w:t>.</w:t>
      </w:r>
    </w:p>
    <w:p w:rsidR="00641CFF" w:rsidRDefault="00641CFF" w:rsidP="004F1A34">
      <w:pPr>
        <w:ind w:firstLine="720"/>
        <w:jc w:val="both"/>
      </w:pPr>
    </w:p>
    <w:p w:rsidR="00BD0A9A" w:rsidRPr="00B463E2" w:rsidRDefault="00BD0A9A" w:rsidP="00BD0A9A">
      <w:pPr>
        <w:pStyle w:val="Footer"/>
        <w:tabs>
          <w:tab w:val="clear" w:pos="4153"/>
          <w:tab w:val="clear" w:pos="8306"/>
        </w:tabs>
        <w:ind w:firstLine="748"/>
        <w:jc w:val="both"/>
        <w:outlineLvl w:val="0"/>
        <w:rPr>
          <w:color w:val="FF0000"/>
        </w:rPr>
      </w:pPr>
    </w:p>
    <w:p w:rsidR="00BD0A9A" w:rsidRPr="00727F4A" w:rsidRDefault="00BD0A9A" w:rsidP="00BD0A9A">
      <w:pPr>
        <w:pStyle w:val="Footer"/>
        <w:tabs>
          <w:tab w:val="clear" w:pos="4153"/>
          <w:tab w:val="clear" w:pos="8306"/>
        </w:tabs>
        <w:ind w:firstLine="748"/>
        <w:jc w:val="both"/>
        <w:outlineLvl w:val="0"/>
      </w:pPr>
      <w:r w:rsidRPr="00727F4A">
        <w:t>Švietim</w:t>
      </w:r>
      <w:r w:rsidR="0058758D" w:rsidRPr="00727F4A">
        <w:t xml:space="preserve">as </w:t>
      </w:r>
      <w:r w:rsidRPr="00727F4A">
        <w:t xml:space="preserve">ir </w:t>
      </w:r>
      <w:r w:rsidR="0058758D" w:rsidRPr="00727F4A">
        <w:t>mokslas</w:t>
      </w:r>
      <w:r w:rsidRPr="00727F4A">
        <w:t>.</w:t>
      </w:r>
      <w:r w:rsidRPr="00727F4A">
        <w:rPr>
          <w:b/>
        </w:rPr>
        <w:t xml:space="preserve"> </w:t>
      </w:r>
      <w:r w:rsidRPr="00727F4A">
        <w:t>Savivaldybės</w:t>
      </w:r>
      <w:r w:rsidR="000F0745">
        <w:t xml:space="preserve"> ir valstybės</w:t>
      </w:r>
      <w:r w:rsidRPr="00727F4A">
        <w:t xml:space="preserve"> biudžeto išlaidų švietimui dinamika pavaizduota  1</w:t>
      </w:r>
      <w:r w:rsidR="00DA3725">
        <w:t>3</w:t>
      </w:r>
      <w:r w:rsidRPr="00727F4A">
        <w:t xml:space="preserve"> diagramoje.</w:t>
      </w:r>
    </w:p>
    <w:p w:rsidR="00BD0A9A" w:rsidRPr="00727F4A" w:rsidRDefault="00BD0A9A" w:rsidP="00BD0A9A">
      <w:pPr>
        <w:pStyle w:val="Footer"/>
        <w:tabs>
          <w:tab w:val="clear" w:pos="4153"/>
          <w:tab w:val="clear" w:pos="8306"/>
        </w:tabs>
        <w:ind w:firstLine="748"/>
        <w:jc w:val="both"/>
        <w:outlineLvl w:val="0"/>
      </w:pPr>
    </w:p>
    <w:p w:rsidR="00BD0A9A" w:rsidRPr="005955DA" w:rsidRDefault="00BD0A9A" w:rsidP="00BD0A9A">
      <w:pPr>
        <w:pStyle w:val="Footer"/>
        <w:tabs>
          <w:tab w:val="clear" w:pos="4153"/>
          <w:tab w:val="clear" w:pos="8306"/>
        </w:tabs>
        <w:ind w:firstLine="748"/>
        <w:jc w:val="both"/>
        <w:outlineLvl w:val="0"/>
      </w:pPr>
      <w:r w:rsidRPr="00727F4A">
        <w:lastRenderedPageBreak/>
        <w:t>1</w:t>
      </w:r>
      <w:r w:rsidR="000C08DF">
        <w:t>3</w:t>
      </w:r>
      <w:r w:rsidRPr="00727F4A">
        <w:t xml:space="preserve"> diagrama. Savivaldybės</w:t>
      </w:r>
      <w:r w:rsidR="000F0745">
        <w:t xml:space="preserve"> ir valstybės</w:t>
      </w:r>
      <w:r w:rsidRPr="00727F4A">
        <w:t xml:space="preserve"> biudžeto išlaidos </w:t>
      </w:r>
      <w:r w:rsidRPr="005955DA">
        <w:t xml:space="preserve">švietimui, tūkst. </w:t>
      </w:r>
      <w:r w:rsidR="005955DA" w:rsidRPr="005955DA">
        <w:t>EUR</w:t>
      </w:r>
    </w:p>
    <w:p w:rsidR="00BD0A9A" w:rsidRPr="00B463E2" w:rsidRDefault="00BD0A9A" w:rsidP="00BD0A9A">
      <w:pPr>
        <w:pStyle w:val="Footer"/>
        <w:tabs>
          <w:tab w:val="clear" w:pos="4153"/>
          <w:tab w:val="clear" w:pos="8306"/>
        </w:tabs>
        <w:ind w:firstLine="748"/>
        <w:jc w:val="both"/>
        <w:outlineLvl w:val="0"/>
        <w:rPr>
          <w:color w:val="FF0000"/>
        </w:rPr>
      </w:pPr>
      <w:r w:rsidRPr="00B463E2">
        <w:rPr>
          <w:noProof/>
          <w:color w:val="FF0000"/>
          <w:lang w:val="en-US" w:eastAsia="en-US"/>
        </w:rPr>
        <w:drawing>
          <wp:inline distT="0" distB="0" distL="0" distR="0">
            <wp:extent cx="4867275" cy="1714500"/>
            <wp:effectExtent l="0" t="0" r="0" b="0"/>
            <wp:docPr id="1"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0A9A" w:rsidRPr="001C595B" w:rsidRDefault="00BD0A9A" w:rsidP="001C595B">
      <w:pPr>
        <w:ind w:firstLine="748"/>
        <w:jc w:val="both"/>
      </w:pPr>
      <w:r w:rsidRPr="001C595B">
        <w:t>Vienas iš II prioriteto uždavinių – gerinti mokymo ir ugdymo kokybę. Tuo tikslu 201</w:t>
      </w:r>
      <w:r w:rsidR="001C595B" w:rsidRPr="001C595B">
        <w:t>4</w:t>
      </w:r>
      <w:r w:rsidRPr="001C595B">
        <w:t xml:space="preserve"> m. </w:t>
      </w:r>
      <w:r w:rsidR="001C595B" w:rsidRPr="001C595B">
        <w:t>atnaujinti 6 ugdymo įstaigų pastatai: lopšelių-darželių „Sigutė“, „Aušra“, „Jūratė“, Rūta“, „Ąžuolo“ pagrindinės mokyklos, „Vyturio“ progimnazijos, „Žemynos“ progimnazijos baseino.</w:t>
      </w:r>
    </w:p>
    <w:p w:rsidR="00BD0A9A" w:rsidRPr="00B463E2" w:rsidRDefault="00BD0A9A" w:rsidP="00BD0A9A">
      <w:pPr>
        <w:ind w:firstLine="748"/>
        <w:jc w:val="both"/>
        <w:rPr>
          <w:color w:val="FF0000"/>
        </w:rPr>
      </w:pPr>
    </w:p>
    <w:p w:rsidR="00BD0A9A" w:rsidRPr="00905876" w:rsidRDefault="00BD0A9A" w:rsidP="00BD0A9A">
      <w:pPr>
        <w:ind w:firstLine="748"/>
        <w:jc w:val="both"/>
      </w:pPr>
      <w:r w:rsidRPr="00905876">
        <w:t xml:space="preserve">Bendrojo </w:t>
      </w:r>
      <w:r w:rsidR="001C595B" w:rsidRPr="00905876">
        <w:t>ugdymo įstaigas lankančių mokinių</w:t>
      </w:r>
      <w:r w:rsidRPr="00905876">
        <w:t xml:space="preserve"> skaičius per paskutinius penkerius metus sumažėjo </w:t>
      </w:r>
      <w:r w:rsidR="001C595B" w:rsidRPr="00905876">
        <w:t>19</w:t>
      </w:r>
      <w:r w:rsidRPr="00905876">
        <w:t xml:space="preserve"> proc. Žiūrėti 1</w:t>
      </w:r>
      <w:r w:rsidR="000C08DF">
        <w:t>4</w:t>
      </w:r>
      <w:r w:rsidRPr="00905876">
        <w:t xml:space="preserve"> diagramą.</w:t>
      </w:r>
    </w:p>
    <w:p w:rsidR="001C595B" w:rsidRPr="00905876" w:rsidRDefault="001C595B" w:rsidP="00BD0A9A">
      <w:pPr>
        <w:ind w:firstLine="748"/>
        <w:jc w:val="both"/>
      </w:pPr>
    </w:p>
    <w:p w:rsidR="00BD0A9A" w:rsidRPr="00905876" w:rsidRDefault="00BD0A9A" w:rsidP="00BD0A9A">
      <w:pPr>
        <w:pStyle w:val="Footer"/>
        <w:tabs>
          <w:tab w:val="clear" w:pos="4153"/>
          <w:tab w:val="clear" w:pos="8306"/>
        </w:tabs>
        <w:ind w:firstLine="748"/>
        <w:jc w:val="both"/>
        <w:outlineLvl w:val="0"/>
      </w:pPr>
      <w:r w:rsidRPr="00905876">
        <w:t>1</w:t>
      </w:r>
      <w:r w:rsidR="000C08DF">
        <w:t>4</w:t>
      </w:r>
      <w:r w:rsidRPr="00905876">
        <w:t xml:space="preserve"> diagrama. </w:t>
      </w:r>
      <w:r w:rsidR="00905876" w:rsidRPr="00905876">
        <w:t xml:space="preserve">Ikimokyklinio ir priešmokyklinio ugdymo įstaigas lankančių vaikų </w:t>
      </w:r>
      <w:r w:rsidRPr="00905876">
        <w:t xml:space="preserve">ir </w:t>
      </w:r>
      <w:r w:rsidR="00905876" w:rsidRPr="00905876">
        <w:t xml:space="preserve">bendrojo ugdymo įstaigas lankančių mokinių </w:t>
      </w:r>
      <w:r w:rsidRPr="00905876">
        <w:t>skaičius, vnt.</w:t>
      </w:r>
    </w:p>
    <w:p w:rsidR="00BD0A9A" w:rsidRPr="00B463E2" w:rsidRDefault="00BD0A9A" w:rsidP="00BD0A9A">
      <w:pPr>
        <w:pStyle w:val="Footer"/>
        <w:tabs>
          <w:tab w:val="clear" w:pos="4153"/>
          <w:tab w:val="clear" w:pos="8306"/>
        </w:tabs>
        <w:ind w:firstLine="748"/>
        <w:jc w:val="both"/>
        <w:outlineLvl w:val="0"/>
        <w:rPr>
          <w:color w:val="FF0000"/>
        </w:rPr>
      </w:pPr>
      <w:r w:rsidRPr="00B463E2">
        <w:rPr>
          <w:noProof/>
          <w:color w:val="FF0000"/>
          <w:lang w:val="en-US" w:eastAsia="en-US"/>
        </w:rPr>
        <w:drawing>
          <wp:inline distT="0" distB="0" distL="0" distR="0">
            <wp:extent cx="5314950" cy="1828800"/>
            <wp:effectExtent l="0" t="0" r="0" b="0"/>
            <wp:docPr id="8"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41CFF" w:rsidRDefault="00641CFF" w:rsidP="00BD0A9A">
      <w:pPr>
        <w:pStyle w:val="Footer"/>
        <w:tabs>
          <w:tab w:val="clear" w:pos="4153"/>
          <w:tab w:val="clear" w:pos="8306"/>
        </w:tabs>
        <w:ind w:firstLine="748"/>
        <w:jc w:val="both"/>
        <w:outlineLvl w:val="0"/>
      </w:pPr>
    </w:p>
    <w:p w:rsidR="00BD0A9A" w:rsidRPr="00FD0917" w:rsidRDefault="00BD0A9A" w:rsidP="00BD0A9A">
      <w:pPr>
        <w:pStyle w:val="Footer"/>
        <w:tabs>
          <w:tab w:val="clear" w:pos="4153"/>
          <w:tab w:val="clear" w:pos="8306"/>
        </w:tabs>
        <w:ind w:firstLine="748"/>
        <w:jc w:val="both"/>
        <w:outlineLvl w:val="0"/>
      </w:pPr>
      <w:r w:rsidRPr="00FD0917">
        <w:t xml:space="preserve">Savivaldybės biudžeto išlaidų kultūrai dinamika pavaizduota  </w:t>
      </w:r>
      <w:r w:rsidR="005568D5">
        <w:t>1</w:t>
      </w:r>
      <w:r w:rsidR="000C08DF">
        <w:t>5</w:t>
      </w:r>
      <w:r w:rsidRPr="00FD0917">
        <w:t xml:space="preserve"> diagramoje.</w:t>
      </w:r>
    </w:p>
    <w:p w:rsidR="00BD0A9A" w:rsidRPr="00FD0917" w:rsidRDefault="00BD0A9A" w:rsidP="00BD0A9A">
      <w:pPr>
        <w:pStyle w:val="Footer"/>
        <w:tabs>
          <w:tab w:val="clear" w:pos="4153"/>
          <w:tab w:val="clear" w:pos="8306"/>
        </w:tabs>
        <w:ind w:firstLine="748"/>
        <w:jc w:val="both"/>
        <w:outlineLvl w:val="0"/>
      </w:pPr>
    </w:p>
    <w:p w:rsidR="00BD0A9A" w:rsidRPr="00B463E2" w:rsidRDefault="005568D5" w:rsidP="00BD0A9A">
      <w:pPr>
        <w:pStyle w:val="Footer"/>
        <w:tabs>
          <w:tab w:val="clear" w:pos="4153"/>
          <w:tab w:val="clear" w:pos="8306"/>
        </w:tabs>
        <w:ind w:firstLine="748"/>
        <w:jc w:val="both"/>
        <w:outlineLvl w:val="0"/>
        <w:rPr>
          <w:color w:val="FF0000"/>
        </w:rPr>
      </w:pPr>
      <w:r>
        <w:t>1</w:t>
      </w:r>
      <w:r w:rsidR="000C08DF">
        <w:t>5</w:t>
      </w:r>
      <w:r w:rsidR="00BD0A9A" w:rsidRPr="00FD0917">
        <w:t xml:space="preserve"> diagrama. Savivaldybės biudžeto išlaidos kultūrai,</w:t>
      </w:r>
      <w:r w:rsidR="00BD0A9A" w:rsidRPr="00B463E2">
        <w:rPr>
          <w:color w:val="FF0000"/>
        </w:rPr>
        <w:t xml:space="preserve"> </w:t>
      </w:r>
      <w:r w:rsidR="00BD0A9A" w:rsidRPr="005955DA">
        <w:t xml:space="preserve">tūkst. </w:t>
      </w:r>
      <w:r w:rsidR="005955DA" w:rsidRPr="005955DA">
        <w:t>EUR</w:t>
      </w:r>
    </w:p>
    <w:p w:rsidR="00BD0A9A" w:rsidRPr="00B463E2" w:rsidRDefault="00BD0A9A" w:rsidP="00BD0A9A">
      <w:pPr>
        <w:pStyle w:val="Footer"/>
        <w:tabs>
          <w:tab w:val="clear" w:pos="4153"/>
          <w:tab w:val="clear" w:pos="8306"/>
        </w:tabs>
        <w:ind w:firstLine="748"/>
        <w:jc w:val="both"/>
        <w:outlineLvl w:val="0"/>
        <w:rPr>
          <w:color w:val="FF0000"/>
        </w:rPr>
      </w:pPr>
      <w:r w:rsidRPr="00B463E2">
        <w:rPr>
          <w:noProof/>
          <w:color w:val="FF0000"/>
          <w:lang w:val="en-US" w:eastAsia="en-US"/>
        </w:rPr>
        <w:drawing>
          <wp:inline distT="0" distB="0" distL="0" distR="0">
            <wp:extent cx="4991100" cy="1828800"/>
            <wp:effectExtent l="0" t="0" r="0" b="0"/>
            <wp:docPr id="26"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D0A9A" w:rsidRPr="00851C9F" w:rsidRDefault="00BD0A9A" w:rsidP="00BD0A9A">
      <w:pPr>
        <w:pStyle w:val="Footer"/>
        <w:tabs>
          <w:tab w:val="clear" w:pos="4153"/>
          <w:tab w:val="clear" w:pos="8306"/>
        </w:tabs>
        <w:ind w:firstLine="748"/>
        <w:jc w:val="both"/>
        <w:outlineLvl w:val="0"/>
      </w:pPr>
      <w:r w:rsidRPr="00851C9F">
        <w:t xml:space="preserve">Savivaldybės biudžeto išlaidų kūno kultūrai ir sportui dinamika pavaizduota  </w:t>
      </w:r>
      <w:r w:rsidR="005568D5">
        <w:t>1</w:t>
      </w:r>
      <w:r w:rsidR="000C08DF">
        <w:t>6</w:t>
      </w:r>
      <w:r w:rsidRPr="00851C9F">
        <w:t xml:space="preserve"> diagramoje.</w:t>
      </w:r>
    </w:p>
    <w:p w:rsidR="00BD0A9A" w:rsidRPr="005955DA" w:rsidRDefault="00BD0A9A" w:rsidP="00BD0A9A">
      <w:pPr>
        <w:pStyle w:val="Footer"/>
        <w:tabs>
          <w:tab w:val="clear" w:pos="4153"/>
          <w:tab w:val="clear" w:pos="8306"/>
        </w:tabs>
        <w:ind w:firstLine="748"/>
        <w:jc w:val="both"/>
        <w:outlineLvl w:val="0"/>
      </w:pPr>
    </w:p>
    <w:p w:rsidR="00BD0A9A" w:rsidRPr="005955DA" w:rsidRDefault="005568D5" w:rsidP="00BD0A9A">
      <w:pPr>
        <w:pStyle w:val="Footer"/>
        <w:tabs>
          <w:tab w:val="clear" w:pos="4153"/>
          <w:tab w:val="clear" w:pos="8306"/>
        </w:tabs>
        <w:ind w:firstLine="748"/>
        <w:jc w:val="both"/>
        <w:outlineLvl w:val="0"/>
      </w:pPr>
      <w:r w:rsidRPr="005955DA">
        <w:t>1</w:t>
      </w:r>
      <w:r w:rsidR="000C08DF" w:rsidRPr="005955DA">
        <w:t>6</w:t>
      </w:r>
      <w:r w:rsidR="00BD0A9A" w:rsidRPr="005955DA">
        <w:t xml:space="preserve"> diagrama. Savivaldybės biudžeto išlaidos kūno kultūrai ir sportui, tūkst. </w:t>
      </w:r>
      <w:r w:rsidR="005955DA" w:rsidRPr="005955DA">
        <w:t>EUR</w:t>
      </w:r>
    </w:p>
    <w:p w:rsidR="00BD0A9A" w:rsidRPr="00B463E2" w:rsidRDefault="00BD0A9A" w:rsidP="00BD0A9A">
      <w:pPr>
        <w:pStyle w:val="Footer"/>
        <w:tabs>
          <w:tab w:val="clear" w:pos="4153"/>
          <w:tab w:val="clear" w:pos="8306"/>
        </w:tabs>
        <w:ind w:firstLine="748"/>
        <w:jc w:val="both"/>
        <w:outlineLvl w:val="0"/>
        <w:rPr>
          <w:color w:val="FF0000"/>
        </w:rPr>
      </w:pPr>
      <w:r w:rsidRPr="00B463E2">
        <w:rPr>
          <w:noProof/>
          <w:color w:val="FF0000"/>
          <w:lang w:val="en-US" w:eastAsia="en-US"/>
        </w:rPr>
        <w:lastRenderedPageBreak/>
        <w:drawing>
          <wp:inline distT="0" distB="0" distL="0" distR="0">
            <wp:extent cx="4991100" cy="1828800"/>
            <wp:effectExtent l="0" t="0" r="0" b="0"/>
            <wp:docPr id="28"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E7A56" w:rsidRPr="004121E0" w:rsidRDefault="005E7A56" w:rsidP="004121E0">
      <w:pPr>
        <w:ind w:left="113" w:firstLine="635"/>
        <w:jc w:val="both"/>
      </w:pPr>
      <w:r w:rsidRPr="004121E0">
        <w:t>Pagal Statistikos Departamento duomenis, 201</w:t>
      </w:r>
      <w:r w:rsidR="004121E0" w:rsidRPr="004121E0">
        <w:t>4</w:t>
      </w:r>
      <w:r w:rsidRPr="004121E0">
        <w:t xml:space="preserve"> m. pradžiai vienas Panevėžio miesto gyventojas vidutiniškai apsilankė poliklinikose ir ambulatorijose 9,</w:t>
      </w:r>
      <w:r w:rsidR="004121E0" w:rsidRPr="004121E0">
        <w:t>9</w:t>
      </w:r>
      <w:r w:rsidRPr="004121E0">
        <w:t xml:space="preserve"> karto metuose, kai Lietuvos Respublikos tas pats rodiklis</w:t>
      </w:r>
      <w:r w:rsidR="004121E0" w:rsidRPr="004121E0">
        <w:t xml:space="preserve"> –</w:t>
      </w:r>
      <w:r w:rsidRPr="004121E0">
        <w:t xml:space="preserve"> 8</w:t>
      </w:r>
      <w:r w:rsidR="004121E0" w:rsidRPr="004121E0">
        <w:t>,1</w:t>
      </w:r>
      <w:r w:rsidRPr="004121E0">
        <w:t xml:space="preserve"> (žiūrėti 1</w:t>
      </w:r>
      <w:r w:rsidR="000C08DF">
        <w:t>7</w:t>
      </w:r>
      <w:r w:rsidRPr="004121E0">
        <w:t xml:space="preserve"> diagramą). </w:t>
      </w:r>
    </w:p>
    <w:p w:rsidR="005E7A56" w:rsidRPr="004121E0" w:rsidRDefault="005E7A56" w:rsidP="005E7A56">
      <w:pPr>
        <w:ind w:left="113"/>
        <w:jc w:val="both"/>
      </w:pPr>
    </w:p>
    <w:p w:rsidR="005E7A56" w:rsidRPr="004121E0" w:rsidRDefault="005E7A56" w:rsidP="005E7A56">
      <w:pPr>
        <w:ind w:left="113"/>
        <w:jc w:val="both"/>
      </w:pPr>
      <w:r w:rsidRPr="004121E0">
        <w:tab/>
        <w:t>1</w:t>
      </w:r>
      <w:r w:rsidR="000C08DF">
        <w:t>7</w:t>
      </w:r>
      <w:r w:rsidRPr="004121E0">
        <w:t xml:space="preserve"> diagrama.  Vieno gyventojo vidutinis apsilankymų poliklinikose ir ambulatorijose skaičius.</w:t>
      </w:r>
    </w:p>
    <w:p w:rsidR="005E7A56" w:rsidRPr="00B463E2" w:rsidRDefault="005E7A56" w:rsidP="005E7A56">
      <w:pPr>
        <w:ind w:left="113"/>
        <w:jc w:val="both"/>
        <w:rPr>
          <w:color w:val="FF0000"/>
        </w:rPr>
      </w:pPr>
      <w:r w:rsidRPr="00B463E2">
        <w:rPr>
          <w:noProof/>
          <w:color w:val="FF0000"/>
          <w:lang w:val="en-US" w:eastAsia="en-US"/>
        </w:rPr>
        <w:drawing>
          <wp:inline distT="0" distB="0" distL="0" distR="0">
            <wp:extent cx="5600700" cy="1285875"/>
            <wp:effectExtent l="0" t="0" r="0" b="0"/>
            <wp:docPr id="9"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E7A56" w:rsidRPr="004713E7" w:rsidRDefault="005E7A56" w:rsidP="005E7A56">
      <w:pPr>
        <w:ind w:left="113"/>
        <w:jc w:val="both"/>
        <w:rPr>
          <w:rFonts w:eastAsia="Arial Unicode MS"/>
        </w:rPr>
      </w:pPr>
      <w:r w:rsidRPr="00B463E2">
        <w:rPr>
          <w:color w:val="FF0000"/>
        </w:rPr>
        <w:tab/>
      </w:r>
      <w:r w:rsidRPr="004713E7">
        <w:rPr>
          <w:rFonts w:eastAsia="Arial Unicode MS"/>
        </w:rPr>
        <w:t xml:space="preserve">Savivaldybės biudžeto </w:t>
      </w:r>
      <w:r w:rsidR="006A7B40" w:rsidRPr="004713E7">
        <w:rPr>
          <w:rFonts w:eastAsia="Arial Unicode MS"/>
        </w:rPr>
        <w:t>išlaid</w:t>
      </w:r>
      <w:r w:rsidR="006A7B40">
        <w:rPr>
          <w:rFonts w:eastAsia="Arial Unicode MS"/>
        </w:rPr>
        <w:t>ų</w:t>
      </w:r>
      <w:r w:rsidR="006A7B40" w:rsidRPr="004713E7">
        <w:rPr>
          <w:rFonts w:eastAsia="Arial Unicode MS"/>
        </w:rPr>
        <w:t xml:space="preserve"> </w:t>
      </w:r>
      <w:r w:rsidR="006A7B40">
        <w:rPr>
          <w:rFonts w:eastAsia="Arial Unicode MS"/>
        </w:rPr>
        <w:t>socialinėms pašalpoms</w:t>
      </w:r>
      <w:r w:rsidR="006A7B40" w:rsidRPr="004713E7">
        <w:rPr>
          <w:rFonts w:eastAsia="Arial Unicode MS"/>
        </w:rPr>
        <w:t xml:space="preserve"> Panevėžio </w:t>
      </w:r>
      <w:r w:rsidR="006A7B40" w:rsidRPr="006A7B40">
        <w:rPr>
          <w:rFonts w:eastAsia="Arial Unicode MS"/>
        </w:rPr>
        <w:t>mieste (tūkst. EUR)  ir</w:t>
      </w:r>
      <w:r w:rsidR="006A7B40">
        <w:rPr>
          <w:rFonts w:eastAsia="Arial Unicode MS"/>
        </w:rPr>
        <w:t xml:space="preserve"> socialinės pašalpos gavėjų skaičiaus</w:t>
      </w:r>
      <w:r w:rsidR="006A7B40" w:rsidRPr="004713E7">
        <w:rPr>
          <w:rFonts w:eastAsia="Arial Unicode MS"/>
        </w:rPr>
        <w:t xml:space="preserve"> </w:t>
      </w:r>
      <w:r w:rsidRPr="004713E7">
        <w:rPr>
          <w:rFonts w:eastAsia="Arial Unicode MS"/>
        </w:rPr>
        <w:t>dinamiką 20</w:t>
      </w:r>
      <w:r w:rsidR="004121E0" w:rsidRPr="004713E7">
        <w:rPr>
          <w:rFonts w:eastAsia="Arial Unicode MS"/>
        </w:rPr>
        <w:t>10</w:t>
      </w:r>
      <w:r w:rsidRPr="004713E7">
        <w:rPr>
          <w:rFonts w:eastAsia="Arial Unicode MS"/>
        </w:rPr>
        <w:t>-20</w:t>
      </w:r>
      <w:r w:rsidR="004121E0" w:rsidRPr="004713E7">
        <w:rPr>
          <w:rFonts w:eastAsia="Arial Unicode MS"/>
        </w:rPr>
        <w:t>14</w:t>
      </w:r>
      <w:r w:rsidRPr="004713E7">
        <w:rPr>
          <w:rFonts w:eastAsia="Arial Unicode MS"/>
        </w:rPr>
        <w:t xml:space="preserve"> m. galima matyti 1</w:t>
      </w:r>
      <w:r w:rsidR="000C08DF">
        <w:rPr>
          <w:rFonts w:eastAsia="Arial Unicode MS"/>
        </w:rPr>
        <w:t>8</w:t>
      </w:r>
      <w:r w:rsidRPr="004713E7">
        <w:rPr>
          <w:rFonts w:eastAsia="Arial Unicode MS"/>
        </w:rPr>
        <w:t xml:space="preserve"> diagramoje.</w:t>
      </w:r>
    </w:p>
    <w:p w:rsidR="005E7A56" w:rsidRPr="00B463E2" w:rsidRDefault="005E7A56" w:rsidP="005E7A56">
      <w:pPr>
        <w:ind w:left="113" w:firstLine="1183"/>
        <w:jc w:val="both"/>
        <w:rPr>
          <w:rFonts w:eastAsia="Arial Unicode MS"/>
          <w:color w:val="FF0000"/>
        </w:rPr>
      </w:pPr>
    </w:p>
    <w:p w:rsidR="005E7A56" w:rsidRPr="00B463E2" w:rsidRDefault="005E7A56" w:rsidP="005E7A56">
      <w:pPr>
        <w:ind w:left="113" w:firstLine="1183"/>
        <w:jc w:val="both"/>
        <w:rPr>
          <w:rFonts w:eastAsia="Arial Unicode MS"/>
          <w:color w:val="FF0000"/>
        </w:rPr>
      </w:pPr>
      <w:r w:rsidRPr="004713E7">
        <w:rPr>
          <w:rFonts w:eastAsia="Arial Unicode MS"/>
        </w:rPr>
        <w:t>1</w:t>
      </w:r>
      <w:r w:rsidR="000C08DF">
        <w:rPr>
          <w:rFonts w:eastAsia="Arial Unicode MS"/>
        </w:rPr>
        <w:t>8</w:t>
      </w:r>
      <w:r w:rsidRPr="004713E7">
        <w:rPr>
          <w:rFonts w:eastAsia="Arial Unicode MS"/>
        </w:rPr>
        <w:t xml:space="preserve"> diagrama. Savivaldybės biudžeto išlaidos </w:t>
      </w:r>
      <w:r w:rsidR="004713E7">
        <w:rPr>
          <w:rFonts w:eastAsia="Arial Unicode MS"/>
        </w:rPr>
        <w:t>socialinėms pašalpoms</w:t>
      </w:r>
      <w:r w:rsidRPr="004713E7">
        <w:rPr>
          <w:rFonts w:eastAsia="Arial Unicode MS"/>
        </w:rPr>
        <w:t xml:space="preserve"> Panevėžio </w:t>
      </w:r>
      <w:r w:rsidRPr="006A7B40">
        <w:rPr>
          <w:rFonts w:eastAsia="Arial Unicode MS"/>
        </w:rPr>
        <w:t>mieste</w:t>
      </w:r>
      <w:r w:rsidR="009C0A83" w:rsidRPr="006A7B40">
        <w:rPr>
          <w:rFonts w:eastAsia="Arial Unicode MS"/>
        </w:rPr>
        <w:t xml:space="preserve"> </w:t>
      </w:r>
      <w:r w:rsidR="006A7B40" w:rsidRPr="006A7B40">
        <w:rPr>
          <w:rFonts w:eastAsia="Arial Unicode MS"/>
        </w:rPr>
        <w:t xml:space="preserve">(tūkst. EUR)  </w:t>
      </w:r>
      <w:r w:rsidR="009C0A83" w:rsidRPr="006A7B40">
        <w:rPr>
          <w:rFonts w:eastAsia="Arial Unicode MS"/>
        </w:rPr>
        <w:t>ir</w:t>
      </w:r>
      <w:r w:rsidR="009C0A83">
        <w:rPr>
          <w:rFonts w:eastAsia="Arial Unicode MS"/>
        </w:rPr>
        <w:t xml:space="preserve"> socialinės pašalpos gavėjų skaičius</w:t>
      </w:r>
      <w:r w:rsidRPr="00B463E2">
        <w:rPr>
          <w:rFonts w:eastAsia="Arial Unicode MS"/>
          <w:color w:val="FF0000"/>
        </w:rPr>
        <w:t xml:space="preserve"> </w:t>
      </w:r>
    </w:p>
    <w:p w:rsidR="005E7A56" w:rsidRPr="00B463E2" w:rsidRDefault="00241C53" w:rsidP="005E7A56">
      <w:pPr>
        <w:ind w:left="113"/>
        <w:jc w:val="both"/>
        <w:rPr>
          <w:rFonts w:eastAsia="Arial Unicode MS"/>
          <w:color w:val="FF0000"/>
        </w:rPr>
      </w:pPr>
      <w:r w:rsidRPr="00241C53">
        <w:rPr>
          <w:rFonts w:eastAsia="Arial Unicode MS"/>
          <w:noProof/>
          <w:color w:val="FF0000"/>
          <w:lang w:val="en-US" w:eastAsia="en-US"/>
        </w:rPr>
        <w:drawing>
          <wp:inline distT="0" distB="0" distL="0" distR="0">
            <wp:extent cx="5600700" cy="1828800"/>
            <wp:effectExtent l="19050" t="0" r="0" b="0"/>
            <wp:docPr id="20"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901D2" w:rsidRPr="00B463E2" w:rsidRDefault="00A901D2" w:rsidP="005E7A56">
      <w:pPr>
        <w:ind w:left="113"/>
        <w:jc w:val="both"/>
        <w:rPr>
          <w:noProof/>
          <w:color w:val="FF0000"/>
        </w:rPr>
      </w:pPr>
    </w:p>
    <w:p w:rsidR="0078626B" w:rsidRPr="00641CFF" w:rsidRDefault="00EB25F3" w:rsidP="0078626B">
      <w:pPr>
        <w:rPr>
          <w:b/>
          <w:caps/>
          <w:sz w:val="20"/>
        </w:rPr>
      </w:pPr>
      <w:smartTag w:uri="urn:schemas-microsoft-com:office:smarttags" w:element="stockticker">
        <w:r w:rsidRPr="00641CFF">
          <w:rPr>
            <w:b/>
            <w:noProof/>
          </w:rPr>
          <w:t>III</w:t>
        </w:r>
      </w:smartTag>
      <w:r w:rsidRPr="00641CFF">
        <w:rPr>
          <w:b/>
          <w:noProof/>
        </w:rPr>
        <w:t xml:space="preserve"> prioritetas.</w:t>
      </w:r>
      <w:r w:rsidR="00641CFF" w:rsidRPr="00641CFF">
        <w:rPr>
          <w:b/>
          <w:noProof/>
        </w:rPr>
        <w:t xml:space="preserve"> </w:t>
      </w:r>
      <w:r w:rsidR="00641CFF" w:rsidRPr="00641CFF">
        <w:rPr>
          <w:i/>
        </w:rPr>
        <w:t>Darni miesto teritorijų ir infrastruktūros plėtra</w:t>
      </w:r>
      <w:r w:rsidR="0078626B" w:rsidRPr="00641CFF">
        <w:rPr>
          <w:b/>
          <w:caps/>
          <w:sz w:val="20"/>
        </w:rPr>
        <w:t>.</w:t>
      </w:r>
    </w:p>
    <w:p w:rsidR="000C08DF" w:rsidRDefault="000C08DF" w:rsidP="000C08DF">
      <w:pPr>
        <w:pStyle w:val="Footer"/>
        <w:tabs>
          <w:tab w:val="clear" w:pos="4153"/>
          <w:tab w:val="clear" w:pos="8306"/>
        </w:tabs>
        <w:jc w:val="both"/>
        <w:outlineLvl w:val="0"/>
        <w:rPr>
          <w:color w:val="FF0000"/>
        </w:rPr>
      </w:pPr>
    </w:p>
    <w:p w:rsidR="00CE35F6" w:rsidRPr="000C08DF" w:rsidRDefault="00CE35F6" w:rsidP="000C08DF">
      <w:pPr>
        <w:pStyle w:val="Footer"/>
        <w:tabs>
          <w:tab w:val="clear" w:pos="4153"/>
          <w:tab w:val="clear" w:pos="8306"/>
        </w:tabs>
        <w:ind w:firstLine="748"/>
        <w:jc w:val="both"/>
        <w:outlineLvl w:val="0"/>
      </w:pPr>
      <w:smartTag w:uri="urn:schemas-microsoft-com:office:smarttags" w:element="stockticker">
        <w:r w:rsidRPr="000C08DF">
          <w:t>III</w:t>
        </w:r>
      </w:smartTag>
      <w:r w:rsidRPr="000C08DF">
        <w:t xml:space="preserve"> prioritet</w:t>
      </w:r>
      <w:r w:rsidR="000C08DF" w:rsidRPr="000C08DF">
        <w:t>o priemonės</w:t>
      </w:r>
      <w:r w:rsidRPr="000C08DF">
        <w:t xml:space="preserve"> apima </w:t>
      </w:r>
      <w:r w:rsidR="000C08DF" w:rsidRPr="000C08DF">
        <w:t>inžinerinę infrastruktūrą, ekologiją, susisiekimo infrastruktūrą, viešąjį transportą, miesto viešųjų erdvių kompleksinį sutvarkymą</w:t>
      </w:r>
      <w:r w:rsidRPr="000C08DF">
        <w:t xml:space="preserve">. </w:t>
      </w:r>
    </w:p>
    <w:p w:rsidR="000C08DF" w:rsidRPr="000C08DF" w:rsidRDefault="000C08DF" w:rsidP="00845C55">
      <w:pPr>
        <w:ind w:firstLine="748"/>
        <w:jc w:val="both"/>
        <w:rPr>
          <w:noProof/>
        </w:rPr>
      </w:pPr>
    </w:p>
    <w:p w:rsidR="00845C55" w:rsidRPr="000C08DF" w:rsidRDefault="00845C55" w:rsidP="00845C55">
      <w:pPr>
        <w:ind w:firstLine="748"/>
        <w:jc w:val="both"/>
        <w:rPr>
          <w:noProof/>
        </w:rPr>
      </w:pPr>
      <w:r w:rsidRPr="000C08DF">
        <w:rPr>
          <w:noProof/>
        </w:rPr>
        <w:t xml:space="preserve">Strateginio plano </w:t>
      </w:r>
      <w:smartTag w:uri="urn:schemas-microsoft-com:office:smarttags" w:element="stockticker">
        <w:r w:rsidRPr="000C08DF">
          <w:rPr>
            <w:noProof/>
          </w:rPr>
          <w:t>I</w:t>
        </w:r>
        <w:r w:rsidR="0078626B" w:rsidRPr="000C08DF">
          <w:rPr>
            <w:noProof/>
          </w:rPr>
          <w:t>II</w:t>
        </w:r>
      </w:smartTag>
      <w:r w:rsidRPr="000C08DF">
        <w:rPr>
          <w:noProof/>
        </w:rPr>
        <w:t>-</w:t>
      </w:r>
      <w:r w:rsidR="001778D6" w:rsidRPr="000C08DF">
        <w:rPr>
          <w:noProof/>
        </w:rPr>
        <w:t>i</w:t>
      </w:r>
      <w:r w:rsidRPr="000C08DF">
        <w:rPr>
          <w:noProof/>
        </w:rPr>
        <w:t xml:space="preserve">o prioriteto priemonių vykdymas pavaizduotas </w:t>
      </w:r>
      <w:r w:rsidR="0078626B" w:rsidRPr="000C08DF">
        <w:rPr>
          <w:noProof/>
        </w:rPr>
        <w:t>1</w:t>
      </w:r>
      <w:r w:rsidR="000C08DF" w:rsidRPr="000C08DF">
        <w:rPr>
          <w:noProof/>
        </w:rPr>
        <w:t>9</w:t>
      </w:r>
      <w:r w:rsidRPr="000C08DF">
        <w:rPr>
          <w:noProof/>
        </w:rPr>
        <w:t xml:space="preserve"> diagramoje.</w:t>
      </w:r>
    </w:p>
    <w:p w:rsidR="00845C55" w:rsidRPr="00B463E2" w:rsidRDefault="003E03D1" w:rsidP="00845C55">
      <w:pPr>
        <w:pStyle w:val="Footer"/>
        <w:tabs>
          <w:tab w:val="clear" w:pos="4153"/>
          <w:tab w:val="clear" w:pos="8306"/>
        </w:tabs>
        <w:ind w:firstLine="748"/>
        <w:jc w:val="both"/>
        <w:outlineLvl w:val="0"/>
        <w:rPr>
          <w:color w:val="FF0000"/>
        </w:rPr>
      </w:pPr>
      <w:r w:rsidRPr="00B463E2">
        <w:rPr>
          <w:noProof/>
          <w:color w:val="FF0000"/>
          <w:lang w:val="en-US" w:eastAsia="en-US"/>
        </w:rPr>
        <w:lastRenderedPageBreak/>
        <w:drawing>
          <wp:inline distT="0" distB="0" distL="0" distR="0">
            <wp:extent cx="4676775" cy="1990725"/>
            <wp:effectExtent l="0" t="0" r="0" b="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45C55" w:rsidRPr="004F1A34" w:rsidRDefault="00845C55" w:rsidP="00845C55">
      <w:pPr>
        <w:ind w:firstLine="748"/>
        <w:jc w:val="both"/>
        <w:rPr>
          <w:noProof/>
        </w:rPr>
      </w:pPr>
      <w:r w:rsidRPr="004F1A34">
        <w:rPr>
          <w:noProof/>
        </w:rPr>
        <w:t>I</w:t>
      </w:r>
      <w:r w:rsidR="0037113A" w:rsidRPr="004F1A34">
        <w:rPr>
          <w:noProof/>
        </w:rPr>
        <w:t>II</w:t>
      </w:r>
      <w:r w:rsidRPr="004F1A34">
        <w:rPr>
          <w:noProof/>
        </w:rPr>
        <w:t xml:space="preserve"> prioriteto neįgyvendintos priemonės per 20</w:t>
      </w:r>
      <w:r w:rsidR="0037113A" w:rsidRPr="004F1A34">
        <w:rPr>
          <w:noProof/>
        </w:rPr>
        <w:t>1</w:t>
      </w:r>
      <w:r w:rsidR="004F1A34">
        <w:rPr>
          <w:noProof/>
        </w:rPr>
        <w:t>4</w:t>
      </w:r>
      <w:r w:rsidRPr="004F1A34">
        <w:rPr>
          <w:noProof/>
        </w:rPr>
        <w:t xml:space="preserve"> m.:</w:t>
      </w:r>
    </w:p>
    <w:p w:rsidR="004F1A34" w:rsidRDefault="004F1A34" w:rsidP="004F1A34">
      <w:pPr>
        <w:ind w:firstLine="720"/>
        <w:jc w:val="both"/>
      </w:pPr>
      <w:r w:rsidRPr="00D405EC">
        <w:t>3.1.2.7.</w:t>
      </w:r>
      <w:r>
        <w:t xml:space="preserve"> </w:t>
      </w:r>
      <w:r w:rsidRPr="00D405EC">
        <w:t>Remti atsinaujinančių energijos išteklių naudojimo, energijos vartojimo efektyvumo didinimo priemones viešuosiuose pastatuose ir daugiabučiuose namuose</w:t>
      </w:r>
      <w:r>
        <w:t>.</w:t>
      </w:r>
    </w:p>
    <w:p w:rsidR="004F1A34" w:rsidRDefault="004F1A34" w:rsidP="004F1A34">
      <w:pPr>
        <w:ind w:firstLine="720"/>
        <w:jc w:val="both"/>
      </w:pPr>
      <w:r>
        <w:t>Finansavimo programa nepare</w:t>
      </w:r>
      <w:r w:rsidRPr="00D405EC">
        <w:t>ngta dėl lėšų trūkumo. Planuojama parengti 2016-2018 m.</w:t>
      </w:r>
    </w:p>
    <w:p w:rsidR="004F1A34" w:rsidRDefault="004F1A34" w:rsidP="004F1A34">
      <w:pPr>
        <w:ind w:firstLine="720"/>
        <w:jc w:val="both"/>
      </w:pPr>
      <w:r w:rsidRPr="00D405EC">
        <w:t>3.2.1.1.</w:t>
      </w:r>
      <w:r>
        <w:t xml:space="preserve"> </w:t>
      </w:r>
      <w:r w:rsidRPr="00D405EC">
        <w:t xml:space="preserve">Projektuoti, įdiegti ir renovuoti lietaus vandens surinkimo, valymo ir nuotekų bei drenažo sistemas Panevėžio mieste, ieškant alternatyvių sprendimų </w:t>
      </w:r>
      <w:proofErr w:type="spellStart"/>
      <w:r w:rsidRPr="00D405EC">
        <w:t>infiltracijai</w:t>
      </w:r>
      <w:proofErr w:type="spellEnd"/>
      <w:r>
        <w:t xml:space="preserve">. </w:t>
      </w:r>
    </w:p>
    <w:p w:rsidR="004F1A34" w:rsidRDefault="004F1A34" w:rsidP="004F1A34">
      <w:pPr>
        <w:ind w:firstLine="720"/>
        <w:jc w:val="both"/>
      </w:pPr>
      <w:r w:rsidRPr="00D405EC">
        <w:t>2014 m. lietaus nuotekų sistemos, drenažo atnaujinimui ir įrengimui neskirtos lėšos</w:t>
      </w:r>
      <w:r>
        <w:t>.</w:t>
      </w:r>
    </w:p>
    <w:p w:rsidR="004F1A34" w:rsidRDefault="004F1A34" w:rsidP="004F1A34">
      <w:pPr>
        <w:ind w:firstLine="720"/>
        <w:jc w:val="both"/>
      </w:pPr>
      <w:r w:rsidRPr="00D405EC">
        <w:t>3.3.2.4.</w:t>
      </w:r>
      <w:r>
        <w:t xml:space="preserve"> </w:t>
      </w:r>
      <w:r w:rsidRPr="00D405EC">
        <w:t>Diegti naujas Panevėžio miesto viešojo keleivinio transporto keleivių informavimo priemones</w:t>
      </w:r>
      <w:r>
        <w:t xml:space="preserve">. </w:t>
      </w:r>
    </w:p>
    <w:p w:rsidR="004F1A34" w:rsidRDefault="004F1A34" w:rsidP="004F1A34">
      <w:pPr>
        <w:ind w:firstLine="720"/>
        <w:jc w:val="both"/>
      </w:pPr>
      <w:r w:rsidRPr="00D405EC">
        <w:t>2014-2015 m. neskirtos lėšos. Darbai artimiausiu metu neplanuojami dėl lėšų stokos</w:t>
      </w:r>
      <w:r>
        <w:t>.</w:t>
      </w:r>
    </w:p>
    <w:p w:rsidR="004F1A34" w:rsidRDefault="004F1A34" w:rsidP="004F1A34">
      <w:pPr>
        <w:ind w:firstLine="720"/>
        <w:jc w:val="both"/>
      </w:pPr>
      <w:r w:rsidRPr="00D405EC">
        <w:t>3.4.2.6.</w:t>
      </w:r>
      <w:r>
        <w:t xml:space="preserve"> </w:t>
      </w:r>
      <w:r w:rsidRPr="00D405EC">
        <w:t>Parengti pagrindinių įvažiavimų į miestą formavimo urbanistinius projektinius pasiūlymus</w:t>
      </w:r>
      <w:r>
        <w:t xml:space="preserve"> ir įgyvendinti sprendinius.</w:t>
      </w:r>
    </w:p>
    <w:p w:rsidR="004F1A34" w:rsidRDefault="004F1A34" w:rsidP="004F1A34">
      <w:pPr>
        <w:ind w:firstLine="720"/>
        <w:jc w:val="both"/>
      </w:pPr>
      <w:r w:rsidRPr="00D405EC">
        <w:t>2014 m. neskirtos lėšos</w:t>
      </w:r>
      <w:r>
        <w:t xml:space="preserve">. </w:t>
      </w:r>
    </w:p>
    <w:p w:rsidR="00FD69B3" w:rsidRPr="00B463E2" w:rsidRDefault="00D34D5A" w:rsidP="00D43ECC">
      <w:pPr>
        <w:ind w:firstLine="748"/>
        <w:jc w:val="both"/>
        <w:rPr>
          <w:noProof/>
          <w:color w:val="FF0000"/>
        </w:rPr>
      </w:pPr>
      <w:r w:rsidRPr="00B463E2">
        <w:rPr>
          <w:color w:val="FF0000"/>
        </w:rPr>
        <w:t xml:space="preserve"> </w:t>
      </w:r>
    </w:p>
    <w:p w:rsidR="00FD69B3" w:rsidRPr="00E4377D" w:rsidRDefault="00FD69B3" w:rsidP="00FD69B3">
      <w:pPr>
        <w:ind w:firstLine="1296"/>
        <w:jc w:val="both"/>
        <w:rPr>
          <w:noProof/>
        </w:rPr>
      </w:pPr>
      <w:r w:rsidRPr="00E4377D">
        <w:rPr>
          <w:noProof/>
        </w:rPr>
        <w:t xml:space="preserve">Susisiekimo sąlygos priklauso nuo automobilizacijos lygio bei tokių urbanistinių faktorių, kaip gyventojų ir gatvių infrastruktūros tankis, darbo ir gyvenamosios vietos balanso. Kaip matome </w:t>
      </w:r>
      <w:r w:rsidR="00E4377D" w:rsidRPr="00E4377D">
        <w:rPr>
          <w:noProof/>
        </w:rPr>
        <w:t>20</w:t>
      </w:r>
      <w:r w:rsidRPr="00E4377D">
        <w:rPr>
          <w:noProof/>
        </w:rPr>
        <w:t xml:space="preserve"> diagramoje, automobilizacijos lygis Panevėžio mieste 20</w:t>
      </w:r>
      <w:r w:rsidR="00E4377D" w:rsidRPr="00E4377D">
        <w:rPr>
          <w:noProof/>
        </w:rPr>
        <w:t>10</w:t>
      </w:r>
      <w:r w:rsidRPr="00E4377D">
        <w:rPr>
          <w:noProof/>
        </w:rPr>
        <w:t>-20</w:t>
      </w:r>
      <w:r w:rsidR="00E4377D" w:rsidRPr="00E4377D">
        <w:rPr>
          <w:noProof/>
        </w:rPr>
        <w:t>14</w:t>
      </w:r>
      <w:r w:rsidRPr="00E4377D">
        <w:rPr>
          <w:noProof/>
        </w:rPr>
        <w:t xml:space="preserve"> metais išaugo 7 proc. ir yra lygus Lietuvos vidurkiui (541). </w:t>
      </w:r>
    </w:p>
    <w:p w:rsidR="00FD69B3" w:rsidRPr="00E4377D" w:rsidRDefault="00FD69B3" w:rsidP="00FD69B3">
      <w:pPr>
        <w:jc w:val="both"/>
        <w:rPr>
          <w:noProof/>
        </w:rPr>
      </w:pPr>
      <w:r w:rsidRPr="00E4377D">
        <w:rPr>
          <w:noProof/>
        </w:rPr>
        <w:tab/>
      </w:r>
      <w:r w:rsidR="00E4377D" w:rsidRPr="00E4377D">
        <w:rPr>
          <w:noProof/>
        </w:rPr>
        <w:t>20</w:t>
      </w:r>
      <w:r w:rsidRPr="00E4377D">
        <w:rPr>
          <w:noProof/>
        </w:rPr>
        <w:t xml:space="preserve"> diagrama. Automobilizacijos lygis (individualių automobilių skaičius /1000-iui gyventojų) Panevėžio mieste </w:t>
      </w:r>
    </w:p>
    <w:p w:rsidR="00FD69B3" w:rsidRPr="00B463E2" w:rsidRDefault="00FD69B3" w:rsidP="00FD69B3">
      <w:pPr>
        <w:jc w:val="both"/>
        <w:rPr>
          <w:noProof/>
          <w:color w:val="FF0000"/>
        </w:rPr>
      </w:pPr>
      <w:r w:rsidRPr="00B463E2">
        <w:rPr>
          <w:noProof/>
          <w:color w:val="FF0000"/>
          <w:lang w:val="en-US" w:eastAsia="en-US"/>
        </w:rPr>
        <w:drawing>
          <wp:inline distT="0" distB="0" distL="0" distR="0">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D69B3" w:rsidRPr="00B463E2" w:rsidRDefault="00FD69B3" w:rsidP="00FD69B3">
      <w:pPr>
        <w:jc w:val="both"/>
        <w:rPr>
          <w:noProof/>
          <w:color w:val="FF0000"/>
        </w:rPr>
      </w:pPr>
      <w:r w:rsidRPr="00B463E2">
        <w:rPr>
          <w:noProof/>
          <w:color w:val="FF0000"/>
        </w:rPr>
        <w:tab/>
      </w:r>
      <w:r w:rsidRPr="00E4377D">
        <w:rPr>
          <w:noProof/>
        </w:rPr>
        <w:t>Dviračių takų ilgis Panevėžyje per paskutinius 5 metus nekito ir išliko 90 km</w:t>
      </w:r>
      <w:r w:rsidRPr="00B463E2">
        <w:rPr>
          <w:noProof/>
          <w:color w:val="FF0000"/>
        </w:rPr>
        <w:t xml:space="preserve">. </w:t>
      </w:r>
    </w:p>
    <w:p w:rsidR="00FD69B3" w:rsidRPr="00B463E2" w:rsidRDefault="00FD69B3" w:rsidP="00FD69B3">
      <w:pPr>
        <w:jc w:val="both"/>
        <w:rPr>
          <w:noProof/>
          <w:color w:val="FF0000"/>
        </w:rPr>
      </w:pPr>
      <w:r w:rsidRPr="00B463E2">
        <w:rPr>
          <w:noProof/>
          <w:color w:val="FF0000"/>
        </w:rPr>
        <w:tab/>
      </w:r>
    </w:p>
    <w:p w:rsidR="00FD69B3" w:rsidRPr="00E4377D" w:rsidRDefault="00FD69B3" w:rsidP="00FD69B3">
      <w:pPr>
        <w:ind w:firstLine="1296"/>
        <w:jc w:val="both"/>
        <w:rPr>
          <w:noProof/>
        </w:rPr>
      </w:pPr>
      <w:r w:rsidRPr="00E4377D">
        <w:rPr>
          <w:noProof/>
        </w:rPr>
        <w:t xml:space="preserve">Pajamos už keleivių vežimą visuomeniniu transportu  pavaizduotos </w:t>
      </w:r>
      <w:r w:rsidR="00E4377D" w:rsidRPr="00E4377D">
        <w:rPr>
          <w:noProof/>
        </w:rPr>
        <w:t>21</w:t>
      </w:r>
      <w:r w:rsidRPr="00E4377D">
        <w:rPr>
          <w:noProof/>
        </w:rPr>
        <w:t xml:space="preserve"> diagramoje.</w:t>
      </w:r>
    </w:p>
    <w:p w:rsidR="00FD69B3" w:rsidRPr="00045C3E" w:rsidRDefault="00E4377D" w:rsidP="00FD69B3">
      <w:pPr>
        <w:jc w:val="both"/>
        <w:rPr>
          <w:noProof/>
        </w:rPr>
      </w:pPr>
      <w:r w:rsidRPr="00E4377D">
        <w:rPr>
          <w:noProof/>
        </w:rPr>
        <w:t>21</w:t>
      </w:r>
      <w:r w:rsidR="00FD69B3" w:rsidRPr="00E4377D">
        <w:rPr>
          <w:noProof/>
        </w:rPr>
        <w:t xml:space="preserve"> diagrama. Pajamos už keleivių vežimą visuomeniniu transportu</w:t>
      </w:r>
      <w:r w:rsidR="00FD69B3" w:rsidRPr="00045C3E">
        <w:rPr>
          <w:noProof/>
        </w:rPr>
        <w:t>, mln.</w:t>
      </w:r>
      <w:r w:rsidR="008812B0" w:rsidRPr="00045C3E">
        <w:rPr>
          <w:noProof/>
        </w:rPr>
        <w:t xml:space="preserve"> EUR</w:t>
      </w:r>
      <w:r w:rsidR="00FD69B3" w:rsidRPr="00045C3E">
        <w:rPr>
          <w:noProof/>
        </w:rPr>
        <w:t>.</w:t>
      </w:r>
    </w:p>
    <w:p w:rsidR="00FD69B3" w:rsidRPr="00B463E2" w:rsidRDefault="00FD69B3" w:rsidP="00FD69B3">
      <w:pPr>
        <w:ind w:firstLine="1296"/>
        <w:jc w:val="both"/>
        <w:rPr>
          <w:noProof/>
          <w:color w:val="FF0000"/>
        </w:rPr>
      </w:pPr>
      <w:r w:rsidRPr="00B463E2">
        <w:rPr>
          <w:noProof/>
          <w:color w:val="FF0000"/>
          <w:lang w:val="en-US" w:eastAsia="en-US"/>
        </w:rPr>
        <w:drawing>
          <wp:inline distT="0" distB="0" distL="0" distR="0">
            <wp:extent cx="4562475" cy="1219200"/>
            <wp:effectExtent l="19050" t="0" r="0" b="0"/>
            <wp:docPr id="23"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4D5A" w:rsidRPr="00B463E2" w:rsidRDefault="00FD69B3" w:rsidP="00E4377D">
      <w:pPr>
        <w:ind w:firstLine="748"/>
        <w:jc w:val="both"/>
        <w:rPr>
          <w:rFonts w:eastAsia="Arial Unicode MS"/>
          <w:b/>
          <w:color w:val="FF0000"/>
        </w:rPr>
      </w:pPr>
      <w:r w:rsidRPr="00B463E2">
        <w:rPr>
          <w:noProof/>
          <w:color w:val="FF0000"/>
        </w:rPr>
        <w:tab/>
      </w:r>
    </w:p>
    <w:p w:rsidR="00D34D5A" w:rsidRPr="00B463E2" w:rsidRDefault="00D34D5A" w:rsidP="00845C55">
      <w:pPr>
        <w:pStyle w:val="Footer"/>
        <w:tabs>
          <w:tab w:val="clear" w:pos="4153"/>
          <w:tab w:val="clear" w:pos="8306"/>
        </w:tabs>
        <w:ind w:firstLine="748"/>
        <w:jc w:val="both"/>
        <w:outlineLvl w:val="0"/>
        <w:rPr>
          <w:rFonts w:eastAsia="Arial Unicode MS"/>
          <w:b/>
          <w:color w:val="FF0000"/>
        </w:rPr>
      </w:pPr>
    </w:p>
    <w:p w:rsidR="00045C3E" w:rsidRDefault="00045C3E" w:rsidP="00845C55">
      <w:pPr>
        <w:pStyle w:val="Footer"/>
        <w:tabs>
          <w:tab w:val="clear" w:pos="4153"/>
          <w:tab w:val="clear" w:pos="8306"/>
        </w:tabs>
        <w:ind w:firstLine="748"/>
        <w:jc w:val="both"/>
        <w:outlineLvl w:val="0"/>
        <w:rPr>
          <w:rFonts w:eastAsia="Arial Unicode MS"/>
          <w:b/>
        </w:rPr>
      </w:pPr>
    </w:p>
    <w:p w:rsidR="00845C55" w:rsidRPr="00A201FA" w:rsidRDefault="00845C55" w:rsidP="00845C55">
      <w:pPr>
        <w:pStyle w:val="Footer"/>
        <w:tabs>
          <w:tab w:val="clear" w:pos="4153"/>
          <w:tab w:val="clear" w:pos="8306"/>
        </w:tabs>
        <w:ind w:firstLine="748"/>
        <w:jc w:val="both"/>
        <w:outlineLvl w:val="0"/>
        <w:rPr>
          <w:rFonts w:eastAsia="Arial Unicode MS"/>
          <w:b/>
        </w:rPr>
      </w:pPr>
      <w:r w:rsidRPr="00A201FA">
        <w:rPr>
          <w:rFonts w:eastAsia="Arial Unicode MS"/>
          <w:b/>
        </w:rPr>
        <w:lastRenderedPageBreak/>
        <w:t>IŠVADOS</w:t>
      </w:r>
    </w:p>
    <w:p w:rsidR="00845C55" w:rsidRPr="00A201FA" w:rsidRDefault="00845C55" w:rsidP="00845C55">
      <w:pPr>
        <w:ind w:firstLine="720"/>
        <w:jc w:val="both"/>
      </w:pPr>
      <w:r w:rsidRPr="00A201FA">
        <w:t xml:space="preserve">1) </w:t>
      </w:r>
      <w:r w:rsidR="00B46C6D" w:rsidRPr="00A201FA">
        <w:t xml:space="preserve">Panevėžio miesto plėtros 2014 - 2020 metų strateginio plano įgyvendinimas už 2014 m. siekia 86 procentus. Dauguma priemonių yra pradėtos vykdyti arba vykdomos iš dalies. </w:t>
      </w:r>
      <w:r w:rsidR="00795E2D" w:rsidRPr="00A201FA">
        <w:t>Strateginio plano</w:t>
      </w:r>
      <w:r w:rsidRPr="00A201FA">
        <w:t xml:space="preserve"> kiekybinių vizijos ir prioritetų rodiklių </w:t>
      </w:r>
      <w:proofErr w:type="spellStart"/>
      <w:r w:rsidRPr="00A201FA">
        <w:t>stebėsena</w:t>
      </w:r>
      <w:proofErr w:type="spellEnd"/>
      <w:r w:rsidRPr="00A201FA">
        <w:t xml:space="preserve"> parodė, kad dauguma rodiklių mažėjo</w:t>
      </w:r>
      <w:r w:rsidR="00CC1188" w:rsidRPr="00A201FA">
        <w:t>. I</w:t>
      </w:r>
      <w:r w:rsidR="00E269D8" w:rsidRPr="00A201FA">
        <w:t>šlaidos</w:t>
      </w:r>
      <w:r w:rsidR="001C0136" w:rsidRPr="00A201FA">
        <w:t xml:space="preserve"> </w:t>
      </w:r>
      <w:r w:rsidR="00CC1188" w:rsidRPr="00A201FA">
        <w:t>kultūrai</w:t>
      </w:r>
      <w:r w:rsidR="00B46C6D" w:rsidRPr="00A201FA">
        <w:t>, sportui, socialinėms pašalpoms</w:t>
      </w:r>
      <w:r w:rsidR="00CC1188" w:rsidRPr="00A201FA">
        <w:t xml:space="preserve"> </w:t>
      </w:r>
      <w:r w:rsidR="00B46C6D" w:rsidRPr="00A201FA">
        <w:t>augo nežymiai</w:t>
      </w:r>
      <w:r w:rsidR="00CC1188" w:rsidRPr="00A201FA">
        <w:t xml:space="preserve">. </w:t>
      </w:r>
      <w:r w:rsidR="00471357">
        <w:t>Išlaidos švietimui mažėjo.</w:t>
      </w:r>
    </w:p>
    <w:p w:rsidR="00845C55" w:rsidRPr="00A201FA" w:rsidRDefault="00845C55" w:rsidP="00845C55">
      <w:pPr>
        <w:ind w:firstLine="720"/>
        <w:jc w:val="both"/>
      </w:pPr>
      <w:r w:rsidRPr="00A201FA">
        <w:t xml:space="preserve">2) </w:t>
      </w:r>
      <w:proofErr w:type="spellStart"/>
      <w:r w:rsidRPr="00A201FA">
        <w:t>Stebėseną</w:t>
      </w:r>
      <w:proofErr w:type="spellEnd"/>
      <w:r w:rsidRPr="00A201FA">
        <w:t xml:space="preserve"> apsunkino tai, kad </w:t>
      </w:r>
      <w:r w:rsidR="00795E2D" w:rsidRPr="00A201FA">
        <w:t>Strateginio plano</w:t>
      </w:r>
      <w:r w:rsidRPr="00A201FA">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A201FA">
        <w:t xml:space="preserve">Strateginio plano </w:t>
      </w:r>
      <w:r w:rsidRPr="00A201FA">
        <w:t xml:space="preserve">rodiklių palyginimas su didžiaisiais Lietuvos miestais ir šalies vidurkiu buvo atliktas pateikiant tik Statistikos departamento duomenis. </w:t>
      </w:r>
      <w:r w:rsidRPr="00A201FA">
        <w:rPr>
          <w:rFonts w:eastAsia="Arial Unicode MS"/>
        </w:rPr>
        <w:t xml:space="preserve">Be to, Savivaldybės administracijai sunku įtakoti kai kurių veiksmų įgyvendinimo procesus ir rezultatus, kai vykdytojai nėra Savivaldybės </w:t>
      </w:r>
      <w:r w:rsidR="00795E2D" w:rsidRPr="00A201FA">
        <w:rPr>
          <w:rFonts w:eastAsia="Arial Unicode MS"/>
        </w:rPr>
        <w:t xml:space="preserve">administracijos </w:t>
      </w:r>
      <w:r w:rsidRPr="00A201FA">
        <w:rPr>
          <w:rFonts w:eastAsia="Arial Unicode MS"/>
        </w:rPr>
        <w:t>skyriai.</w:t>
      </w:r>
    </w:p>
    <w:p w:rsidR="00113443" w:rsidRPr="00A201FA" w:rsidRDefault="00845C55" w:rsidP="007F1F84">
      <w:pPr>
        <w:tabs>
          <w:tab w:val="left" w:pos="1800"/>
        </w:tabs>
        <w:ind w:firstLine="720"/>
        <w:jc w:val="both"/>
      </w:pPr>
      <w:r w:rsidRPr="00A201FA">
        <w:t>3)</w:t>
      </w:r>
      <w:r w:rsidR="000B1A72" w:rsidRPr="00A201FA">
        <w:t xml:space="preserve"> </w:t>
      </w:r>
      <w:r w:rsidR="00A201FA" w:rsidRPr="00A201FA">
        <w:t xml:space="preserve">Panevėžio miesto savivaldybės taryba 2013 m. spalio 10 d. sprendimu Nr. 1-280  patvirtino Panevėžio miesto plėtros 2014–2020 metų strateginį planą. Per šiuos metus keitėsi miesto ekonominis, socialinis gyvenimas. Atlikus Strateginio plano veiksmų </w:t>
      </w:r>
      <w:proofErr w:type="spellStart"/>
      <w:r w:rsidR="00A201FA" w:rsidRPr="00A201FA">
        <w:t>stebėseną</w:t>
      </w:r>
      <w:proofErr w:type="spellEnd"/>
      <w:r w:rsidR="00A201FA" w:rsidRPr="00A201FA">
        <w:t>, padaryta išvada, kad Panevėžio miesto plėtros 2014 - 2020 metų strateginis  planas turi būti koreguojamas, papildomas. Planuojamos naujovės, pokyčiai, koreguotinos priemonės atsižvelgiant į miesto poreikių dinamiką.</w:t>
      </w:r>
    </w:p>
    <w:p w:rsidR="00511F94" w:rsidRPr="00A201FA" w:rsidRDefault="00511F94" w:rsidP="00D34D5A">
      <w:pPr>
        <w:ind w:firstLine="748"/>
        <w:jc w:val="both"/>
      </w:pPr>
    </w:p>
    <w:p w:rsidR="00845C55" w:rsidRPr="00A201FA" w:rsidRDefault="00113443" w:rsidP="007F1F84">
      <w:pPr>
        <w:ind w:firstLine="748"/>
        <w:jc w:val="both"/>
      </w:pPr>
      <w:r w:rsidRPr="00A201FA">
        <w:t>I</w:t>
      </w:r>
      <w:r w:rsidR="00845C55" w:rsidRPr="00A201FA">
        <w:t>šsamesnė analizė pateikiama prieduose</w:t>
      </w:r>
      <w:r w:rsidR="00C06126" w:rsidRPr="00A201FA">
        <w:t>.</w:t>
      </w:r>
      <w:r w:rsidR="00845C55" w:rsidRPr="00A201FA">
        <w:t xml:space="preserve"> </w:t>
      </w:r>
    </w:p>
    <w:sectPr w:rsidR="00845C55" w:rsidRPr="00A201FA" w:rsidSect="007F1F84">
      <w:footerReference w:type="even" r:id="rId30"/>
      <w:footerReference w:type="default" r:id="rId31"/>
      <w:pgSz w:w="11906" w:h="16838"/>
      <w:pgMar w:top="896" w:right="890" w:bottom="299" w:left="1701" w:header="561" w:footer="561"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73" w:rsidRDefault="007A7173">
      <w:r>
        <w:separator/>
      </w:r>
    </w:p>
  </w:endnote>
  <w:endnote w:type="continuationSeparator" w:id="0">
    <w:p w:rsidR="007A7173" w:rsidRDefault="007A7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2D" w:rsidRDefault="002312EA" w:rsidP="00E31BA3">
    <w:pPr>
      <w:pStyle w:val="Footer"/>
      <w:framePr w:wrap="around" w:vAnchor="text" w:hAnchor="margin" w:xAlign="right" w:y="1"/>
      <w:rPr>
        <w:rStyle w:val="PageNumber"/>
      </w:rPr>
    </w:pPr>
    <w:r>
      <w:rPr>
        <w:rStyle w:val="PageNumber"/>
      </w:rPr>
      <w:fldChar w:fldCharType="begin"/>
    </w:r>
    <w:r w:rsidR="00795E2D">
      <w:rPr>
        <w:rStyle w:val="PageNumber"/>
      </w:rPr>
      <w:instrText xml:space="preserve">PAGE  </w:instrText>
    </w:r>
    <w:r>
      <w:rPr>
        <w:rStyle w:val="PageNumber"/>
      </w:rPr>
      <w:fldChar w:fldCharType="end"/>
    </w:r>
  </w:p>
  <w:p w:rsidR="00795E2D" w:rsidRDefault="00795E2D" w:rsidP="005041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2D" w:rsidRDefault="002312EA" w:rsidP="00E31BA3">
    <w:pPr>
      <w:pStyle w:val="Footer"/>
      <w:framePr w:wrap="around" w:vAnchor="text" w:hAnchor="margin" w:xAlign="right" w:y="1"/>
      <w:rPr>
        <w:rStyle w:val="PageNumber"/>
      </w:rPr>
    </w:pPr>
    <w:r>
      <w:rPr>
        <w:rStyle w:val="PageNumber"/>
      </w:rPr>
      <w:fldChar w:fldCharType="begin"/>
    </w:r>
    <w:r w:rsidR="00795E2D">
      <w:rPr>
        <w:rStyle w:val="PageNumber"/>
      </w:rPr>
      <w:instrText xml:space="preserve">PAGE  </w:instrText>
    </w:r>
    <w:r>
      <w:rPr>
        <w:rStyle w:val="PageNumber"/>
      </w:rPr>
      <w:fldChar w:fldCharType="separate"/>
    </w:r>
    <w:r w:rsidR="0063667E">
      <w:rPr>
        <w:rStyle w:val="PageNumber"/>
        <w:noProof/>
      </w:rPr>
      <w:t>7</w:t>
    </w:r>
    <w:r>
      <w:rPr>
        <w:rStyle w:val="PageNumber"/>
      </w:rPr>
      <w:fldChar w:fldCharType="end"/>
    </w:r>
  </w:p>
  <w:p w:rsidR="00795E2D" w:rsidRDefault="00795E2D" w:rsidP="005041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73" w:rsidRDefault="007A7173">
      <w:r>
        <w:separator/>
      </w:r>
    </w:p>
  </w:footnote>
  <w:footnote w:type="continuationSeparator" w:id="0">
    <w:p w:rsidR="007A7173" w:rsidRDefault="007A7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rsids>
    <w:rsidRoot w:val="00D9390F"/>
    <w:rsid w:val="000072D9"/>
    <w:rsid w:val="00011331"/>
    <w:rsid w:val="000130D9"/>
    <w:rsid w:val="000139A5"/>
    <w:rsid w:val="00013AFD"/>
    <w:rsid w:val="00013DF2"/>
    <w:rsid w:val="00021FF3"/>
    <w:rsid w:val="000231E1"/>
    <w:rsid w:val="00024720"/>
    <w:rsid w:val="00031224"/>
    <w:rsid w:val="00044667"/>
    <w:rsid w:val="00045C3E"/>
    <w:rsid w:val="0005269C"/>
    <w:rsid w:val="00083811"/>
    <w:rsid w:val="00083CE3"/>
    <w:rsid w:val="00086A22"/>
    <w:rsid w:val="00086EA1"/>
    <w:rsid w:val="00091129"/>
    <w:rsid w:val="00091B86"/>
    <w:rsid w:val="00094E46"/>
    <w:rsid w:val="000B057D"/>
    <w:rsid w:val="000B1A72"/>
    <w:rsid w:val="000B1CE9"/>
    <w:rsid w:val="000C08DF"/>
    <w:rsid w:val="000F02EB"/>
    <w:rsid w:val="000F0745"/>
    <w:rsid w:val="000F13B7"/>
    <w:rsid w:val="000F24CC"/>
    <w:rsid w:val="00113443"/>
    <w:rsid w:val="0011455A"/>
    <w:rsid w:val="0011554D"/>
    <w:rsid w:val="001232DD"/>
    <w:rsid w:val="00125B60"/>
    <w:rsid w:val="001457E6"/>
    <w:rsid w:val="00164E07"/>
    <w:rsid w:val="001778D6"/>
    <w:rsid w:val="00180A40"/>
    <w:rsid w:val="001860F7"/>
    <w:rsid w:val="00192CC2"/>
    <w:rsid w:val="001973A3"/>
    <w:rsid w:val="001A202A"/>
    <w:rsid w:val="001A334B"/>
    <w:rsid w:val="001A5D0F"/>
    <w:rsid w:val="001A5E2C"/>
    <w:rsid w:val="001A7B89"/>
    <w:rsid w:val="001B6E90"/>
    <w:rsid w:val="001B7F10"/>
    <w:rsid w:val="001C0136"/>
    <w:rsid w:val="001C595B"/>
    <w:rsid w:val="001E7BEF"/>
    <w:rsid w:val="001F06A8"/>
    <w:rsid w:val="001F6918"/>
    <w:rsid w:val="002022F4"/>
    <w:rsid w:val="00202FCE"/>
    <w:rsid w:val="0020318A"/>
    <w:rsid w:val="00204244"/>
    <w:rsid w:val="00217217"/>
    <w:rsid w:val="00225C73"/>
    <w:rsid w:val="002312EA"/>
    <w:rsid w:val="00232E52"/>
    <w:rsid w:val="00234FE0"/>
    <w:rsid w:val="002355BA"/>
    <w:rsid w:val="00241C53"/>
    <w:rsid w:val="0024790C"/>
    <w:rsid w:val="00253A3F"/>
    <w:rsid w:val="002573D1"/>
    <w:rsid w:val="002577FE"/>
    <w:rsid w:val="002648D3"/>
    <w:rsid w:val="002708C4"/>
    <w:rsid w:val="0027484F"/>
    <w:rsid w:val="00282944"/>
    <w:rsid w:val="00291678"/>
    <w:rsid w:val="00291ECB"/>
    <w:rsid w:val="00296DCE"/>
    <w:rsid w:val="002B0555"/>
    <w:rsid w:val="002B0BCC"/>
    <w:rsid w:val="002B0E6A"/>
    <w:rsid w:val="002B36BD"/>
    <w:rsid w:val="002B5021"/>
    <w:rsid w:val="002C131C"/>
    <w:rsid w:val="002C206A"/>
    <w:rsid w:val="002D1894"/>
    <w:rsid w:val="002E014A"/>
    <w:rsid w:val="002F19A8"/>
    <w:rsid w:val="002F3FF7"/>
    <w:rsid w:val="00306DF8"/>
    <w:rsid w:val="0030700E"/>
    <w:rsid w:val="003102E5"/>
    <w:rsid w:val="003167B7"/>
    <w:rsid w:val="00323714"/>
    <w:rsid w:val="00333352"/>
    <w:rsid w:val="00334357"/>
    <w:rsid w:val="00336C7E"/>
    <w:rsid w:val="003406BE"/>
    <w:rsid w:val="00343D0A"/>
    <w:rsid w:val="0035744B"/>
    <w:rsid w:val="00357ECA"/>
    <w:rsid w:val="0036036D"/>
    <w:rsid w:val="00363E07"/>
    <w:rsid w:val="0037113A"/>
    <w:rsid w:val="00375970"/>
    <w:rsid w:val="00381054"/>
    <w:rsid w:val="00390A85"/>
    <w:rsid w:val="00392404"/>
    <w:rsid w:val="003A024E"/>
    <w:rsid w:val="003A2581"/>
    <w:rsid w:val="003A3710"/>
    <w:rsid w:val="003A614B"/>
    <w:rsid w:val="003B3264"/>
    <w:rsid w:val="003B3532"/>
    <w:rsid w:val="003B4253"/>
    <w:rsid w:val="003C6845"/>
    <w:rsid w:val="003D0780"/>
    <w:rsid w:val="003D57F9"/>
    <w:rsid w:val="003E03D1"/>
    <w:rsid w:val="003E0837"/>
    <w:rsid w:val="003E2C31"/>
    <w:rsid w:val="003E64CE"/>
    <w:rsid w:val="003E67E4"/>
    <w:rsid w:val="003E75F3"/>
    <w:rsid w:val="00403FC2"/>
    <w:rsid w:val="00410F66"/>
    <w:rsid w:val="004121E0"/>
    <w:rsid w:val="00416AA3"/>
    <w:rsid w:val="004177CB"/>
    <w:rsid w:val="0042195F"/>
    <w:rsid w:val="00434210"/>
    <w:rsid w:val="00436158"/>
    <w:rsid w:val="00460499"/>
    <w:rsid w:val="00460F97"/>
    <w:rsid w:val="00465149"/>
    <w:rsid w:val="00471357"/>
    <w:rsid w:val="004713E7"/>
    <w:rsid w:val="00471E27"/>
    <w:rsid w:val="00471FC2"/>
    <w:rsid w:val="004726D4"/>
    <w:rsid w:val="00473249"/>
    <w:rsid w:val="00474C90"/>
    <w:rsid w:val="00482BAE"/>
    <w:rsid w:val="0048550B"/>
    <w:rsid w:val="00486DC6"/>
    <w:rsid w:val="004918B7"/>
    <w:rsid w:val="004946CC"/>
    <w:rsid w:val="00495476"/>
    <w:rsid w:val="004958B1"/>
    <w:rsid w:val="004965AF"/>
    <w:rsid w:val="00496BA8"/>
    <w:rsid w:val="004979C2"/>
    <w:rsid w:val="004B7778"/>
    <w:rsid w:val="004C2AB4"/>
    <w:rsid w:val="004E2B0F"/>
    <w:rsid w:val="004F1A34"/>
    <w:rsid w:val="0050419E"/>
    <w:rsid w:val="00506DE9"/>
    <w:rsid w:val="00511274"/>
    <w:rsid w:val="00511F94"/>
    <w:rsid w:val="005134FA"/>
    <w:rsid w:val="005251A3"/>
    <w:rsid w:val="0053110D"/>
    <w:rsid w:val="00533471"/>
    <w:rsid w:val="00544F6A"/>
    <w:rsid w:val="00545EF9"/>
    <w:rsid w:val="0054611F"/>
    <w:rsid w:val="0055270D"/>
    <w:rsid w:val="00554EF8"/>
    <w:rsid w:val="005568D5"/>
    <w:rsid w:val="00556F88"/>
    <w:rsid w:val="00560002"/>
    <w:rsid w:val="0056283E"/>
    <w:rsid w:val="0056718C"/>
    <w:rsid w:val="005675CB"/>
    <w:rsid w:val="005724CF"/>
    <w:rsid w:val="00572929"/>
    <w:rsid w:val="00580BC4"/>
    <w:rsid w:val="00582E94"/>
    <w:rsid w:val="0058758D"/>
    <w:rsid w:val="005955DA"/>
    <w:rsid w:val="005A0616"/>
    <w:rsid w:val="005A7C18"/>
    <w:rsid w:val="005B5388"/>
    <w:rsid w:val="005B5689"/>
    <w:rsid w:val="005C2893"/>
    <w:rsid w:val="005D71F9"/>
    <w:rsid w:val="005E042B"/>
    <w:rsid w:val="005E7A56"/>
    <w:rsid w:val="005F2CCA"/>
    <w:rsid w:val="005F67AF"/>
    <w:rsid w:val="00616E08"/>
    <w:rsid w:val="00620FA3"/>
    <w:rsid w:val="00624355"/>
    <w:rsid w:val="00627494"/>
    <w:rsid w:val="00630314"/>
    <w:rsid w:val="0063667E"/>
    <w:rsid w:val="00641CFF"/>
    <w:rsid w:val="00645669"/>
    <w:rsid w:val="00653F41"/>
    <w:rsid w:val="00657B4C"/>
    <w:rsid w:val="006700D1"/>
    <w:rsid w:val="006770A7"/>
    <w:rsid w:val="00682708"/>
    <w:rsid w:val="006870CF"/>
    <w:rsid w:val="006875D5"/>
    <w:rsid w:val="00697803"/>
    <w:rsid w:val="006A02EF"/>
    <w:rsid w:val="006A0A01"/>
    <w:rsid w:val="006A7B40"/>
    <w:rsid w:val="006B3337"/>
    <w:rsid w:val="006B33D5"/>
    <w:rsid w:val="006B3C22"/>
    <w:rsid w:val="006B3EB9"/>
    <w:rsid w:val="006B59A5"/>
    <w:rsid w:val="006B766F"/>
    <w:rsid w:val="006D4423"/>
    <w:rsid w:val="006D457C"/>
    <w:rsid w:val="006D4E42"/>
    <w:rsid w:val="006E0520"/>
    <w:rsid w:val="006E14D9"/>
    <w:rsid w:val="006E1DF4"/>
    <w:rsid w:val="006E2DF9"/>
    <w:rsid w:val="006E6567"/>
    <w:rsid w:val="006F1607"/>
    <w:rsid w:val="00700F2A"/>
    <w:rsid w:val="00710EBA"/>
    <w:rsid w:val="0071629E"/>
    <w:rsid w:val="007170B1"/>
    <w:rsid w:val="00717293"/>
    <w:rsid w:val="00724427"/>
    <w:rsid w:val="00727F4A"/>
    <w:rsid w:val="007306C8"/>
    <w:rsid w:val="00731204"/>
    <w:rsid w:val="007319AB"/>
    <w:rsid w:val="00731FE7"/>
    <w:rsid w:val="00737D39"/>
    <w:rsid w:val="00740910"/>
    <w:rsid w:val="007421B7"/>
    <w:rsid w:val="00746D57"/>
    <w:rsid w:val="00757DB4"/>
    <w:rsid w:val="0076181C"/>
    <w:rsid w:val="00761848"/>
    <w:rsid w:val="00764FFB"/>
    <w:rsid w:val="00765172"/>
    <w:rsid w:val="0076564F"/>
    <w:rsid w:val="0077421D"/>
    <w:rsid w:val="0077733C"/>
    <w:rsid w:val="0078626B"/>
    <w:rsid w:val="00787E05"/>
    <w:rsid w:val="00794571"/>
    <w:rsid w:val="00794767"/>
    <w:rsid w:val="00795E2D"/>
    <w:rsid w:val="00797F56"/>
    <w:rsid w:val="007A4F6B"/>
    <w:rsid w:val="007A7173"/>
    <w:rsid w:val="007B0BC5"/>
    <w:rsid w:val="007C078C"/>
    <w:rsid w:val="007D1421"/>
    <w:rsid w:val="007D5D15"/>
    <w:rsid w:val="007D5F06"/>
    <w:rsid w:val="007D7E44"/>
    <w:rsid w:val="007F0118"/>
    <w:rsid w:val="007F1F84"/>
    <w:rsid w:val="007F4AF1"/>
    <w:rsid w:val="00810A84"/>
    <w:rsid w:val="00810C3D"/>
    <w:rsid w:val="00811507"/>
    <w:rsid w:val="008214B9"/>
    <w:rsid w:val="008268EF"/>
    <w:rsid w:val="00831734"/>
    <w:rsid w:val="00831D17"/>
    <w:rsid w:val="00831D92"/>
    <w:rsid w:val="00831E03"/>
    <w:rsid w:val="00832A95"/>
    <w:rsid w:val="00845742"/>
    <w:rsid w:val="00845C55"/>
    <w:rsid w:val="00850707"/>
    <w:rsid w:val="00851C9F"/>
    <w:rsid w:val="00853117"/>
    <w:rsid w:val="008539AB"/>
    <w:rsid w:val="00860AE2"/>
    <w:rsid w:val="00862931"/>
    <w:rsid w:val="0086595C"/>
    <w:rsid w:val="008731C8"/>
    <w:rsid w:val="00880BE8"/>
    <w:rsid w:val="008812B0"/>
    <w:rsid w:val="008842D0"/>
    <w:rsid w:val="008842DE"/>
    <w:rsid w:val="00891874"/>
    <w:rsid w:val="008936BF"/>
    <w:rsid w:val="008B068B"/>
    <w:rsid w:val="008B1D34"/>
    <w:rsid w:val="008B5E21"/>
    <w:rsid w:val="008B60C4"/>
    <w:rsid w:val="008D40CA"/>
    <w:rsid w:val="008D5979"/>
    <w:rsid w:val="008F6506"/>
    <w:rsid w:val="00905876"/>
    <w:rsid w:val="0091161D"/>
    <w:rsid w:val="009125B1"/>
    <w:rsid w:val="00920098"/>
    <w:rsid w:val="00920541"/>
    <w:rsid w:val="009340CF"/>
    <w:rsid w:val="00936D8B"/>
    <w:rsid w:val="00942ED9"/>
    <w:rsid w:val="00955A2F"/>
    <w:rsid w:val="00960045"/>
    <w:rsid w:val="00963956"/>
    <w:rsid w:val="009807B7"/>
    <w:rsid w:val="00985741"/>
    <w:rsid w:val="009904E8"/>
    <w:rsid w:val="00993B2A"/>
    <w:rsid w:val="009A6FB3"/>
    <w:rsid w:val="009C0A83"/>
    <w:rsid w:val="009C527C"/>
    <w:rsid w:val="009D143B"/>
    <w:rsid w:val="009D2F58"/>
    <w:rsid w:val="009E3206"/>
    <w:rsid w:val="009F73FA"/>
    <w:rsid w:val="00A12687"/>
    <w:rsid w:val="00A201FA"/>
    <w:rsid w:val="00A34283"/>
    <w:rsid w:val="00A3762B"/>
    <w:rsid w:val="00A43B8D"/>
    <w:rsid w:val="00A46FB8"/>
    <w:rsid w:val="00A537A9"/>
    <w:rsid w:val="00A562EB"/>
    <w:rsid w:val="00A60576"/>
    <w:rsid w:val="00A61199"/>
    <w:rsid w:val="00A64C35"/>
    <w:rsid w:val="00A74300"/>
    <w:rsid w:val="00A7459D"/>
    <w:rsid w:val="00A76C14"/>
    <w:rsid w:val="00A770CB"/>
    <w:rsid w:val="00A824EA"/>
    <w:rsid w:val="00A901D2"/>
    <w:rsid w:val="00AA312E"/>
    <w:rsid w:val="00AA5C8D"/>
    <w:rsid w:val="00AA64E3"/>
    <w:rsid w:val="00AA75DA"/>
    <w:rsid w:val="00AB57A9"/>
    <w:rsid w:val="00AB785E"/>
    <w:rsid w:val="00AD4196"/>
    <w:rsid w:val="00AD5F08"/>
    <w:rsid w:val="00AD7F93"/>
    <w:rsid w:val="00AF0B15"/>
    <w:rsid w:val="00AF402B"/>
    <w:rsid w:val="00AF428B"/>
    <w:rsid w:val="00AF5D59"/>
    <w:rsid w:val="00AF644E"/>
    <w:rsid w:val="00B06312"/>
    <w:rsid w:val="00B074D7"/>
    <w:rsid w:val="00B11C77"/>
    <w:rsid w:val="00B123CD"/>
    <w:rsid w:val="00B13EE4"/>
    <w:rsid w:val="00B16089"/>
    <w:rsid w:val="00B26F0A"/>
    <w:rsid w:val="00B27777"/>
    <w:rsid w:val="00B33547"/>
    <w:rsid w:val="00B40654"/>
    <w:rsid w:val="00B41146"/>
    <w:rsid w:val="00B463E2"/>
    <w:rsid w:val="00B46C6D"/>
    <w:rsid w:val="00B5787A"/>
    <w:rsid w:val="00B622D8"/>
    <w:rsid w:val="00B738C6"/>
    <w:rsid w:val="00B76E45"/>
    <w:rsid w:val="00B77DE8"/>
    <w:rsid w:val="00B87485"/>
    <w:rsid w:val="00B9412E"/>
    <w:rsid w:val="00BB3DBB"/>
    <w:rsid w:val="00BB47B6"/>
    <w:rsid w:val="00BC089A"/>
    <w:rsid w:val="00BD0123"/>
    <w:rsid w:val="00BD0A9A"/>
    <w:rsid w:val="00BD7130"/>
    <w:rsid w:val="00BE0B1A"/>
    <w:rsid w:val="00BE79CC"/>
    <w:rsid w:val="00BF345A"/>
    <w:rsid w:val="00C0558F"/>
    <w:rsid w:val="00C05D32"/>
    <w:rsid w:val="00C06126"/>
    <w:rsid w:val="00C11D76"/>
    <w:rsid w:val="00C22151"/>
    <w:rsid w:val="00C227A9"/>
    <w:rsid w:val="00C257AE"/>
    <w:rsid w:val="00C412C9"/>
    <w:rsid w:val="00C41C15"/>
    <w:rsid w:val="00C45E3D"/>
    <w:rsid w:val="00C47EA6"/>
    <w:rsid w:val="00C65708"/>
    <w:rsid w:val="00C85DBD"/>
    <w:rsid w:val="00C865B3"/>
    <w:rsid w:val="00C90342"/>
    <w:rsid w:val="00CA392A"/>
    <w:rsid w:val="00CB0A40"/>
    <w:rsid w:val="00CB2843"/>
    <w:rsid w:val="00CC1188"/>
    <w:rsid w:val="00CD082F"/>
    <w:rsid w:val="00CD3DA0"/>
    <w:rsid w:val="00CD5540"/>
    <w:rsid w:val="00CD6773"/>
    <w:rsid w:val="00CD73FB"/>
    <w:rsid w:val="00CE1ED9"/>
    <w:rsid w:val="00CE25E9"/>
    <w:rsid w:val="00CE35F6"/>
    <w:rsid w:val="00CF3345"/>
    <w:rsid w:val="00D00EE9"/>
    <w:rsid w:val="00D02CF5"/>
    <w:rsid w:val="00D0777F"/>
    <w:rsid w:val="00D149E9"/>
    <w:rsid w:val="00D235B9"/>
    <w:rsid w:val="00D27BEE"/>
    <w:rsid w:val="00D34D5A"/>
    <w:rsid w:val="00D42D1F"/>
    <w:rsid w:val="00D43ECC"/>
    <w:rsid w:val="00D654B8"/>
    <w:rsid w:val="00D716B7"/>
    <w:rsid w:val="00D876B2"/>
    <w:rsid w:val="00D90D1A"/>
    <w:rsid w:val="00D921F0"/>
    <w:rsid w:val="00D9390F"/>
    <w:rsid w:val="00D97226"/>
    <w:rsid w:val="00DA3725"/>
    <w:rsid w:val="00DA50A8"/>
    <w:rsid w:val="00DA7A18"/>
    <w:rsid w:val="00DB0C0B"/>
    <w:rsid w:val="00DB173E"/>
    <w:rsid w:val="00DB1B2C"/>
    <w:rsid w:val="00DE5705"/>
    <w:rsid w:val="00DF1335"/>
    <w:rsid w:val="00DF4BC3"/>
    <w:rsid w:val="00DF7E25"/>
    <w:rsid w:val="00E02C36"/>
    <w:rsid w:val="00E056B7"/>
    <w:rsid w:val="00E13330"/>
    <w:rsid w:val="00E14B5A"/>
    <w:rsid w:val="00E175A6"/>
    <w:rsid w:val="00E20E4F"/>
    <w:rsid w:val="00E269D8"/>
    <w:rsid w:val="00E31BA3"/>
    <w:rsid w:val="00E379C2"/>
    <w:rsid w:val="00E4062D"/>
    <w:rsid w:val="00E40BC8"/>
    <w:rsid w:val="00E4299F"/>
    <w:rsid w:val="00E4377D"/>
    <w:rsid w:val="00E547C4"/>
    <w:rsid w:val="00E56E8A"/>
    <w:rsid w:val="00E61621"/>
    <w:rsid w:val="00E63F59"/>
    <w:rsid w:val="00E64FB5"/>
    <w:rsid w:val="00E7311F"/>
    <w:rsid w:val="00E7693D"/>
    <w:rsid w:val="00E848D4"/>
    <w:rsid w:val="00E85B38"/>
    <w:rsid w:val="00E96C0D"/>
    <w:rsid w:val="00E97D56"/>
    <w:rsid w:val="00EA41D9"/>
    <w:rsid w:val="00EB25F3"/>
    <w:rsid w:val="00ED0A81"/>
    <w:rsid w:val="00ED322B"/>
    <w:rsid w:val="00EE29EC"/>
    <w:rsid w:val="00F00F40"/>
    <w:rsid w:val="00F029C0"/>
    <w:rsid w:val="00F03FA5"/>
    <w:rsid w:val="00F0782E"/>
    <w:rsid w:val="00F17018"/>
    <w:rsid w:val="00F17A52"/>
    <w:rsid w:val="00F23225"/>
    <w:rsid w:val="00F255C4"/>
    <w:rsid w:val="00F318F8"/>
    <w:rsid w:val="00F344BA"/>
    <w:rsid w:val="00F41051"/>
    <w:rsid w:val="00F42A7F"/>
    <w:rsid w:val="00F44379"/>
    <w:rsid w:val="00F45903"/>
    <w:rsid w:val="00F46248"/>
    <w:rsid w:val="00F57433"/>
    <w:rsid w:val="00F63B24"/>
    <w:rsid w:val="00F86729"/>
    <w:rsid w:val="00F8757C"/>
    <w:rsid w:val="00F96AB5"/>
    <w:rsid w:val="00F97E16"/>
    <w:rsid w:val="00FA6AC4"/>
    <w:rsid w:val="00FB264C"/>
    <w:rsid w:val="00FB4E35"/>
    <w:rsid w:val="00FC3193"/>
    <w:rsid w:val="00FC334F"/>
    <w:rsid w:val="00FC72EF"/>
    <w:rsid w:val="00FD0917"/>
    <w:rsid w:val="00FD0CB6"/>
    <w:rsid w:val="00FD1BB2"/>
    <w:rsid w:val="00FD43B1"/>
    <w:rsid w:val="00FD4BC4"/>
    <w:rsid w:val="00FD69B3"/>
    <w:rsid w:val="00FF7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55"/>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845C55"/>
    <w:pPr>
      <w:spacing w:after="160" w:line="240" w:lineRule="exact"/>
    </w:pPr>
    <w:rPr>
      <w:rFonts w:ascii="Verdana" w:hAnsi="Verdana"/>
      <w:sz w:val="16"/>
      <w:szCs w:val="20"/>
      <w:lang w:val="en-US" w:eastAsia="en-US"/>
    </w:rPr>
  </w:style>
  <w:style w:type="paragraph" w:styleId="Footer">
    <w:name w:val="footer"/>
    <w:basedOn w:val="Normal"/>
    <w:rsid w:val="00845C55"/>
    <w:pPr>
      <w:tabs>
        <w:tab w:val="center" w:pos="4153"/>
        <w:tab w:val="right" w:pos="8306"/>
      </w:tabs>
    </w:pPr>
    <w:rPr>
      <w:szCs w:val="20"/>
    </w:rPr>
  </w:style>
  <w:style w:type="paragraph" w:styleId="BodyText">
    <w:name w:val="Body Text"/>
    <w:basedOn w:val="Normal"/>
    <w:rsid w:val="00845C55"/>
    <w:pPr>
      <w:spacing w:after="120"/>
    </w:pPr>
  </w:style>
  <w:style w:type="character" w:styleId="Emphasis">
    <w:name w:val="Emphasis"/>
    <w:basedOn w:val="DefaultParagraphFont"/>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yperlink">
    <w:name w:val="Hyperlink"/>
    <w:unhideWhenUsed/>
    <w:rsid w:val="00CE35F6"/>
    <w:rPr>
      <w:color w:val="0000FF"/>
      <w:u w:val="single"/>
    </w:rPr>
  </w:style>
  <w:style w:type="character" w:styleId="PageNumber">
    <w:name w:val="page number"/>
    <w:basedOn w:val="DefaultParagraphFont"/>
    <w:rsid w:val="0050419E"/>
  </w:style>
  <w:style w:type="paragraph" w:styleId="BalloonText">
    <w:name w:val="Balloon Text"/>
    <w:basedOn w:val="Normal"/>
    <w:link w:val="BalloonTextChar"/>
    <w:uiPriority w:val="99"/>
    <w:semiHidden/>
    <w:unhideWhenUsed/>
    <w:rsid w:val="0055270D"/>
    <w:rPr>
      <w:rFonts w:ascii="Tahoma" w:hAnsi="Tahoma" w:cs="Tahoma"/>
      <w:sz w:val="16"/>
      <w:szCs w:val="16"/>
    </w:rPr>
  </w:style>
  <w:style w:type="character" w:customStyle="1" w:styleId="BalloonTextChar">
    <w:name w:val="Balloon Text Char"/>
    <w:basedOn w:val="DefaultParagraphFont"/>
    <w:link w:val="BalloonText"/>
    <w:uiPriority w:val="99"/>
    <w:semiHidden/>
    <w:rsid w:val="0055270D"/>
    <w:rPr>
      <w:rFonts w:ascii="Tahoma" w:hAnsi="Tahoma" w:cs="Tahoma"/>
      <w:sz w:val="16"/>
      <w:szCs w:val="16"/>
      <w:lang w:val="lt-LT" w:eastAsia="lt-LT"/>
    </w:rPr>
  </w:style>
  <w:style w:type="table" w:styleId="TableGrid">
    <w:name w:val="Table Grid"/>
    <w:basedOn w:val="TableNormal"/>
    <w:uiPriority w:val="59"/>
    <w:rsid w:val="00765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mes New Roman" pitchFamily="18" charset="0"/>
                <a:ea typeface="Arial"/>
                <a:cs typeface="Times New Roman" pitchFamily="18" charset="0"/>
              </a:defRPr>
            </a:pPr>
            <a:r>
              <a:rPr lang="lt-LT" sz="1200" b="0" i="0" u="none" strike="noStrike" baseline="0">
                <a:solidFill>
                  <a:srgbClr val="000000"/>
                </a:solidFill>
                <a:latin typeface="Times New Roman" pitchFamily="18" charset="0"/>
                <a:cs typeface="Times New Roman" pitchFamily="18" charset="0"/>
              </a:rPr>
              <a:t>1 diagrama. Panevėžio miesto plėtros  Strateginio plano priemonių vykdymas už 201</a:t>
            </a:r>
            <a:r>
              <a:rPr lang="en-US" sz="1200" b="0" i="0" u="none" strike="noStrike" baseline="0">
                <a:solidFill>
                  <a:srgbClr val="000000"/>
                </a:solidFill>
                <a:latin typeface="Times New Roman" pitchFamily="18" charset="0"/>
                <a:cs typeface="Times New Roman" pitchFamily="18" charset="0"/>
              </a:rPr>
              <a:t>4</a:t>
            </a:r>
            <a:r>
              <a:rPr lang="lt-LT" sz="1200" b="0" i="0" u="none" strike="noStrike" baseline="0">
                <a:solidFill>
                  <a:srgbClr val="000000"/>
                </a:solidFill>
                <a:latin typeface="Times New Roman" pitchFamily="18" charset="0"/>
                <a:cs typeface="Times New Roman" pitchFamily="18" charset="0"/>
              </a:rPr>
              <a:t> metus </a:t>
            </a:r>
          </a:p>
        </c:rich>
      </c:tx>
      <c:layout>
        <c:manualLayout>
          <c:xMode val="edge"/>
          <c:yMode val="edge"/>
          <c:x val="0.16060400677763401"/>
          <c:y val="2.7874497339208756E-2"/>
        </c:manualLayout>
      </c:layout>
      <c:spPr>
        <a:noFill/>
        <a:ln w="25400">
          <a:noFill/>
        </a:ln>
      </c:spPr>
    </c:title>
    <c:plotArea>
      <c:layout>
        <c:manualLayout>
          <c:layoutTarget val="inner"/>
          <c:xMode val="edge"/>
          <c:yMode val="edge"/>
          <c:x val="0.224032586558045"/>
          <c:y val="0.27874564459930279"/>
          <c:w val="0.31839782756279789"/>
          <c:h val="0.49316508937960246"/>
        </c:manualLayout>
      </c:layout>
      <c:pieChart>
        <c:varyColors val="1"/>
        <c:ser>
          <c:idx val="0"/>
          <c:order val="0"/>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showPercent val="1"/>
            <c:showLeaderLines val="1"/>
          </c:dLbls>
          <c:cat>
            <c:strRef>
              <c:f>rodikliai!$C$5:$C$6</c:f>
              <c:strCache>
                <c:ptCount val="2"/>
                <c:pt idx="0">
                  <c:v>Vykdoma arba iš dalies vykdoma  priemonių</c:v>
                </c:pt>
                <c:pt idx="1">
                  <c:v>Nevykdoma priemonių</c:v>
                </c:pt>
              </c:strCache>
            </c:strRef>
          </c:cat>
          <c:val>
            <c:numRef>
              <c:f>rodikliai!$D$5:$D$6</c:f>
              <c:numCache>
                <c:formatCode>General</c:formatCode>
                <c:ptCount val="2"/>
                <c:pt idx="0">
                  <c:v>107</c:v>
                </c:pt>
                <c:pt idx="1">
                  <c:v>17</c:v>
                </c:pt>
              </c:numCache>
            </c:numRef>
          </c:val>
        </c:ser>
        <c:dLbls>
          <c:showPercent val="1"/>
        </c:dLbls>
        <c:firstSliceAng val="0"/>
      </c:pieChart>
      <c:spPr>
        <a:noFill/>
        <a:ln w="25400">
          <a:noFill/>
        </a:ln>
      </c:spPr>
    </c:plotArea>
    <c:legend>
      <c:legendPos val="r"/>
      <c:layout>
        <c:manualLayout>
          <c:xMode val="edge"/>
          <c:yMode val="edge"/>
          <c:x val="0.69857426049591953"/>
          <c:y val="0.53310088532511413"/>
          <c:w val="0.28513239642512955"/>
          <c:h val="0.2762275357782113"/>
        </c:manualLayout>
      </c:layout>
      <c:spPr>
        <a:solidFill>
          <a:srgbClr val="FFFFFF"/>
        </a:solidFill>
        <a:ln w="25400">
          <a:noFill/>
        </a:ln>
      </c:spPr>
      <c:txPr>
        <a:bodyPr/>
        <a:lstStyle/>
        <a:p>
          <a:pPr>
            <a:defRPr sz="920" b="0" i="0" u="none" strike="noStrike" baseline="0">
              <a:solidFill>
                <a:srgbClr val="000000"/>
              </a:solidFill>
              <a:latin typeface="Times New Roman" pitchFamily="18" charset="0"/>
              <a:ea typeface="Times New Roman"/>
              <a:cs typeface="Times New Roman" pitchFamily="18" charset="0"/>
            </a:defRPr>
          </a:pPr>
          <a:endParaRPr lang="en-US"/>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2737642585551381E-2"/>
          <c:y val="0.11538461538461539"/>
          <c:w val="0.9201520912547525"/>
          <c:h val="0.68681318681318682"/>
        </c:manualLayout>
      </c:layout>
      <c:lineChart>
        <c:grouping val="standard"/>
        <c:ser>
          <c:idx val="0"/>
          <c:order val="0"/>
          <c:tx>
            <c:strRef>
              <c:f>Sheet1!$A$2</c:f>
              <c:strCache>
                <c:ptCount val="1"/>
                <c:pt idx="0">
                  <c:v>East</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Sheet1!$B$1:$G$1</c:f>
              <c:numCache>
                <c:formatCode>General</c:formatCode>
                <c:ptCount val="6"/>
                <c:pt idx="0">
                  <c:v>2010</c:v>
                </c:pt>
                <c:pt idx="1">
                  <c:v>2011</c:v>
                </c:pt>
                <c:pt idx="2">
                  <c:v>2012</c:v>
                </c:pt>
                <c:pt idx="3">
                  <c:v>2013</c:v>
                </c:pt>
                <c:pt idx="4">
                  <c:v>2014</c:v>
                </c:pt>
              </c:numCache>
            </c:numRef>
          </c:cat>
          <c:val>
            <c:numRef>
              <c:f>Sheet1!$B$2:$G$2</c:f>
              <c:numCache>
                <c:formatCode>General</c:formatCode>
                <c:ptCount val="6"/>
                <c:pt idx="0">
                  <c:v>18.3</c:v>
                </c:pt>
                <c:pt idx="1">
                  <c:v>16.600000000000001</c:v>
                </c:pt>
                <c:pt idx="2">
                  <c:v>13.7</c:v>
                </c:pt>
                <c:pt idx="3">
                  <c:v>14.4</c:v>
                </c:pt>
                <c:pt idx="4">
                  <c:v>9.6</c:v>
                </c:pt>
              </c:numCache>
            </c:numRef>
          </c:val>
        </c:ser>
        <c:ser>
          <c:idx val="1"/>
          <c:order val="1"/>
          <c:tx>
            <c:strRef>
              <c:f>Sheet1!$A$3</c:f>
              <c:strCache>
                <c:ptCount val="1"/>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numRef>
              <c:f>Sheet1!$B$1:$G$1</c:f>
              <c:numCache>
                <c:formatCode>General</c:formatCode>
                <c:ptCount val="6"/>
                <c:pt idx="0">
                  <c:v>2010</c:v>
                </c:pt>
                <c:pt idx="1">
                  <c:v>2011</c:v>
                </c:pt>
                <c:pt idx="2">
                  <c:v>2012</c:v>
                </c:pt>
                <c:pt idx="3">
                  <c:v>2013</c:v>
                </c:pt>
                <c:pt idx="4">
                  <c:v>2014</c:v>
                </c:pt>
              </c:numCache>
            </c:numRef>
          </c:cat>
          <c:val>
            <c:numRef>
              <c:f>Sheet1!$B$3:$G$3</c:f>
              <c:numCache>
                <c:formatCode>General</c:formatCode>
                <c:ptCount val="6"/>
              </c:numCache>
            </c:numRef>
          </c:val>
        </c:ser>
        <c:marker val="1"/>
        <c:axId val="70518656"/>
        <c:axId val="70520832"/>
      </c:lineChart>
      <c:catAx>
        <c:axId val="70518656"/>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70520832"/>
        <c:crosses val="autoZero"/>
        <c:auto val="1"/>
        <c:lblAlgn val="ctr"/>
        <c:lblOffset val="100"/>
        <c:tickLblSkip val="1"/>
        <c:tickMarkSkip val="1"/>
      </c:catAx>
      <c:valAx>
        <c:axId val="7052083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70518656"/>
        <c:crosses val="autoZero"/>
        <c:crossBetween val="between"/>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1227436823104682E-2"/>
          <c:y val="0.11538461538461539"/>
          <c:w val="0.9025270758122701"/>
          <c:h val="0.68681318681318682"/>
        </c:manualLayout>
      </c:layout>
      <c:lineChart>
        <c:grouping val="standard"/>
        <c:ser>
          <c:idx val="0"/>
          <c:order val="0"/>
          <c:tx>
            <c:strRef>
              <c:f>Sheet1!$A$2</c:f>
              <c:strCache>
                <c:ptCount val="1"/>
                <c:pt idx="0">
                  <c:v>East</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0845697824910209E-2"/>
                  <c:y val="-8.0366240277657597E-2"/>
                </c:manualLayout>
              </c:layout>
              <c:dLblPos val="r"/>
              <c:showVal val="1"/>
            </c:dLbl>
            <c:dLbl>
              <c:idx val="1"/>
              <c:layout>
                <c:manualLayout>
                  <c:x val="-1.1820400858372732E-2"/>
                  <c:y val="1.876394657398596E-2"/>
                </c:manualLayout>
              </c:layout>
              <c:dLblPos val="r"/>
              <c:showVal val="1"/>
            </c:dLbl>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3458</c:v>
                </c:pt>
                <c:pt idx="1">
                  <c:v>3191</c:v>
                </c:pt>
                <c:pt idx="2">
                  <c:v>3235</c:v>
                </c:pt>
                <c:pt idx="3">
                  <c:v>3323</c:v>
                </c:pt>
                <c:pt idx="4">
                  <c:v>3328</c:v>
                </c:pt>
              </c:numCache>
            </c:numRef>
          </c:val>
        </c:ser>
        <c:ser>
          <c:idx val="1"/>
          <c:order val="1"/>
          <c:tx>
            <c:strRef>
              <c:f>Sheet1!$A$3</c:f>
              <c:strCache>
                <c:ptCount val="1"/>
              </c:strCache>
            </c:strRef>
          </c:tx>
          <c:spPr>
            <a:ln w="12700">
              <a:solidFill>
                <a:srgbClr val="FF00FF"/>
              </a:solidFill>
              <a:prstDash val="solid"/>
            </a:ln>
          </c:spPr>
          <c:marker>
            <c:symbol val="square"/>
            <c:size val="4"/>
            <c:spPr>
              <a:solidFill>
                <a:srgbClr val="FF00FF"/>
              </a:solidFill>
              <a:ln>
                <a:solidFill>
                  <a:srgbClr val="FF00FF"/>
                </a:solidFill>
                <a:prstDash val="solid"/>
              </a:ln>
            </c:spPr>
          </c:marker>
          <c:cat>
            <c:numRef>
              <c:f>Sheet1!$B$1:$F$1</c:f>
              <c:numCache>
                <c:formatCode>General</c:formatCode>
                <c:ptCount val="5"/>
                <c:pt idx="0">
                  <c:v>2010</c:v>
                </c:pt>
                <c:pt idx="1">
                  <c:v>2011</c:v>
                </c:pt>
                <c:pt idx="2">
                  <c:v>2012</c:v>
                </c:pt>
                <c:pt idx="3">
                  <c:v>2013</c:v>
                </c:pt>
                <c:pt idx="4">
                  <c:v>2014</c:v>
                </c:pt>
              </c:numCache>
            </c:numRef>
          </c:cat>
          <c:val>
            <c:numRef>
              <c:f>Sheet1!$B$3:$F$3</c:f>
              <c:numCache>
                <c:formatCode>General</c:formatCode>
                <c:ptCount val="5"/>
              </c:numCache>
            </c:numRef>
          </c:val>
        </c:ser>
        <c:marker val="1"/>
        <c:axId val="70540672"/>
        <c:axId val="70559232"/>
      </c:lineChart>
      <c:catAx>
        <c:axId val="70540672"/>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70559232"/>
        <c:crosses val="autoZero"/>
        <c:auto val="1"/>
        <c:lblAlgn val="ctr"/>
        <c:lblOffset val="100"/>
        <c:tickLblSkip val="1"/>
        <c:tickMarkSkip val="1"/>
      </c:catAx>
      <c:valAx>
        <c:axId val="7055923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70540672"/>
        <c:crosses val="autoZero"/>
        <c:crossBetween val="between"/>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Arial"/>
                <a:ea typeface="Arial"/>
                <a:cs typeface="Arial"/>
              </a:defRPr>
            </a:pPr>
            <a:r>
              <a:rPr lang="lt-LT"/>
              <a:t>11 diagrama. Panevėžio miesto strateginio plano II prioriteto veiksmų vykdymas 2014 m.</a:t>
            </a:r>
          </a:p>
        </c:rich>
      </c:tx>
      <c:layout>
        <c:manualLayout>
          <c:xMode val="edge"/>
          <c:yMode val="edge"/>
          <c:x val="0.13306177868295987"/>
          <c:y val="3.6764705882352942E-2"/>
        </c:manualLayout>
      </c:layout>
      <c:spPr>
        <a:noFill/>
        <a:ln w="25400">
          <a:noFill/>
        </a:ln>
      </c:spPr>
    </c:title>
    <c:plotArea>
      <c:layout>
        <c:manualLayout>
          <c:layoutTarget val="inner"/>
          <c:xMode val="edge"/>
          <c:yMode val="edge"/>
          <c:x val="0.22810590631364452"/>
          <c:y val="0.38235294117647539"/>
          <c:w val="0.23625254582484725"/>
          <c:h val="0.42647058823529793"/>
        </c:manualLayout>
      </c:layout>
      <c:pieChart>
        <c:varyColors val="1"/>
        <c:ser>
          <c:idx val="0"/>
          <c:order val="0"/>
          <c:spPr>
            <a:solidFill>
              <a:srgbClr val="9999FF"/>
            </a:solidFill>
            <a:ln w="12700">
              <a:solidFill>
                <a:srgbClr val="000000"/>
              </a:solidFill>
              <a:prstDash val="solid"/>
            </a:ln>
          </c:spPr>
          <c:explosion val="28"/>
          <c:dPt>
            <c:idx val="1"/>
            <c:spPr>
              <a:solidFill>
                <a:srgbClr val="993366"/>
              </a:solidFill>
              <a:ln w="12700">
                <a:solidFill>
                  <a:srgbClr val="000000"/>
                </a:solidFill>
                <a:prstDash val="solid"/>
              </a:ln>
            </c:spPr>
          </c:dPt>
          <c:dLbls>
            <c:dLbl>
              <c:idx val="0"/>
              <c:tx>
                <c:rich>
                  <a:bodyPr/>
                  <a:lstStyle/>
                  <a:p>
                    <a:r>
                      <a:rPr lang="lt-LT"/>
                      <a:t>90,2</a:t>
                    </a:r>
                    <a:r>
                      <a:rPr lang="en-US"/>
                      <a:t>%</a:t>
                    </a:r>
                  </a:p>
                </c:rich>
              </c:tx>
              <c:showPercent val="1"/>
            </c:dLbl>
            <c:dLbl>
              <c:idx val="1"/>
              <c:tx>
                <c:rich>
                  <a:bodyPr/>
                  <a:lstStyle/>
                  <a:p>
                    <a:r>
                      <a:rPr lang="lt-LT"/>
                      <a:t>9,8</a:t>
                    </a:r>
                    <a:r>
                      <a:rPr lang="en-US"/>
                      <a:t>%</a:t>
                    </a:r>
                  </a:p>
                </c:rich>
              </c:tx>
              <c:showPercent val="1"/>
            </c:dLbl>
            <c:numFmt formatCode="0%" sourceLinked="0"/>
            <c:spPr>
              <a:noFill/>
              <a:ln w="25400">
                <a:noFill/>
              </a:ln>
            </c:spPr>
            <c:txPr>
              <a:bodyPr/>
              <a:lstStyle/>
              <a:p>
                <a:pPr>
                  <a:defRPr sz="950" b="0" i="0" u="none" strike="noStrike" baseline="0">
                    <a:solidFill>
                      <a:srgbClr val="000000"/>
                    </a:solidFill>
                    <a:latin typeface="Arial"/>
                    <a:ea typeface="Arial"/>
                    <a:cs typeface="Arial"/>
                  </a:defRPr>
                </a:pPr>
                <a:endParaRPr lang="en-US"/>
              </a:p>
            </c:txPr>
            <c:showPercent val="1"/>
            <c:showLeaderLines val="1"/>
          </c:dLbls>
          <c:cat>
            <c:strRef>
              <c:f>rodikliai!$C$110:$C$111</c:f>
              <c:strCache>
                <c:ptCount val="2"/>
                <c:pt idx="0">
                  <c:v>Vykdoma (arba dalinai vykdoma) priemonių</c:v>
                </c:pt>
                <c:pt idx="1">
                  <c:v>Nevykdoma priemonių</c:v>
                </c:pt>
              </c:strCache>
            </c:strRef>
          </c:cat>
          <c:val>
            <c:numRef>
              <c:f>rodikliai!$D$110:$D$111</c:f>
              <c:numCache>
                <c:formatCode>General</c:formatCode>
                <c:ptCount val="2"/>
                <c:pt idx="0">
                  <c:v>33</c:v>
                </c:pt>
                <c:pt idx="1">
                  <c:v>8</c:v>
                </c:pt>
              </c:numCache>
            </c:numRef>
          </c:val>
        </c:ser>
        <c:dLbls>
          <c:showPercent val="1"/>
        </c:dLbls>
        <c:firstSliceAng val="0"/>
      </c:pieChart>
      <c:spPr>
        <a:noFill/>
        <a:ln w="25400">
          <a:noFill/>
        </a:ln>
      </c:spPr>
    </c:plotArea>
    <c:legend>
      <c:legendPos val="r"/>
      <c:layout>
        <c:manualLayout>
          <c:xMode val="edge"/>
          <c:yMode val="edge"/>
          <c:x val="0.6863543788187374"/>
          <c:y val="0.36521913534393108"/>
          <c:w val="0.29938900203666258"/>
          <c:h val="0.37007477838855152"/>
        </c:manualLayout>
      </c:layout>
      <c:spPr>
        <a:solidFill>
          <a:srgbClr val="FFFFFF"/>
        </a:solidFill>
        <a:ln w="25400">
          <a:noFill/>
        </a:ln>
      </c:spPr>
      <c:txPr>
        <a:bodyPr/>
        <a:lstStyle/>
        <a:p>
          <a:pPr>
            <a:defRPr sz="870" b="0" i="0" u="none" strike="noStrike" baseline="0">
              <a:solidFill>
                <a:srgbClr val="000000"/>
              </a:solidFill>
              <a:latin typeface="Arial"/>
              <a:ea typeface="Arial"/>
              <a:cs typeface="Arial"/>
            </a:defRPr>
          </a:pPr>
          <a:endParaRPr lang="en-US"/>
        </a:p>
      </c:txPr>
    </c:legend>
    <c:plotVisOnly val="1"/>
    <c:dispBlanksAs val="zero"/>
  </c:chart>
  <c:spPr>
    <a:solidFill>
      <a:srgbClr val="FFFFFF"/>
    </a:solidFill>
    <a:ln w="9525">
      <a:noFill/>
    </a:ln>
  </c:spPr>
  <c:txPr>
    <a:bodyPr/>
    <a:lstStyle/>
    <a:p>
      <a:pPr>
        <a:defRPr sz="950" b="0" i="0" u="none" strike="noStrike" baseline="0">
          <a:solidFill>
            <a:srgbClr val="000000"/>
          </a:solidFill>
          <a:latin typeface="Arial"/>
          <a:ea typeface="Arial"/>
          <a:cs typeface="Arial"/>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2558983666061703E-2"/>
          <c:y val="0.11538461538461539"/>
          <c:w val="0.65589441104808166"/>
          <c:h val="0.68681318681318682"/>
        </c:manualLayout>
      </c:layout>
      <c:lineChart>
        <c:grouping val="standard"/>
        <c:ser>
          <c:idx val="0"/>
          <c:order val="0"/>
          <c:tx>
            <c:strRef>
              <c:f>Sheet1!$A$2</c:f>
              <c:strCache>
                <c:ptCount val="1"/>
                <c:pt idx="0">
                  <c:v>Gyventojų registro tarnybos duomenys</c:v>
                </c:pt>
              </c:strCache>
            </c:strRef>
          </c:tx>
          <c:spPr>
            <a:ln w="12632">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0858502424136596E-2"/>
                  <c:y val="-8.0682811283204994E-2"/>
                </c:manualLayout>
              </c:layout>
              <c:dLblPos val="r"/>
              <c:showVal val="1"/>
            </c:dLbl>
            <c:dLbl>
              <c:idx val="1"/>
              <c:layout>
                <c:manualLayout>
                  <c:x val="-8.6805958380352984E-3"/>
                  <c:y val="-9.2324649322681265E-2"/>
                </c:manualLayout>
              </c:layout>
              <c:dLblPos val="r"/>
              <c:showVal val="1"/>
            </c:dLbl>
            <c:dLbl>
              <c:idx val="2"/>
              <c:layout>
                <c:manualLayout>
                  <c:x val="-3.5540801774619615E-2"/>
                  <c:y val="4.4385900079797813E-2"/>
                </c:manualLayout>
              </c:layout>
              <c:dLblPos val="r"/>
              <c:showVal val="1"/>
            </c:dLbl>
            <c:dLbl>
              <c:idx val="3"/>
              <c:layout>
                <c:manualLayout>
                  <c:x val="-2.2473602992511138E-2"/>
                  <c:y val="5.8018781306182994E-2"/>
                </c:manualLayout>
              </c:layout>
              <c:dLblPos val="r"/>
              <c:showVal val="1"/>
            </c:dLbl>
            <c:dLbl>
              <c:idx val="4"/>
              <c:layout>
                <c:manualLayout>
                  <c:x val="-2.392546047174527E-2"/>
                  <c:y val="4.345860613577153E-2"/>
                </c:manualLayout>
              </c:layout>
              <c:dLblPos val="r"/>
              <c:showVal val="1"/>
            </c:dLbl>
            <c:spPr>
              <a:noFill/>
              <a:ln w="25265">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109399</c:v>
                </c:pt>
                <c:pt idx="1">
                  <c:v>108135</c:v>
                </c:pt>
                <c:pt idx="2">
                  <c:v>107115</c:v>
                </c:pt>
                <c:pt idx="3">
                  <c:v>106187</c:v>
                </c:pt>
                <c:pt idx="4">
                  <c:v>105118</c:v>
                </c:pt>
              </c:numCache>
            </c:numRef>
          </c:val>
        </c:ser>
        <c:ser>
          <c:idx val="1"/>
          <c:order val="1"/>
          <c:tx>
            <c:strRef>
              <c:f>Sheet1!$A$3</c:f>
              <c:strCache>
                <c:ptCount val="1"/>
                <c:pt idx="0">
                  <c:v>Statistikos departamento duomenys</c:v>
                </c:pt>
              </c:strCache>
            </c:strRef>
          </c:tx>
          <c:spPr>
            <a:ln w="12632">
              <a:solidFill>
                <a:srgbClr val="FF00FF"/>
              </a:solidFill>
              <a:prstDash val="solid"/>
            </a:ln>
          </c:spPr>
          <c:marker>
            <c:symbol val="square"/>
            <c:size val="4"/>
            <c:spPr>
              <a:solidFill>
                <a:srgbClr val="FF00FF"/>
              </a:solidFill>
              <a:ln>
                <a:solidFill>
                  <a:srgbClr val="FF00FF"/>
                </a:solidFill>
                <a:prstDash val="solid"/>
              </a:ln>
            </c:spPr>
          </c:marker>
          <c:dLbls>
            <c:spPr>
              <a:noFill/>
              <a:ln w="25265">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Sheet1!$B$3:$F$3</c:f>
              <c:numCache>
                <c:formatCode>General</c:formatCode>
                <c:ptCount val="5"/>
                <c:pt idx="0">
                  <c:v>101564</c:v>
                </c:pt>
                <c:pt idx="1">
                  <c:v>99248</c:v>
                </c:pt>
                <c:pt idx="2">
                  <c:v>97906</c:v>
                </c:pt>
                <c:pt idx="3">
                  <c:v>96836</c:v>
                </c:pt>
                <c:pt idx="4">
                  <c:v>95765</c:v>
                </c:pt>
              </c:numCache>
            </c:numRef>
          </c:val>
        </c:ser>
        <c:dLbls>
          <c:showVal val="1"/>
        </c:dLbls>
        <c:marker val="1"/>
        <c:axId val="77652736"/>
        <c:axId val="77654272"/>
      </c:lineChart>
      <c:catAx>
        <c:axId val="77652736"/>
        <c:scaling>
          <c:orientation val="minMax"/>
        </c:scaling>
        <c:axPos val="b"/>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77654272"/>
        <c:crosses val="autoZero"/>
        <c:auto val="1"/>
        <c:lblAlgn val="ctr"/>
        <c:lblOffset val="100"/>
        <c:tickLblSkip val="1"/>
        <c:tickMarkSkip val="1"/>
      </c:catAx>
      <c:valAx>
        <c:axId val="77654272"/>
        <c:scaling>
          <c:orientation val="minMax"/>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77652736"/>
        <c:crosses val="autoZero"/>
        <c:crossBetween val="between"/>
      </c:valAx>
      <c:spPr>
        <a:solidFill>
          <a:srgbClr val="C0C0C0"/>
        </a:solidFill>
        <a:ln w="12632">
          <a:solidFill>
            <a:srgbClr val="808080"/>
          </a:solidFill>
          <a:prstDash val="solid"/>
        </a:ln>
      </c:spPr>
    </c:plotArea>
    <c:legend>
      <c:legendPos val="r"/>
      <c:layout>
        <c:manualLayout>
          <c:xMode val="edge"/>
          <c:yMode val="edge"/>
          <c:x val="0.77138129239221453"/>
          <c:y val="0.14423064304461938"/>
          <c:w val="0.22135918494059217"/>
          <c:h val="0.70146544181977255"/>
        </c:manualLayout>
      </c:layout>
      <c:spPr>
        <a:noFill/>
        <a:ln w="3158">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377245508982042"/>
          <c:y val="0.12352941176470589"/>
          <c:w val="0.86826347305389806"/>
          <c:h val="0.66470588235294625"/>
        </c:manualLayout>
      </c:layout>
      <c:barChart>
        <c:barDir val="col"/>
        <c:grouping val="clustered"/>
        <c:ser>
          <c:idx val="0"/>
          <c:order val="0"/>
          <c:tx>
            <c:strRef>
              <c:f>Sheet1!$A$2</c:f>
              <c:strCache>
                <c:ptCount val="1"/>
                <c:pt idx="0">
                  <c:v>East</c:v>
                </c:pt>
              </c:strCache>
            </c:strRef>
          </c:tx>
          <c:spPr>
            <a:ln w="12699">
              <a:solidFill>
                <a:srgbClr val="000080"/>
              </a:solidFill>
              <a:prstDash val="solid"/>
            </a:ln>
          </c:spPr>
          <c:dLbls>
            <c:dLbl>
              <c:idx val="1"/>
              <c:layout>
                <c:manualLayout>
                  <c:x val="-1.6352887395924842E-2"/>
                  <c:y val="7.7981918926800899E-4"/>
                </c:manualLayout>
              </c:layout>
              <c:showVal val="1"/>
            </c:dLbl>
            <c:dLbl>
              <c:idx val="2"/>
              <c:layout>
                <c:manualLayout>
                  <c:x val="-3.1239040325438804E-2"/>
                  <c:y val="-4.0863225430154563E-3"/>
                </c:manualLayout>
              </c:layout>
              <c:showVal val="1"/>
            </c:dLbl>
            <c:dLbl>
              <c:idx val="3"/>
              <c:layout>
                <c:manualLayout>
                  <c:x val="0"/>
                  <c:y val="-6.6666666666666735E-2"/>
                </c:manualLayout>
              </c:layout>
              <c:showVal val="1"/>
            </c:dLbl>
            <c:spPr>
              <a:noFill/>
              <a:ln w="25398">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34049.5</c:v>
                </c:pt>
                <c:pt idx="1">
                  <c:v>34231.599999999999</c:v>
                </c:pt>
                <c:pt idx="2">
                  <c:v>34290.400000000001</c:v>
                </c:pt>
                <c:pt idx="3">
                  <c:v>33877.699999999997</c:v>
                </c:pt>
                <c:pt idx="4">
                  <c:v>33522.9</c:v>
                </c:pt>
              </c:numCache>
            </c:numRef>
          </c:val>
        </c:ser>
        <c:axId val="80086912"/>
        <c:axId val="80088448"/>
      </c:barChart>
      <c:catAx>
        <c:axId val="80086912"/>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0088448"/>
        <c:crosses val="autoZero"/>
        <c:auto val="1"/>
        <c:lblAlgn val="ctr"/>
        <c:lblOffset val="100"/>
        <c:tickLblSkip val="1"/>
        <c:tickMarkSkip val="1"/>
      </c:catAx>
      <c:valAx>
        <c:axId val="80088448"/>
        <c:scaling>
          <c:orientation val="minMax"/>
          <c:max val="50000"/>
          <c:min val="0"/>
        </c:scaling>
        <c:axPos val="l"/>
        <c:majorGridlines>
          <c:spPr>
            <a:ln>
              <a:solidFill>
                <a:srgbClr val="000000"/>
              </a:solidFill>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0086912"/>
        <c:crosses val="autoZero"/>
        <c:crossBetween val="between"/>
        <c:majorUnit val="70000"/>
        <c:minorUnit val="1000"/>
      </c:valAx>
      <c:spPr>
        <a:ln w="12699">
          <a:solidFill>
            <a:srgbClr val="808080"/>
          </a:solidFill>
          <a:prstDash val="solid"/>
        </a:ln>
      </c:spPr>
    </c:plotArea>
    <c:plotVisOnly val="1"/>
    <c:dispBlanksAs val="zero"/>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2558983666061703E-2"/>
          <c:y val="0.11538461538461539"/>
          <c:w val="0.56987295825771322"/>
          <c:h val="0.68681318681318682"/>
        </c:manualLayout>
      </c:layout>
      <c:lineChart>
        <c:grouping val="standard"/>
        <c:ser>
          <c:idx val="0"/>
          <c:order val="0"/>
          <c:tx>
            <c:strRef>
              <c:f>Sheet1!$A$2</c:f>
              <c:strCache>
                <c:ptCount val="1"/>
                <c:pt idx="0">
                  <c:v>Ikimokyklinio ir priešmokyklinio ugdymo įstaigas lankančių vaikų skaičius</c:v>
                </c:pt>
              </c:strCache>
            </c:strRef>
          </c:tx>
          <c:spPr>
            <a:ln w="12632">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0858502424136596E-2"/>
                  <c:y val="-8.0682811283204994E-2"/>
                </c:manualLayout>
              </c:layout>
              <c:dLblPos val="r"/>
              <c:showVal val="1"/>
            </c:dLbl>
            <c:dLbl>
              <c:idx val="1"/>
              <c:layout>
                <c:manualLayout>
                  <c:x val="-8.6805958380352898E-3"/>
                  <c:y val="-9.2324649322681265E-2"/>
                </c:manualLayout>
              </c:layout>
              <c:dLblPos val="r"/>
              <c:showVal val="1"/>
            </c:dLbl>
            <c:dLbl>
              <c:idx val="2"/>
              <c:layout>
                <c:manualLayout>
                  <c:x val="-3.5540801774619615E-2"/>
                  <c:y val="4.4385900079797813E-2"/>
                </c:manualLayout>
              </c:layout>
              <c:dLblPos val="r"/>
              <c:showVal val="1"/>
            </c:dLbl>
            <c:dLbl>
              <c:idx val="3"/>
              <c:layout>
                <c:manualLayout>
                  <c:x val="-2.2473602992511117E-2"/>
                  <c:y val="5.8018781306182994E-2"/>
                </c:manualLayout>
              </c:layout>
              <c:dLblPos val="r"/>
              <c:showVal val="1"/>
            </c:dLbl>
            <c:dLbl>
              <c:idx val="4"/>
              <c:layout>
                <c:manualLayout>
                  <c:x val="-2.392546047174527E-2"/>
                  <c:y val="4.345860613577153E-2"/>
                </c:manualLayout>
              </c:layout>
              <c:dLblPos val="r"/>
              <c:showVal val="1"/>
            </c:dLbl>
            <c:spPr>
              <a:noFill/>
              <a:ln w="25265">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4341</c:v>
                </c:pt>
                <c:pt idx="1">
                  <c:v>4348</c:v>
                </c:pt>
                <c:pt idx="2">
                  <c:v>4411</c:v>
                </c:pt>
                <c:pt idx="3">
                  <c:v>4439</c:v>
                </c:pt>
                <c:pt idx="4">
                  <c:v>4480</c:v>
                </c:pt>
              </c:numCache>
            </c:numRef>
          </c:val>
        </c:ser>
        <c:ser>
          <c:idx val="1"/>
          <c:order val="1"/>
          <c:tx>
            <c:strRef>
              <c:f>Sheet1!$A$3</c:f>
              <c:strCache>
                <c:ptCount val="1"/>
                <c:pt idx="0">
                  <c:v>Bendrojo ugdymo įstaigas lankančių mokinių skaičius</c:v>
                </c:pt>
              </c:strCache>
            </c:strRef>
          </c:tx>
          <c:spPr>
            <a:ln w="12632">
              <a:solidFill>
                <a:srgbClr val="FF00FF"/>
              </a:solidFill>
              <a:prstDash val="solid"/>
            </a:ln>
          </c:spPr>
          <c:marker>
            <c:symbol val="square"/>
            <c:size val="4"/>
            <c:spPr>
              <a:solidFill>
                <a:srgbClr val="FF00FF"/>
              </a:solidFill>
              <a:ln>
                <a:solidFill>
                  <a:srgbClr val="FF00FF"/>
                </a:solidFill>
                <a:prstDash val="solid"/>
              </a:ln>
            </c:spPr>
          </c:marker>
          <c:dLbls>
            <c:spPr>
              <a:noFill/>
              <a:ln w="25265">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14805</c:v>
                </c:pt>
                <c:pt idx="1">
                  <c:v>13876</c:v>
                </c:pt>
                <c:pt idx="2">
                  <c:v>13323</c:v>
                </c:pt>
                <c:pt idx="3">
                  <c:v>12586</c:v>
                </c:pt>
                <c:pt idx="4">
                  <c:v>11973</c:v>
                </c:pt>
              </c:numCache>
            </c:numRef>
          </c:val>
        </c:ser>
        <c:dLbls>
          <c:showVal val="1"/>
        </c:dLbls>
        <c:marker val="1"/>
        <c:axId val="80482304"/>
        <c:axId val="80483840"/>
      </c:lineChart>
      <c:catAx>
        <c:axId val="80482304"/>
        <c:scaling>
          <c:orientation val="minMax"/>
        </c:scaling>
        <c:axPos val="b"/>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80483840"/>
        <c:crosses val="autoZero"/>
        <c:auto val="1"/>
        <c:lblAlgn val="ctr"/>
        <c:lblOffset val="100"/>
        <c:tickLblSkip val="1"/>
        <c:tickMarkSkip val="1"/>
      </c:catAx>
      <c:valAx>
        <c:axId val="80483840"/>
        <c:scaling>
          <c:orientation val="minMax"/>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80482304"/>
        <c:crosses val="autoZero"/>
        <c:crossBetween val="between"/>
      </c:valAx>
      <c:spPr>
        <a:solidFill>
          <a:srgbClr val="C0C0C0"/>
        </a:solidFill>
        <a:ln w="12632">
          <a:solidFill>
            <a:srgbClr val="808080"/>
          </a:solidFill>
          <a:prstDash val="solid"/>
        </a:ln>
      </c:spPr>
    </c:plotArea>
    <c:legend>
      <c:legendPos val="r"/>
      <c:layout>
        <c:manualLayout>
          <c:xMode val="edge"/>
          <c:yMode val="edge"/>
          <c:x val="0.6805807622504535"/>
          <c:y val="0.14423064304461938"/>
          <c:w val="0.31215970961887712"/>
          <c:h val="0.70146544181977255"/>
        </c:manualLayout>
      </c:layout>
      <c:spPr>
        <a:noFill/>
        <a:ln w="3158">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4132756306225085E-2"/>
          <c:y val="0.1153844050743655"/>
          <c:w val="0.88326848249027234"/>
          <c:h val="0.68681318681318682"/>
        </c:manualLayout>
      </c:layout>
      <c:barChart>
        <c:barDir val="col"/>
        <c:grouping val="clustered"/>
        <c:ser>
          <c:idx val="0"/>
          <c:order val="0"/>
          <c:tx>
            <c:strRef>
              <c:f>Sheet1!$A$2</c:f>
              <c:strCache>
                <c:ptCount val="1"/>
                <c:pt idx="0">
                  <c:v>Kultura</c:v>
                </c:pt>
              </c:strCache>
            </c:strRef>
          </c:tx>
          <c:spPr>
            <a:ln w="12700">
              <a:solidFill>
                <a:srgbClr val="000080"/>
              </a:solidFill>
              <a:prstDash val="solid"/>
            </a:ln>
          </c:spPr>
          <c:dLbls>
            <c:dLbl>
              <c:idx val="0"/>
              <c:layout>
                <c:manualLayout>
                  <c:x val="0"/>
                  <c:y val="-5.5555555555555455E-2"/>
                </c:manualLayout>
              </c:layout>
              <c:showVal val="1"/>
            </c:dLbl>
            <c:dLbl>
              <c:idx val="1"/>
              <c:layout>
                <c:manualLayout>
                  <c:x val="-1.7811704834605653E-2"/>
                  <c:y val="-6.25E-2"/>
                </c:manualLayout>
              </c:layout>
              <c:showVal val="1"/>
            </c:dLbl>
            <c:dLbl>
              <c:idx val="2"/>
              <c:layout>
                <c:manualLayout>
                  <c:x val="-2.2900763358778626E-2"/>
                  <c:y val="-6.25E-2"/>
                </c:manualLayout>
              </c:layout>
              <c:showVal val="1"/>
            </c:dLbl>
            <c:dLbl>
              <c:idx val="3"/>
              <c:layout>
                <c:manualLayout>
                  <c:x val="-2.0356234096692107E-2"/>
                  <c:y val="-4.1666666666666637E-2"/>
                </c:manualLayout>
              </c:layout>
              <c:showVal val="1"/>
            </c:dLbl>
            <c:spPr>
              <a:noFill/>
              <a:ln w="25399">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2356.6</c:v>
                </c:pt>
                <c:pt idx="1">
                  <c:v>2195.3000000000002</c:v>
                </c:pt>
                <c:pt idx="2">
                  <c:v>2364.8000000000002</c:v>
                </c:pt>
                <c:pt idx="3">
                  <c:v>2238.6999999999998</c:v>
                </c:pt>
                <c:pt idx="4">
                  <c:v>2681.9</c:v>
                </c:pt>
              </c:numCache>
            </c:numRef>
          </c:val>
        </c:ser>
        <c:axId val="70227072"/>
        <c:axId val="70228608"/>
      </c:barChart>
      <c:catAx>
        <c:axId val="70227072"/>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70228608"/>
        <c:crosses val="autoZero"/>
        <c:auto val="1"/>
        <c:lblAlgn val="ctr"/>
        <c:lblOffset val="100"/>
        <c:tickLblSkip val="1"/>
        <c:tickMarkSkip val="1"/>
      </c:catAx>
      <c:valAx>
        <c:axId val="70228608"/>
        <c:scaling>
          <c:orientation val="minMax"/>
          <c:max val="10000"/>
        </c:scaling>
        <c:axPos val="l"/>
        <c:majorGridlines>
          <c:spPr>
            <a:ln w="3175">
              <a:solidFill>
                <a:srgbClr val="000000"/>
              </a:solidFill>
              <a:prstDash val="solid"/>
            </a:ln>
          </c:spPr>
        </c:majorGridlines>
        <c:min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70227072"/>
        <c:crosses val="autoZero"/>
        <c:crossBetween val="between"/>
        <c:majorUnit val="5000"/>
        <c:minorUnit val="1000"/>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4132756306225085E-2"/>
          <c:y val="0.10843996062992108"/>
          <c:w val="0.88326848249027268"/>
          <c:h val="0.68681318681318693"/>
        </c:manualLayout>
      </c:layout>
      <c:barChart>
        <c:barDir val="col"/>
        <c:grouping val="clustered"/>
        <c:ser>
          <c:idx val="0"/>
          <c:order val="0"/>
          <c:tx>
            <c:strRef>
              <c:f>Sheet1!$A$2</c:f>
              <c:strCache>
                <c:ptCount val="1"/>
                <c:pt idx="0">
                  <c:v>Kultura</c:v>
                </c:pt>
              </c:strCache>
            </c:strRef>
          </c:tx>
          <c:spPr>
            <a:ln w="12700">
              <a:solidFill>
                <a:srgbClr val="000080"/>
              </a:solidFill>
              <a:prstDash val="solid"/>
            </a:ln>
          </c:spPr>
          <c:dLbls>
            <c:dLbl>
              <c:idx val="0"/>
              <c:layout>
                <c:manualLayout>
                  <c:x val="-1.0178117048346057E-2"/>
                  <c:y val="0"/>
                </c:manualLayout>
              </c:layout>
              <c:showVal val="1"/>
            </c:dLbl>
            <c:dLbl>
              <c:idx val="1"/>
              <c:layout>
                <c:manualLayout>
                  <c:x val="-2.5445492977499987E-2"/>
                  <c:y val="-6.25E-2"/>
                </c:manualLayout>
              </c:layout>
              <c:showVal val="1"/>
            </c:dLbl>
            <c:dLbl>
              <c:idx val="2"/>
              <c:layout>
                <c:manualLayout>
                  <c:x val="-2.2900763358778626E-2"/>
                  <c:y val="0"/>
                </c:manualLayout>
              </c:layout>
              <c:showVal val="1"/>
            </c:dLbl>
            <c:dLbl>
              <c:idx val="3"/>
              <c:layout>
                <c:manualLayout>
                  <c:x val="2.5445292620865211E-3"/>
                  <c:y val="-6.944444444444451E-3"/>
                </c:manualLayout>
              </c:layout>
              <c:showVal val="1"/>
            </c:dLbl>
            <c:dLbl>
              <c:idx val="4"/>
              <c:layout>
                <c:manualLayout>
                  <c:x val="-2.5445292620865211E-3"/>
                  <c:y val="-4.1666666666666664E-2"/>
                </c:manualLayout>
              </c:layout>
              <c:showVal val="1"/>
            </c:dLbl>
            <c:spPr>
              <a:noFill/>
              <a:ln w="25399">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1746.7</c:v>
                </c:pt>
                <c:pt idx="1">
                  <c:v>2000.4</c:v>
                </c:pt>
                <c:pt idx="2">
                  <c:v>1796.2</c:v>
                </c:pt>
                <c:pt idx="3">
                  <c:v>1888</c:v>
                </c:pt>
                <c:pt idx="4">
                  <c:v>1952</c:v>
                </c:pt>
              </c:numCache>
            </c:numRef>
          </c:val>
        </c:ser>
        <c:axId val="94181248"/>
        <c:axId val="94182784"/>
      </c:barChart>
      <c:catAx>
        <c:axId val="94181248"/>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4182784"/>
        <c:crosses val="autoZero"/>
        <c:auto val="1"/>
        <c:lblAlgn val="ctr"/>
        <c:lblOffset val="100"/>
        <c:tickLblSkip val="1"/>
        <c:tickMarkSkip val="1"/>
      </c:catAx>
      <c:valAx>
        <c:axId val="94182784"/>
        <c:scaling>
          <c:orientation val="minMax"/>
          <c:max val="1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4181248"/>
        <c:crosses val="autoZero"/>
        <c:crossBetween val="between"/>
        <c:majorUnit val="5000"/>
        <c:minorUnit val="1000"/>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6798623063683523E-2"/>
          <c:y val="0.11538461538461539"/>
          <c:w val="0.66092943201378385"/>
          <c:h val="0.68681318681318682"/>
        </c:manualLayout>
      </c:layout>
      <c:lineChart>
        <c:grouping val="standard"/>
        <c:ser>
          <c:idx val="0"/>
          <c:order val="0"/>
          <c:tx>
            <c:strRef>
              <c:f>Sheet1!$A$2</c:f>
              <c:strCache>
                <c:ptCount val="1"/>
                <c:pt idx="0">
                  <c:v>Lietuvos Respublika</c:v>
                </c:pt>
              </c:strCache>
            </c:strRef>
          </c:tx>
          <c:spPr>
            <a:ln w="1263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2353395584588286E-2"/>
                  <c:y val="5.4550548969840414E-2"/>
                </c:manualLayout>
              </c:layout>
              <c:dLblPos val="r"/>
              <c:showVal val="1"/>
            </c:dLbl>
            <c:dLbl>
              <c:idx val="1"/>
              <c:layout>
                <c:manualLayout>
                  <c:x val="-2.0287902910587206E-2"/>
                  <c:y val="6.9660679434302014E-2"/>
                </c:manualLayout>
              </c:layout>
              <c:dLblPos val="r"/>
              <c:showVal val="1"/>
            </c:dLbl>
            <c:dLbl>
              <c:idx val="2"/>
              <c:layout>
                <c:manualLayout>
                  <c:x val="-1.0108848270040979E-3"/>
                  <c:y val="8.2023076442367782E-2"/>
                </c:manualLayout>
              </c:layout>
              <c:dLblPos val="r"/>
              <c:showVal val="1"/>
            </c:dLbl>
            <c:dLbl>
              <c:idx val="3"/>
              <c:layout>
                <c:manualLayout>
                  <c:x val="-1.7878266507564394E-2"/>
                  <c:y val="8.0649275811677357E-2"/>
                </c:manualLayout>
              </c:layout>
              <c:dLblPos val="r"/>
              <c:showVal val="1"/>
            </c:dLbl>
            <c:dLbl>
              <c:idx val="4"/>
              <c:layout>
                <c:manualLayout>
                  <c:x val="-1.0649262645955801E-2"/>
                  <c:y val="9.7132924490208009E-2"/>
                </c:manualLayout>
              </c:layout>
              <c:dLblPos val="r"/>
              <c:showVal val="1"/>
            </c:dLbl>
            <c:spPr>
              <a:noFill/>
              <a:ln w="2527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7.2</c:v>
                </c:pt>
                <c:pt idx="1">
                  <c:v>7.3</c:v>
                </c:pt>
                <c:pt idx="2">
                  <c:v>7.6</c:v>
                </c:pt>
                <c:pt idx="3">
                  <c:v>8</c:v>
                </c:pt>
                <c:pt idx="4">
                  <c:v>8.1</c:v>
                </c:pt>
              </c:numCache>
            </c:numRef>
          </c:val>
        </c:ser>
        <c:ser>
          <c:idx val="1"/>
          <c:order val="1"/>
          <c:tx>
            <c:strRef>
              <c:f>Sheet1!$A$3</c:f>
              <c:strCache>
                <c:ptCount val="1"/>
                <c:pt idx="0">
                  <c:v>Panevėžys</c:v>
                </c:pt>
              </c:strCache>
            </c:strRef>
          </c:tx>
          <c:spPr>
            <a:ln w="12635">
              <a:solidFill>
                <a:srgbClr val="FF00FF"/>
              </a:solidFill>
              <a:prstDash val="solid"/>
            </a:ln>
          </c:spPr>
          <c:marker>
            <c:symbol val="square"/>
            <c:size val="4"/>
            <c:spPr>
              <a:solidFill>
                <a:srgbClr val="FF00FF"/>
              </a:solidFill>
              <a:ln>
                <a:solidFill>
                  <a:srgbClr val="FF00FF"/>
                </a:solidFill>
                <a:prstDash val="solid"/>
              </a:ln>
            </c:spPr>
          </c:marker>
          <c:dLbls>
            <c:spPr>
              <a:noFill/>
              <a:ln w="2527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8.9</c:v>
                </c:pt>
                <c:pt idx="1">
                  <c:v>8.5</c:v>
                </c:pt>
                <c:pt idx="2">
                  <c:v>9.2000000000000011</c:v>
                </c:pt>
                <c:pt idx="3">
                  <c:v>9.4</c:v>
                </c:pt>
                <c:pt idx="4">
                  <c:v>9.9</c:v>
                </c:pt>
              </c:numCache>
            </c:numRef>
          </c:val>
        </c:ser>
        <c:marker val="1"/>
        <c:axId val="94384128"/>
        <c:axId val="94385664"/>
      </c:lineChart>
      <c:catAx>
        <c:axId val="94384128"/>
        <c:scaling>
          <c:orientation val="minMax"/>
        </c:scaling>
        <c:axPos val="b"/>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94385664"/>
        <c:crosses val="autoZero"/>
        <c:auto val="1"/>
        <c:lblAlgn val="ctr"/>
        <c:lblOffset val="100"/>
        <c:tickLblSkip val="1"/>
        <c:tickMarkSkip val="1"/>
      </c:catAx>
      <c:valAx>
        <c:axId val="94385664"/>
        <c:scaling>
          <c:orientation val="minMax"/>
        </c:scaling>
        <c:axPos val="l"/>
        <c:majorGridlines>
          <c:spPr>
            <a:ln w="3159">
              <a:solidFill>
                <a:srgbClr val="000000"/>
              </a:solidFill>
              <a:prstDash val="solid"/>
            </a:ln>
          </c:spPr>
        </c:majorGridlines>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94384128"/>
        <c:crosses val="autoZero"/>
        <c:crossBetween val="between"/>
      </c:valAx>
      <c:spPr>
        <a:solidFill>
          <a:srgbClr val="C0C0C0"/>
        </a:solidFill>
        <a:ln w="12635">
          <a:solidFill>
            <a:srgbClr val="808080"/>
          </a:solidFill>
          <a:prstDash val="solid"/>
        </a:ln>
      </c:spPr>
    </c:plotArea>
    <c:legend>
      <c:legendPos val="r"/>
      <c:layout>
        <c:manualLayout>
          <c:xMode val="edge"/>
          <c:yMode val="edge"/>
          <c:x val="0.73493975903614461"/>
          <c:y val="0.16837639739477014"/>
          <c:w val="0.25817555938037867"/>
          <c:h val="0.609347720423837"/>
        </c:manualLayout>
      </c:layout>
      <c:spPr>
        <a:noFill/>
        <a:ln w="3159">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6798623063683523E-2"/>
          <c:y val="0.11538461538461539"/>
          <c:w val="0.66092943201378462"/>
          <c:h val="0.68681318681318682"/>
        </c:manualLayout>
      </c:layout>
      <c:lineChart>
        <c:grouping val="standard"/>
        <c:ser>
          <c:idx val="0"/>
          <c:order val="0"/>
          <c:tx>
            <c:strRef>
              <c:f>Sheet1!$A$2</c:f>
              <c:strCache>
                <c:ptCount val="1"/>
                <c:pt idx="0">
                  <c:v>Socialinės pašalpos gavėjų skaičius</c:v>
                </c:pt>
              </c:strCache>
            </c:strRef>
          </c:tx>
          <c:spPr>
            <a:ln w="1263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2353395584588293E-2"/>
                  <c:y val="5.4550548969840414E-2"/>
                </c:manualLayout>
              </c:layout>
              <c:dLblPos val="r"/>
              <c:showVal val="1"/>
            </c:dLbl>
            <c:dLbl>
              <c:idx val="1"/>
              <c:layout>
                <c:manualLayout>
                  <c:x val="-2.0287902910587206E-2"/>
                  <c:y val="6.9660679434302014E-2"/>
                </c:manualLayout>
              </c:layout>
              <c:dLblPos val="r"/>
              <c:showVal val="1"/>
            </c:dLbl>
            <c:dLbl>
              <c:idx val="2"/>
              <c:layout>
                <c:manualLayout>
                  <c:x val="-1.0108848270040979E-3"/>
                  <c:y val="8.2023076442367782E-2"/>
                </c:manualLayout>
              </c:layout>
              <c:dLblPos val="r"/>
              <c:showVal val="1"/>
            </c:dLbl>
            <c:dLbl>
              <c:idx val="3"/>
              <c:layout>
                <c:manualLayout>
                  <c:x val="-1.7878266507564394E-2"/>
                  <c:y val="8.0649275811677357E-2"/>
                </c:manualLayout>
              </c:layout>
              <c:dLblPos val="r"/>
              <c:showVal val="1"/>
            </c:dLbl>
            <c:dLbl>
              <c:idx val="4"/>
              <c:layout>
                <c:manualLayout>
                  <c:x val="-1.0649262645955801E-2"/>
                  <c:y val="9.7132924490208009E-2"/>
                </c:manualLayout>
              </c:layout>
              <c:dLblPos val="r"/>
              <c:showVal val="1"/>
            </c:dLbl>
            <c:spPr>
              <a:noFill/>
              <a:ln w="2527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7450</c:v>
                </c:pt>
                <c:pt idx="1">
                  <c:v>9348</c:v>
                </c:pt>
                <c:pt idx="2">
                  <c:v>8862</c:v>
                </c:pt>
                <c:pt idx="3">
                  <c:v>7452</c:v>
                </c:pt>
                <c:pt idx="4">
                  <c:v>5930</c:v>
                </c:pt>
              </c:numCache>
            </c:numRef>
          </c:val>
        </c:ser>
        <c:ser>
          <c:idx val="1"/>
          <c:order val="1"/>
          <c:tx>
            <c:strRef>
              <c:f>Sheet1!$A$3</c:f>
              <c:strCache>
                <c:ptCount val="1"/>
                <c:pt idx="0">
                  <c:v>Išlaidos socialinėms pašalpoms</c:v>
                </c:pt>
              </c:strCache>
            </c:strRef>
          </c:tx>
          <c:spPr>
            <a:ln w="12635">
              <a:solidFill>
                <a:srgbClr val="FF00FF"/>
              </a:solidFill>
              <a:prstDash val="solid"/>
            </a:ln>
          </c:spPr>
          <c:marker>
            <c:symbol val="square"/>
            <c:size val="4"/>
            <c:spPr>
              <a:solidFill>
                <a:srgbClr val="FF00FF"/>
              </a:solidFill>
              <a:ln>
                <a:solidFill>
                  <a:srgbClr val="FF00FF"/>
                </a:solidFill>
                <a:prstDash val="solid"/>
              </a:ln>
            </c:spPr>
          </c:marker>
          <c:dLbls>
            <c:spPr>
              <a:noFill/>
              <a:ln w="2527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Sheet1!$B$3:$F$3</c:f>
              <c:numCache>
                <c:formatCode>General</c:formatCode>
                <c:ptCount val="5"/>
                <c:pt idx="0">
                  <c:v>6309</c:v>
                </c:pt>
                <c:pt idx="1">
                  <c:v>7177</c:v>
                </c:pt>
                <c:pt idx="2">
                  <c:v>6623</c:v>
                </c:pt>
                <c:pt idx="3">
                  <c:v>5601</c:v>
                </c:pt>
                <c:pt idx="4">
                  <c:v>4496</c:v>
                </c:pt>
              </c:numCache>
            </c:numRef>
          </c:val>
        </c:ser>
        <c:marker val="1"/>
        <c:axId val="94464256"/>
        <c:axId val="94494720"/>
      </c:lineChart>
      <c:catAx>
        <c:axId val="94464256"/>
        <c:scaling>
          <c:orientation val="minMax"/>
        </c:scaling>
        <c:axPos val="b"/>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94494720"/>
        <c:crosses val="autoZero"/>
        <c:auto val="1"/>
        <c:lblAlgn val="ctr"/>
        <c:lblOffset val="100"/>
        <c:tickLblSkip val="1"/>
        <c:tickMarkSkip val="1"/>
      </c:catAx>
      <c:valAx>
        <c:axId val="94494720"/>
        <c:scaling>
          <c:orientation val="minMax"/>
          <c:max val="10000"/>
          <c:min val="4000"/>
        </c:scaling>
        <c:axPos val="l"/>
        <c:majorGridlines>
          <c:spPr>
            <a:ln w="3159">
              <a:solidFill>
                <a:srgbClr val="000000"/>
              </a:solidFill>
              <a:prstDash val="solid"/>
            </a:ln>
          </c:spPr>
        </c:majorGridlines>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94464256"/>
        <c:crosses val="autoZero"/>
        <c:crossBetween val="between"/>
      </c:valAx>
      <c:spPr>
        <a:solidFill>
          <a:srgbClr val="C0C0C0"/>
        </a:solidFill>
        <a:ln w="12635">
          <a:solidFill>
            <a:srgbClr val="808080"/>
          </a:solidFill>
          <a:prstDash val="solid"/>
        </a:ln>
      </c:spPr>
    </c:plotArea>
    <c:legend>
      <c:legendPos val="r"/>
      <c:layout>
        <c:manualLayout>
          <c:xMode val="edge"/>
          <c:yMode val="edge"/>
          <c:x val="0.73493973967539905"/>
          <c:y val="0.2975426509186353"/>
          <c:w val="0.25817555938037867"/>
          <c:h val="0.40873031496062984"/>
        </c:manualLayout>
      </c:layout>
      <c:spPr>
        <a:noFill/>
        <a:ln w="3159">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mes New Roman"/>
                <a:ea typeface="Times New Roman"/>
                <a:cs typeface="Times New Roman"/>
              </a:defRPr>
            </a:pPr>
            <a:r>
              <a:rPr lang="lt-LT"/>
              <a:t>2 diagrama. Strateginiam planui įgyvendinti panaudotos lėšos per 2014 metus (tūkst.</a:t>
            </a:r>
            <a:r>
              <a:rPr lang="en-US"/>
              <a:t> </a:t>
            </a:r>
            <a:r>
              <a:rPr lang="lt-LT"/>
              <a:t>EUR)</a:t>
            </a:r>
          </a:p>
        </c:rich>
      </c:tx>
      <c:layout>
        <c:manualLayout>
          <c:xMode val="edge"/>
          <c:yMode val="edge"/>
          <c:x val="2.3593466424682397E-2"/>
          <c:y val="1.5576323987538939E-2"/>
        </c:manualLayout>
      </c:layout>
      <c:spPr>
        <a:noFill/>
        <a:ln w="25400">
          <a:noFill/>
        </a:ln>
      </c:spPr>
    </c:title>
    <c:view3D>
      <c:hPercent val="73"/>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2.5408348457350582E-2"/>
          <c:y val="0.14018734237290309"/>
          <c:w val="0.63339382940109312"/>
          <c:h val="0.80685603721292476"/>
        </c:manualLayout>
      </c:layout>
      <c:bar3DChart>
        <c:barDir val="col"/>
        <c:grouping val="clustered"/>
        <c:ser>
          <c:idx val="0"/>
          <c:order val="0"/>
          <c:tx>
            <c:strRef>
              <c:f>rodikliai!$C$28</c:f>
              <c:strCache>
                <c:ptCount val="1"/>
                <c:pt idx="0">
                  <c:v>Savivaldybės lėšos</c:v>
                </c:pt>
              </c:strCache>
            </c:strRef>
          </c:tx>
          <c:spPr>
            <a:solidFill>
              <a:srgbClr val="9999FF"/>
            </a:solidFill>
            <a:ln w="12700">
              <a:solidFill>
                <a:srgbClr val="000000"/>
              </a:solidFill>
              <a:prstDash val="solid"/>
            </a:ln>
          </c:spPr>
          <c:dLbls>
            <c:dLbl>
              <c:idx val="0"/>
              <c:layout>
                <c:manualLayout>
                  <c:x val="1.3640100795023263E-2"/>
                  <c:y val="-6.6534505578439346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rodikliai!$D$28</c:f>
              <c:numCache>
                <c:formatCode>General</c:formatCode>
                <c:ptCount val="1"/>
                <c:pt idx="0">
                  <c:v>3159.2</c:v>
                </c:pt>
              </c:numCache>
            </c:numRef>
          </c:val>
        </c:ser>
        <c:ser>
          <c:idx val="1"/>
          <c:order val="1"/>
          <c:tx>
            <c:strRef>
              <c:f>rodikliai!$C$29</c:f>
              <c:strCache>
                <c:ptCount val="1"/>
                <c:pt idx="0">
                  <c:v>Nacionalinio biudžeto lėšos</c:v>
                </c:pt>
              </c:strCache>
            </c:strRef>
          </c:tx>
          <c:spPr>
            <a:solidFill>
              <a:srgbClr val="993366"/>
            </a:solidFill>
            <a:ln w="12700">
              <a:solidFill>
                <a:srgbClr val="000000"/>
              </a:solidFill>
              <a:prstDash val="solid"/>
            </a:ln>
          </c:spPr>
          <c:dLbls>
            <c:dLbl>
              <c:idx val="0"/>
              <c:layout>
                <c:manualLayout>
                  <c:x val="4.1723804488141412E-2"/>
                  <c:y val="-6.4054783786875499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rodikliai!$D$29</c:f>
              <c:numCache>
                <c:formatCode>General</c:formatCode>
                <c:ptCount val="1"/>
                <c:pt idx="0">
                  <c:v>3665.3</c:v>
                </c:pt>
              </c:numCache>
            </c:numRef>
          </c:val>
        </c:ser>
        <c:ser>
          <c:idx val="2"/>
          <c:order val="2"/>
          <c:tx>
            <c:strRef>
              <c:f>rodikliai!$C$30</c:f>
              <c:strCache>
                <c:ptCount val="1"/>
                <c:pt idx="0">
                  <c:v>ES, kita užs.valstybių parama</c:v>
                </c:pt>
              </c:strCache>
            </c:strRef>
          </c:tx>
          <c:spPr>
            <a:solidFill>
              <a:srgbClr val="FFFFCC"/>
            </a:solidFill>
            <a:ln w="12700">
              <a:solidFill>
                <a:srgbClr val="000000"/>
              </a:solidFill>
              <a:prstDash val="solid"/>
            </a:ln>
          </c:spPr>
          <c:dLbls>
            <c:dLbl>
              <c:idx val="0"/>
              <c:layout>
                <c:manualLayout>
                  <c:x val="4.4163272694361481E-2"/>
                  <c:y val="-9.2466946304609471E-3"/>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rodikliai!$D$30</c:f>
              <c:numCache>
                <c:formatCode>General</c:formatCode>
                <c:ptCount val="1"/>
                <c:pt idx="0">
                  <c:v>3766.4</c:v>
                </c:pt>
              </c:numCache>
            </c:numRef>
          </c:val>
        </c:ser>
        <c:ser>
          <c:idx val="3"/>
          <c:order val="3"/>
          <c:tx>
            <c:strRef>
              <c:f>rodikliai!$C$31</c:f>
              <c:strCache>
                <c:ptCount val="1"/>
                <c:pt idx="0">
                  <c:v>Privačios lėšos</c:v>
                </c:pt>
              </c:strCache>
            </c:strRef>
          </c:tx>
          <c:spPr>
            <a:solidFill>
              <a:srgbClr val="CCFFFF"/>
            </a:solidFill>
            <a:ln w="12700">
              <a:solidFill>
                <a:srgbClr val="000000"/>
              </a:solidFill>
              <a:prstDash val="solid"/>
            </a:ln>
          </c:spPr>
          <c:dLbls>
            <c:dLbl>
              <c:idx val="0"/>
              <c:layout>
                <c:manualLayout>
                  <c:x val="6.7425201613863561E-2"/>
                  <c:y val="-8.4456797518166662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rodikliai!$D$31</c:f>
              <c:numCache>
                <c:formatCode>General</c:formatCode>
                <c:ptCount val="1"/>
                <c:pt idx="0">
                  <c:v>2477.5</c:v>
                </c:pt>
              </c:numCache>
            </c:numRef>
          </c:val>
        </c:ser>
        <c:dLbls>
          <c:showVal val="1"/>
        </c:dLbls>
        <c:shape val="box"/>
        <c:axId val="68657152"/>
        <c:axId val="68658688"/>
        <c:axId val="0"/>
      </c:bar3DChart>
      <c:catAx>
        <c:axId val="68657152"/>
        <c:scaling>
          <c:orientation val="minMax"/>
        </c:scaling>
        <c:delete val="1"/>
        <c:axPos val="b"/>
        <c:tickLblPos val="none"/>
        <c:crossAx val="68658688"/>
        <c:crosses val="autoZero"/>
        <c:auto val="1"/>
        <c:lblAlgn val="ctr"/>
        <c:lblOffset val="100"/>
      </c:catAx>
      <c:valAx>
        <c:axId val="68658688"/>
        <c:scaling>
          <c:orientation val="minMax"/>
        </c:scaling>
        <c:delete val="1"/>
        <c:axPos val="l"/>
        <c:majorGridlines>
          <c:spPr>
            <a:ln w="3175">
              <a:solidFill>
                <a:srgbClr val="FFFFFF"/>
              </a:solidFill>
              <a:prstDash val="sysDash"/>
            </a:ln>
          </c:spPr>
        </c:majorGridlines>
        <c:numFmt formatCode="General" sourceLinked="1"/>
        <c:tickLblPos val="none"/>
        <c:crossAx val="68657152"/>
        <c:crosses val="autoZero"/>
        <c:crossBetween val="between"/>
      </c:valAx>
      <c:spPr>
        <a:noFill/>
        <a:ln w="25400">
          <a:noFill/>
        </a:ln>
      </c:spPr>
    </c:plotArea>
    <c:legend>
      <c:legendPos val="r"/>
      <c:layout>
        <c:manualLayout>
          <c:xMode val="edge"/>
          <c:yMode val="edge"/>
          <c:x val="0.66243194192377564"/>
          <c:y val="0.30841219613903692"/>
          <c:w val="0.32667876588022343"/>
          <c:h val="0.51402032689839061"/>
        </c:manualLayout>
      </c:layout>
      <c:spPr>
        <a:solidFill>
          <a:srgbClr val="FFFFFF"/>
        </a:solidFill>
        <a:ln w="25400">
          <a:noFill/>
        </a:ln>
      </c:spPr>
      <c:txPr>
        <a:bodyPr/>
        <a:lstStyle/>
        <a:p>
          <a:pPr>
            <a:defRPr sz="1035" b="0"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FFFFFF"/>
    </a:solidFill>
    <a:ln w="9525">
      <a:noFill/>
    </a:ln>
  </c:spPr>
  <c:txPr>
    <a:bodyPr/>
    <a:lstStyle/>
    <a:p>
      <a:pPr>
        <a:defRPr sz="1125" b="0" i="0" u="none" strike="noStrike" baseline="0">
          <a:solidFill>
            <a:srgbClr val="000000"/>
          </a:solidFill>
          <a:latin typeface="Arial"/>
          <a:ea typeface="Arial"/>
          <a:cs typeface="Arial"/>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Arial"/>
                <a:ea typeface="Arial"/>
                <a:cs typeface="Arial"/>
              </a:defRPr>
            </a:pPr>
            <a:r>
              <a:rPr lang="lt-LT"/>
              <a:t>19 diagrama. Panevėžio miesto Strateginio plano III-io prioriteto priemonių vykdymas</a:t>
            </a:r>
          </a:p>
        </c:rich>
      </c:tx>
      <c:layout>
        <c:manualLayout>
          <c:xMode val="edge"/>
          <c:yMode val="edge"/>
          <c:x val="0.1283095723014257"/>
          <c:y val="3.8327526132404179E-2"/>
        </c:manualLayout>
      </c:layout>
      <c:spPr>
        <a:noFill/>
        <a:ln w="25400">
          <a:noFill/>
        </a:ln>
      </c:spPr>
    </c:title>
    <c:plotArea>
      <c:layout>
        <c:manualLayout>
          <c:layoutTarget val="inner"/>
          <c:xMode val="edge"/>
          <c:yMode val="edge"/>
          <c:x val="0.21181262729124239"/>
          <c:y val="0.36933797909408139"/>
          <c:w val="0.25865580448065184"/>
          <c:h val="0.44250871080139376"/>
        </c:manualLayout>
      </c:layout>
      <c:pieChart>
        <c:varyColors val="1"/>
        <c:ser>
          <c:idx val="0"/>
          <c:order val="0"/>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dLbl>
              <c:idx val="0"/>
              <c:layout>
                <c:manualLayout>
                  <c:x val="-7.7408470580688712E-2"/>
                  <c:y val="-0.18857652362832636"/>
                </c:manualLayout>
              </c:layout>
              <c:tx>
                <c:rich>
                  <a:bodyPr/>
                  <a:lstStyle/>
                  <a:p>
                    <a:r>
                      <a:rPr lang="lt-LT"/>
                      <a:t>85 </a:t>
                    </a:r>
                    <a:r>
                      <a:rPr lang="en-US"/>
                      <a:t>%</a:t>
                    </a:r>
                  </a:p>
                </c:rich>
              </c:tx>
              <c:showPercent val="1"/>
            </c:dLbl>
            <c:dLbl>
              <c:idx val="1"/>
              <c:tx>
                <c:rich>
                  <a:bodyPr/>
                  <a:lstStyle/>
                  <a:p>
                    <a:r>
                      <a:rPr lang="lt-LT"/>
                      <a:t>15</a:t>
                    </a:r>
                    <a:r>
                      <a:rPr lang="en-US"/>
                      <a:t>%</a:t>
                    </a:r>
                  </a:p>
                </c:rich>
              </c:tx>
              <c:showPercent val="1"/>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en-US"/>
              </a:p>
            </c:txPr>
            <c:showPercent val="1"/>
            <c:showLeaderLines val="1"/>
          </c:dLbls>
          <c:cat>
            <c:strRef>
              <c:f>rodikliai!$C$158:$C$159</c:f>
              <c:strCache>
                <c:ptCount val="2"/>
                <c:pt idx="0">
                  <c:v>Vykdoma arba iš dalies vykdoma) priemonių</c:v>
                </c:pt>
                <c:pt idx="1">
                  <c:v>Nevykdoma priemonių</c:v>
                </c:pt>
              </c:strCache>
            </c:strRef>
          </c:cat>
          <c:val>
            <c:numRef>
              <c:f>rodikliai!$D$158:$D$159</c:f>
              <c:numCache>
                <c:formatCode>General</c:formatCode>
                <c:ptCount val="2"/>
                <c:pt idx="0">
                  <c:v>23</c:v>
                </c:pt>
                <c:pt idx="1">
                  <c:v>4</c:v>
                </c:pt>
              </c:numCache>
            </c:numRef>
          </c:val>
        </c:ser>
        <c:firstSliceAng val="0"/>
      </c:pieChart>
      <c:spPr>
        <a:noFill/>
        <a:ln w="25400">
          <a:noFill/>
        </a:ln>
      </c:spPr>
    </c:plotArea>
    <c:legend>
      <c:legendPos val="r"/>
      <c:legendEntry>
        <c:idx val="0"/>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92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67413441955193565"/>
          <c:y val="0.3131999648369313"/>
          <c:w val="0.3116089613034686"/>
          <c:h val="0.49736854663502045"/>
        </c:manualLayout>
      </c:layout>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2356215213358124E-2"/>
          <c:y val="0.12962962962962815"/>
          <c:w val="0.91094619666048748"/>
          <c:h val="0.64814814814815325"/>
        </c:manualLayout>
      </c:layout>
      <c:lineChart>
        <c:grouping val="standard"/>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Val val="1"/>
            </c:dLbl>
            <c:dLbl>
              <c:idx val="1"/>
              <c:layout>
                <c:manualLayout>
                  <c:x val="-4.8840048840048424E-3"/>
                  <c:y val="4.651162790697707E-2"/>
                </c:manualLayout>
              </c:layout>
              <c:showVal val="1"/>
            </c:dLbl>
            <c:dLbl>
              <c:idx val="2"/>
              <c:layout>
                <c:manualLayout>
                  <c:x val="-4.8840048840049013E-3"/>
                  <c:y val="6.9767441860465532E-2"/>
                </c:manualLayout>
              </c:layout>
              <c:showVal val="1"/>
            </c:dLbl>
            <c:dLbl>
              <c:idx val="3"/>
              <c:layout>
                <c:manualLayout>
                  <c:x val="-4.8840048840049013E-3"/>
                  <c:y val="3.1007751937984489E-2"/>
                </c:manualLayout>
              </c:layout>
              <c:showVal val="1"/>
            </c:dLbl>
            <c:spPr>
              <a:noFill/>
              <a:ln w="2526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504</c:v>
                </c:pt>
                <c:pt idx="1">
                  <c:v>509</c:v>
                </c:pt>
                <c:pt idx="2">
                  <c:v>517</c:v>
                </c:pt>
                <c:pt idx="3">
                  <c:v>528</c:v>
                </c:pt>
                <c:pt idx="4">
                  <c:v>541</c:v>
                </c:pt>
              </c:numCache>
            </c:numRef>
          </c:val>
        </c:ser>
        <c:marker val="1"/>
        <c:axId val="94800896"/>
        <c:axId val="95093504"/>
      </c:lineChart>
      <c:catAx>
        <c:axId val="94800896"/>
        <c:scaling>
          <c:orientation val="minMax"/>
        </c:scaling>
        <c:axPos val="b"/>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95093504"/>
        <c:crosses val="autoZero"/>
        <c:auto val="1"/>
        <c:lblAlgn val="ctr"/>
        <c:lblOffset val="100"/>
        <c:tickLblSkip val="1"/>
        <c:tickMarkSkip val="1"/>
      </c:catAx>
      <c:valAx>
        <c:axId val="95093504"/>
        <c:scaling>
          <c:orientation val="minMax"/>
          <c:min val="0"/>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94800896"/>
        <c:crosses val="autoZero"/>
        <c:crossBetween val="between"/>
        <c:majorUnit val="200"/>
      </c:valAx>
      <c:spPr>
        <a:solidFill>
          <a:srgbClr val="C0C0C0"/>
        </a:solidFill>
        <a:ln w="12630">
          <a:solidFill>
            <a:srgbClr val="808080"/>
          </a:solidFill>
          <a:prstDash val="solid"/>
        </a:ln>
      </c:spPr>
    </c:plotArea>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3.4753183629824116E-2"/>
          <c:y val="0.11755987532808398"/>
          <c:w val="0.92120075046904315"/>
          <c:h val="0.70918367346939282"/>
        </c:manualLayout>
      </c:layout>
      <c:lineChart>
        <c:grouping val="stacked"/>
        <c:ser>
          <c:idx val="0"/>
          <c:order val="0"/>
          <c:tx>
            <c:strRef>
              <c:f>Sheet1!$A$2</c:f>
              <c:strCache>
                <c:ptCount val="1"/>
                <c:pt idx="0">
                  <c:v>Vežta keleivių miesto visuomeniniu transportu</c:v>
                </c:pt>
              </c:strCache>
            </c:strRef>
          </c:tx>
          <c:spPr>
            <a:ln w="1262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5841584158415953E-2"/>
                  <c:y val="4.8611111111111112E-2"/>
                </c:manualLayout>
              </c:layout>
              <c:showVal val="1"/>
            </c:dLbl>
            <c:dLbl>
              <c:idx val="1"/>
              <c:layout>
                <c:manualLayout>
                  <c:x val="5.2805280528052823E-3"/>
                  <c:y val="6.25E-2"/>
                </c:manualLayout>
              </c:layout>
              <c:showVal val="1"/>
            </c:dLbl>
            <c:dLbl>
              <c:idx val="2"/>
              <c:layout>
                <c:manualLayout>
                  <c:x val="-7.9207920792079313E-3"/>
                  <c:y val="-7.6388888888888895E-2"/>
                </c:manualLayout>
              </c:layout>
              <c:showVal val="1"/>
            </c:dLbl>
            <c:dLbl>
              <c:idx val="3"/>
              <c:layout>
                <c:manualLayout>
                  <c:x val="0"/>
                  <c:y val="3.4722222222222286E-2"/>
                </c:manualLayout>
              </c:layout>
              <c:showVal val="1"/>
            </c:dLbl>
            <c:dLbl>
              <c:idx val="4"/>
              <c:layout>
                <c:manualLayout>
                  <c:x val="-1.3917884481558701E-2"/>
                  <c:y val="0"/>
                </c:manualLayout>
              </c:layout>
              <c:tx>
                <c:rich>
                  <a:bodyPr/>
                  <a:lstStyle/>
                  <a:p>
                    <a:r>
                      <a:rPr lang="en-US"/>
                      <a:t>4,0</a:t>
                    </a:r>
                  </a:p>
                </c:rich>
              </c:tx>
              <c:showVal val="1"/>
            </c:dLbl>
            <c:spPr>
              <a:noFill/>
              <a:ln w="25251">
                <a:noFill/>
              </a:ln>
            </c:spPr>
            <c:txPr>
              <a:bodyPr/>
              <a:lstStyle/>
              <a:p>
                <a:pPr>
                  <a:defRPr sz="845"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2.9</c:v>
                </c:pt>
                <c:pt idx="1">
                  <c:v>3.5</c:v>
                </c:pt>
                <c:pt idx="2">
                  <c:v>2.6</c:v>
                </c:pt>
                <c:pt idx="3">
                  <c:v>2.7</c:v>
                </c:pt>
                <c:pt idx="4">
                  <c:v>4</c:v>
                </c:pt>
              </c:numCache>
            </c:numRef>
          </c:val>
        </c:ser>
        <c:marker val="1"/>
        <c:axId val="95145984"/>
        <c:axId val="95147520"/>
      </c:lineChart>
      <c:catAx>
        <c:axId val="95145984"/>
        <c:scaling>
          <c:orientation val="minMax"/>
        </c:scaling>
        <c:axPos val="b"/>
        <c:numFmt formatCode="General" sourceLinked="1"/>
        <c:tickLblPos val="nextTo"/>
        <c:spPr>
          <a:ln w="3156">
            <a:solidFill>
              <a:srgbClr val="000000"/>
            </a:solidFill>
            <a:prstDash val="solid"/>
          </a:ln>
        </c:spPr>
        <c:txPr>
          <a:bodyPr rot="0" vert="horz"/>
          <a:lstStyle/>
          <a:p>
            <a:pPr>
              <a:defRPr sz="845" b="1" i="0" u="none" strike="noStrike" baseline="0">
                <a:solidFill>
                  <a:srgbClr val="000000"/>
                </a:solidFill>
                <a:latin typeface="Arial"/>
                <a:ea typeface="Arial"/>
                <a:cs typeface="Arial"/>
              </a:defRPr>
            </a:pPr>
            <a:endParaRPr lang="en-US"/>
          </a:p>
        </c:txPr>
        <c:crossAx val="95147520"/>
        <c:crosses val="autoZero"/>
        <c:auto val="1"/>
        <c:lblAlgn val="ctr"/>
        <c:lblOffset val="100"/>
        <c:tickLblSkip val="1"/>
        <c:tickMarkSkip val="1"/>
      </c:catAx>
      <c:valAx>
        <c:axId val="95147520"/>
        <c:scaling>
          <c:orientation val="minMax"/>
        </c:scaling>
        <c:axPos val="l"/>
        <c:majorGridlines>
          <c:spPr>
            <a:ln w="3156">
              <a:solidFill>
                <a:srgbClr val="000000"/>
              </a:solidFill>
              <a:prstDash val="solid"/>
            </a:ln>
          </c:spPr>
        </c:majorGridlines>
        <c:numFmt formatCode="General" sourceLinked="1"/>
        <c:tickLblPos val="nextTo"/>
        <c:spPr>
          <a:ln w="3156">
            <a:solidFill>
              <a:srgbClr val="000000"/>
            </a:solidFill>
            <a:prstDash val="solid"/>
          </a:ln>
        </c:spPr>
        <c:txPr>
          <a:bodyPr rot="0" vert="horz"/>
          <a:lstStyle/>
          <a:p>
            <a:pPr>
              <a:defRPr sz="845" b="1" i="0" u="none" strike="noStrike" baseline="0">
                <a:solidFill>
                  <a:srgbClr val="000000"/>
                </a:solidFill>
                <a:latin typeface="Arial"/>
                <a:ea typeface="Arial"/>
                <a:cs typeface="Arial"/>
              </a:defRPr>
            </a:pPr>
            <a:endParaRPr lang="en-US"/>
          </a:p>
        </c:txPr>
        <c:crossAx val="95145984"/>
        <c:crosses val="autoZero"/>
        <c:crossBetween val="between"/>
        <c:majorUnit val="6"/>
      </c:valAx>
      <c:spPr>
        <a:solidFill>
          <a:srgbClr val="C0C0C0"/>
        </a:solidFill>
        <a:ln w="12625">
          <a:solidFill>
            <a:srgbClr val="808080"/>
          </a:solidFill>
          <a:prstDash val="solid"/>
        </a:ln>
      </c:spPr>
    </c:plotArea>
    <c:plotVisOnly val="1"/>
    <c:dispBlanksAs val="zero"/>
  </c:chart>
  <c:spPr>
    <a:noFill/>
    <a:ln>
      <a:noFill/>
    </a:ln>
  </c:spPr>
  <c:txPr>
    <a:bodyPr/>
    <a:lstStyle/>
    <a:p>
      <a:pPr>
        <a:defRPr sz="845" b="1"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a:ea typeface="Arial"/>
                <a:cs typeface="Arial"/>
              </a:defRPr>
            </a:pPr>
            <a:r>
              <a:rPr lang="lt-LT" b="0">
                <a:latin typeface="Times New Roman" pitchFamily="18" charset="0"/>
                <a:cs typeface="Times New Roman" pitchFamily="18" charset="0"/>
              </a:rPr>
              <a:t>3 diagrama. Strateginio plano lėšų pasiskirstymas pagal prioritetus (tūkst. EUR)</a:t>
            </a:r>
          </a:p>
        </c:rich>
      </c:tx>
      <c:layout>
        <c:manualLayout>
          <c:xMode val="edge"/>
          <c:yMode val="edge"/>
          <c:x val="0.15885947046843332"/>
          <c:y val="4.8780487804878703E-2"/>
        </c:manualLayout>
      </c:layout>
      <c:spPr>
        <a:noFill/>
        <a:ln w="25400">
          <a:noFill/>
        </a:ln>
      </c:spPr>
    </c:title>
    <c:view3D>
      <c:hPercent val="43"/>
      <c:depthPercent val="100"/>
      <c:rAngAx val="1"/>
    </c:view3D>
    <c:floor>
      <c:spPr>
        <a:solidFill>
          <a:srgbClr val="C0C0C0"/>
        </a:solidFill>
        <a:ln w="3175">
          <a:solidFill>
            <a:srgbClr val="000000"/>
          </a:solidFill>
          <a:prstDash val="solid"/>
        </a:ln>
      </c:spPr>
    </c:floor>
    <c:sideWall>
      <c:spPr>
        <a:solidFill>
          <a:srgbClr val="FFFFFF"/>
        </a:solidFill>
        <a:ln w="25400">
          <a:noFill/>
        </a:ln>
      </c:spPr>
    </c:sideWall>
    <c:backWall>
      <c:spPr>
        <a:solidFill>
          <a:srgbClr val="FFFFFF"/>
        </a:solidFill>
        <a:ln w="25400">
          <a:noFill/>
        </a:ln>
      </c:spPr>
    </c:backWall>
    <c:plotArea>
      <c:layout>
        <c:manualLayout>
          <c:layoutTarget val="inner"/>
          <c:xMode val="edge"/>
          <c:yMode val="edge"/>
          <c:x val="2.8513238289205812E-2"/>
          <c:y val="0.26132404181185004"/>
          <c:w val="0.94297352342159291"/>
          <c:h val="0.59930313588850159"/>
        </c:manualLayout>
      </c:layout>
      <c:bar3DChart>
        <c:barDir val="col"/>
        <c:grouping val="clustered"/>
        <c:ser>
          <c:idx val="0"/>
          <c:order val="0"/>
          <c:spPr>
            <a:solidFill>
              <a:srgbClr val="9999FF"/>
            </a:solidFill>
            <a:ln w="12700">
              <a:solidFill>
                <a:srgbClr val="000000"/>
              </a:solidFill>
              <a:prstDash val="solid"/>
            </a:ln>
          </c:spPr>
          <c:dLbls>
            <c:dLbl>
              <c:idx val="0"/>
              <c:layout>
                <c:manualLayout>
                  <c:x val="1.6612302280952181E-2"/>
                  <c:y val="-4.6748424739590483E-2"/>
                </c:manualLayout>
              </c:layout>
              <c:showVal val="1"/>
            </c:dLbl>
            <c:dLbl>
              <c:idx val="1"/>
              <c:layout>
                <c:manualLayout>
                  <c:x val="2.0256480159939309E-2"/>
                  <c:y val="-4.2658326245804623E-2"/>
                </c:manualLayout>
              </c:layout>
              <c:showVal val="1"/>
            </c:dLbl>
            <c:dLbl>
              <c:idx val="2"/>
              <c:layout>
                <c:manualLayout>
                  <c:x val="2.1184897712633096E-2"/>
                  <c:y val="-5.3113116957941922E-2"/>
                </c:manualLayout>
              </c:layout>
              <c:showVal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showVal val="1"/>
          </c:dLbls>
          <c:cat>
            <c:strRef>
              <c:f>rodikliai!$C$55:$C$57</c:f>
              <c:strCache>
                <c:ptCount val="3"/>
                <c:pt idx="0">
                  <c:v>I prioritetas</c:v>
                </c:pt>
                <c:pt idx="1">
                  <c:v>II prioritetas</c:v>
                </c:pt>
                <c:pt idx="2">
                  <c:v>III prioritetas</c:v>
                </c:pt>
              </c:strCache>
            </c:strRef>
          </c:cat>
          <c:val>
            <c:numRef>
              <c:f>rodikliai!$D$55:$D$57</c:f>
              <c:numCache>
                <c:formatCode>General</c:formatCode>
                <c:ptCount val="3"/>
                <c:pt idx="0">
                  <c:v>1111.3</c:v>
                </c:pt>
                <c:pt idx="1">
                  <c:v>5155</c:v>
                </c:pt>
                <c:pt idx="2">
                  <c:v>6802.1</c:v>
                </c:pt>
              </c:numCache>
            </c:numRef>
          </c:val>
        </c:ser>
        <c:dLbls>
          <c:showVal val="1"/>
        </c:dLbls>
        <c:shape val="box"/>
        <c:axId val="68683648"/>
        <c:axId val="68685184"/>
        <c:axId val="0"/>
      </c:bar3DChart>
      <c:catAx>
        <c:axId val="68683648"/>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68685184"/>
        <c:crosses val="autoZero"/>
        <c:auto val="1"/>
        <c:lblAlgn val="ctr"/>
        <c:lblOffset val="100"/>
        <c:tickLblSkip val="1"/>
        <c:tickMarkSkip val="1"/>
      </c:catAx>
      <c:valAx>
        <c:axId val="68685184"/>
        <c:scaling>
          <c:orientation val="minMax"/>
        </c:scaling>
        <c:delete val="1"/>
        <c:axPos val="l"/>
        <c:numFmt formatCode="General" sourceLinked="1"/>
        <c:tickLblPos val="none"/>
        <c:crossAx val="68683648"/>
        <c:crosses val="autoZero"/>
        <c:crossBetween val="between"/>
      </c:valAx>
      <c:spPr>
        <a:noFill/>
        <a:ln w="25400">
          <a:noFill/>
        </a:ln>
      </c:spPr>
    </c:plotArea>
    <c:plotVisOnly val="1"/>
    <c:dispBlanksAs val="gap"/>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b="0" i="0" u="none" strike="noStrike" baseline="0">
                <a:solidFill>
                  <a:srgbClr val="000000"/>
                </a:solidFill>
                <a:latin typeface="Times New Roman" pitchFamily="18" charset="0"/>
                <a:ea typeface="Arial"/>
                <a:cs typeface="Times New Roman" pitchFamily="18" charset="0"/>
              </a:defRPr>
            </a:pPr>
            <a:r>
              <a:rPr lang="lt-LT" sz="1100">
                <a:latin typeface="Times New Roman" pitchFamily="18" charset="0"/>
                <a:cs typeface="Times New Roman" pitchFamily="18" charset="0"/>
              </a:rPr>
              <a:t>4 diagrama. Strateginio plano I prioriteto priemonių vykdymas 2014 m.</a:t>
            </a:r>
          </a:p>
        </c:rich>
      </c:tx>
      <c:layout>
        <c:manualLayout>
          <c:xMode val="edge"/>
          <c:yMode val="edge"/>
          <c:x val="0.13849287169042904"/>
          <c:y val="3.8327526132404179E-2"/>
        </c:manualLayout>
      </c:layout>
      <c:spPr>
        <a:noFill/>
        <a:ln w="25400">
          <a:noFill/>
        </a:ln>
      </c:spPr>
    </c:title>
    <c:plotArea>
      <c:layout>
        <c:manualLayout>
          <c:layoutTarget val="inner"/>
          <c:xMode val="edge"/>
          <c:yMode val="edge"/>
          <c:x val="0.20773930753564301"/>
          <c:y val="0.36933797909408123"/>
          <c:w val="0.25865580448065184"/>
          <c:h val="0.4425087108013937"/>
        </c:manualLayout>
      </c:layout>
      <c:pieChart>
        <c:varyColors val="1"/>
        <c:ser>
          <c:idx val="0"/>
          <c:order val="0"/>
          <c:spPr>
            <a:solidFill>
              <a:srgbClr val="9999FF"/>
            </a:solidFill>
            <a:ln w="12700">
              <a:solidFill>
                <a:srgbClr val="000000"/>
              </a:solidFill>
              <a:prstDash val="solid"/>
            </a:ln>
          </c:spPr>
          <c:explosion val="35"/>
          <c:dPt>
            <c:idx val="1"/>
            <c:spPr>
              <a:solidFill>
                <a:srgbClr val="993366"/>
              </a:solidFill>
              <a:ln w="12700">
                <a:solidFill>
                  <a:srgbClr val="000000"/>
                </a:solidFill>
                <a:prstDash val="solid"/>
              </a:ln>
            </c:spPr>
          </c:dPt>
          <c:dLbls>
            <c:dLbl>
              <c:idx val="0"/>
              <c:tx>
                <c:rich>
                  <a:bodyPr/>
                  <a:lstStyle/>
                  <a:p>
                    <a:r>
                      <a:rPr lang="lt-LT"/>
                      <a:t>72</a:t>
                    </a:r>
                    <a:r>
                      <a:rPr lang="en-US"/>
                      <a:t>%</a:t>
                    </a:r>
                  </a:p>
                </c:rich>
              </c:tx>
              <c:showPercent val="1"/>
            </c:dLbl>
            <c:dLbl>
              <c:idx val="1"/>
              <c:tx>
                <c:rich>
                  <a:bodyPr/>
                  <a:lstStyle/>
                  <a:p>
                    <a:r>
                      <a:rPr lang="lt-LT"/>
                      <a:t>28</a:t>
                    </a:r>
                    <a:endParaRPr lang="en-US"/>
                  </a:p>
                </c:rich>
              </c:tx>
              <c:showPercent val="1"/>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en-US"/>
              </a:p>
            </c:txPr>
            <c:showPercent val="1"/>
            <c:showLeaderLines val="1"/>
          </c:dLbls>
          <c:cat>
            <c:strRef>
              <c:f>rodikliai!$C$85:$C$86</c:f>
              <c:strCache>
                <c:ptCount val="2"/>
                <c:pt idx="0">
                  <c:v>Vykdoma ar iš dalies vykdoma priemonių</c:v>
                </c:pt>
                <c:pt idx="1">
                  <c:v>Nevykdomapriemonių</c:v>
                </c:pt>
              </c:strCache>
            </c:strRef>
          </c:cat>
          <c:val>
            <c:numRef>
              <c:f>rodikliai!$D$85:$D$86</c:f>
              <c:numCache>
                <c:formatCode>General</c:formatCode>
                <c:ptCount val="2"/>
                <c:pt idx="0">
                  <c:v>18</c:v>
                </c:pt>
                <c:pt idx="1">
                  <c:v>7</c:v>
                </c:pt>
              </c:numCache>
            </c:numRef>
          </c:val>
        </c:ser>
        <c:dLbls>
          <c:showPercent val="1"/>
        </c:dLbls>
        <c:firstSliceAng val="0"/>
      </c:pieChart>
      <c:spPr>
        <a:noFill/>
        <a:ln w="25400">
          <a:noFill/>
        </a:ln>
      </c:spPr>
    </c:plotArea>
    <c:legend>
      <c:legendPos val="r"/>
      <c:layout>
        <c:manualLayout>
          <c:xMode val="edge"/>
          <c:yMode val="edge"/>
          <c:x val="0.66598778004073322"/>
          <c:y val="0.45993031358885239"/>
          <c:w val="0.31975560081466703"/>
          <c:h val="0.26132404181185037"/>
        </c:manualLayout>
      </c:layout>
      <c:spPr>
        <a:solidFill>
          <a:srgbClr val="FFFFFF"/>
        </a:solidFill>
        <a:ln w="25400">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en-US"/>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40"/>
      <c:depthPercent val="100"/>
      <c:rAngAx val="1"/>
    </c:view3D>
    <c:floor>
      <c:spPr>
        <a:solidFill>
          <a:srgbClr val="C0C0C0"/>
        </a:solidFill>
        <a:ln w="3175">
          <a:solidFill>
            <a:srgbClr val="000000"/>
          </a:solidFill>
          <a:prstDash val="solid"/>
        </a:ln>
      </c:spPr>
    </c:floor>
    <c:sideWall>
      <c:spPr>
        <a:solidFill>
          <a:srgbClr val="FFFFFF"/>
        </a:solidFill>
        <a:ln w="25400">
          <a:noFill/>
        </a:ln>
      </c:spPr>
    </c:sideWall>
    <c:backWall>
      <c:spPr>
        <a:solidFill>
          <a:srgbClr val="FFFFFF"/>
        </a:solidFill>
        <a:ln w="25400">
          <a:noFill/>
        </a:ln>
      </c:spPr>
    </c:backWall>
    <c:plotArea>
      <c:layout>
        <c:manualLayout>
          <c:layoutTarget val="inner"/>
          <c:xMode val="edge"/>
          <c:yMode val="edge"/>
          <c:x val="6.5268065268065265E-2"/>
          <c:y val="8.7912087912087933E-2"/>
          <c:w val="0.91142191142191142"/>
          <c:h val="0.72527472527472525"/>
        </c:manualLayout>
      </c:layout>
      <c:bar3DChart>
        <c:barDir val="col"/>
        <c:grouping val="clustered"/>
        <c:ser>
          <c:idx val="0"/>
          <c:order val="0"/>
          <c:tx>
            <c:strRef>
              <c:f>Sheet1!$A$2</c:f>
              <c:strCache>
                <c:ptCount val="1"/>
                <c:pt idx="0">
                  <c:v>East</c:v>
                </c:pt>
              </c:strCache>
            </c:strRef>
          </c:tx>
          <c:spPr>
            <a:solidFill>
              <a:srgbClr val="9999FF"/>
            </a:solidFill>
            <a:ln w="12613">
              <a:solidFill>
                <a:srgbClr val="000000"/>
              </a:solidFill>
              <a:prstDash val="solid"/>
            </a:ln>
          </c:spPr>
          <c:dLbls>
            <c:dLbl>
              <c:idx val="0"/>
              <c:layout>
                <c:manualLayout>
                  <c:x val="1.8233006609081205E-2"/>
                  <c:y val="-1.6753488746599095E-2"/>
                </c:manualLayout>
              </c:layout>
              <c:showVal val="1"/>
            </c:dLbl>
            <c:dLbl>
              <c:idx val="1"/>
              <c:layout>
                <c:manualLayout>
                  <c:x val="1.5974315361731391E-2"/>
                  <c:y val="-2.1424082806956693E-2"/>
                </c:manualLayout>
              </c:layout>
              <c:showVal val="1"/>
            </c:dLbl>
            <c:dLbl>
              <c:idx val="2"/>
              <c:layout>
                <c:manualLayout>
                  <c:x val="1.2702139056253189E-2"/>
                  <c:y val="9.565192572082484E-3"/>
                </c:manualLayout>
              </c:layout>
              <c:showVal val="1"/>
            </c:dLbl>
            <c:dLbl>
              <c:idx val="3"/>
              <c:layout>
                <c:manualLayout>
                  <c:x val="1.6118696733447888E-2"/>
                  <c:y val="-4.4720810139117433E-2"/>
                </c:manualLayout>
              </c:layout>
              <c:showVal val="1"/>
            </c:dLbl>
            <c:dLbl>
              <c:idx val="4"/>
              <c:layout>
                <c:manualLayout>
                  <c:x val="9.1977600285046528E-3"/>
                  <c:y val="-2.4281177593185609E-2"/>
                </c:manualLayout>
              </c:layout>
              <c:showVal val="1"/>
            </c:dLbl>
            <c:dLbl>
              <c:idx val="5"/>
              <c:layout>
                <c:manualLayout>
                  <c:x val="5.9258245186150846E-3"/>
                  <c:y val="-2.8896345889456269E-2"/>
                </c:manualLayout>
              </c:layout>
              <c:showVal val="1"/>
            </c:dLbl>
            <c:spPr>
              <a:noFill/>
              <a:ln w="25226">
                <a:noFill/>
              </a:ln>
            </c:spPr>
            <c:txPr>
              <a:bodyPr/>
              <a:lstStyle/>
              <a:p>
                <a:pPr>
                  <a:defRPr sz="993" b="1" i="0" u="none" strike="noStrike" baseline="0">
                    <a:solidFill>
                      <a:srgbClr val="000000"/>
                    </a:solidFill>
                    <a:latin typeface="Arial"/>
                    <a:ea typeface="Arial"/>
                    <a:cs typeface="Arial"/>
                  </a:defRPr>
                </a:pPr>
                <a:endParaRPr lang="en-US"/>
              </a:p>
            </c:txPr>
            <c:showVal val="1"/>
          </c:dLbls>
          <c:cat>
            <c:strRef>
              <c:f>Sheet1!$B$1:$H$1</c:f>
              <c:strCache>
                <c:ptCount val="6"/>
                <c:pt idx="0">
                  <c:v>LR vid.(2013)</c:v>
                </c:pt>
                <c:pt idx="1">
                  <c:v>2009</c:v>
                </c:pt>
                <c:pt idx="2">
                  <c:v>2010</c:v>
                </c:pt>
                <c:pt idx="3">
                  <c:v>2011</c:v>
                </c:pt>
                <c:pt idx="4">
                  <c:v>2012</c:v>
                </c:pt>
                <c:pt idx="5">
                  <c:v>2013</c:v>
                </c:pt>
              </c:strCache>
            </c:strRef>
          </c:cat>
          <c:val>
            <c:numRef>
              <c:f>Sheet1!$B$2:$H$2</c:f>
              <c:numCache>
                <c:formatCode>General</c:formatCode>
                <c:ptCount val="7"/>
                <c:pt idx="0">
                  <c:v>11.8</c:v>
                </c:pt>
                <c:pt idx="1">
                  <c:v>6.2</c:v>
                </c:pt>
                <c:pt idx="2">
                  <c:v>6.6</c:v>
                </c:pt>
                <c:pt idx="3">
                  <c:v>7.7</c:v>
                </c:pt>
                <c:pt idx="4">
                  <c:v>8.4</c:v>
                </c:pt>
                <c:pt idx="5">
                  <c:v>8.8000000000000007</c:v>
                </c:pt>
              </c:numCache>
            </c:numRef>
          </c:val>
        </c:ser>
        <c:ser>
          <c:idx val="1"/>
          <c:order val="1"/>
          <c:tx>
            <c:strRef>
              <c:f>Sheet1!$A$3</c:f>
              <c:strCache>
                <c:ptCount val="1"/>
              </c:strCache>
            </c:strRef>
          </c:tx>
          <c:spPr>
            <a:solidFill>
              <a:srgbClr val="993366"/>
            </a:solidFill>
            <a:ln w="12613">
              <a:solidFill>
                <a:srgbClr val="000000"/>
              </a:solidFill>
              <a:prstDash val="solid"/>
            </a:ln>
          </c:spPr>
          <c:cat>
            <c:strRef>
              <c:f>Sheet1!$B$1:$H$1</c:f>
              <c:strCache>
                <c:ptCount val="6"/>
                <c:pt idx="0">
                  <c:v>LR vid.(2013)</c:v>
                </c:pt>
                <c:pt idx="1">
                  <c:v>2009</c:v>
                </c:pt>
                <c:pt idx="2">
                  <c:v>2010</c:v>
                </c:pt>
                <c:pt idx="3">
                  <c:v>2011</c:v>
                </c:pt>
                <c:pt idx="4">
                  <c:v>2012</c:v>
                </c:pt>
                <c:pt idx="5">
                  <c:v>2013</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613">
              <a:solidFill>
                <a:srgbClr val="000000"/>
              </a:solidFill>
              <a:prstDash val="solid"/>
            </a:ln>
          </c:spPr>
          <c:cat>
            <c:strRef>
              <c:f>Sheet1!$B$1:$H$1</c:f>
              <c:strCache>
                <c:ptCount val="6"/>
                <c:pt idx="0">
                  <c:v>LR vid.(2013)</c:v>
                </c:pt>
                <c:pt idx="1">
                  <c:v>2009</c:v>
                </c:pt>
                <c:pt idx="2">
                  <c:v>2010</c:v>
                </c:pt>
                <c:pt idx="3">
                  <c:v>2011</c:v>
                </c:pt>
                <c:pt idx="4">
                  <c:v>2012</c:v>
                </c:pt>
                <c:pt idx="5">
                  <c:v>2013</c:v>
                </c:pt>
              </c:strCache>
            </c:strRef>
          </c:cat>
          <c:val>
            <c:numRef>
              <c:f>Sheet1!$B$4:$H$4</c:f>
              <c:numCache>
                <c:formatCode>General</c:formatCode>
                <c:ptCount val="7"/>
              </c:numCache>
            </c:numRef>
          </c:val>
        </c:ser>
        <c:gapDepth val="0"/>
        <c:shape val="box"/>
        <c:axId val="69795840"/>
        <c:axId val="69797376"/>
        <c:axId val="0"/>
      </c:bar3DChart>
      <c:catAx>
        <c:axId val="69795840"/>
        <c:scaling>
          <c:orientation val="minMax"/>
        </c:scaling>
        <c:axPos val="b"/>
        <c:numFmt formatCode="General" sourceLinked="1"/>
        <c:tickLblPos val="low"/>
        <c:spPr>
          <a:ln w="3153">
            <a:solidFill>
              <a:srgbClr val="000000"/>
            </a:solidFill>
            <a:prstDash val="solid"/>
          </a:ln>
        </c:spPr>
        <c:txPr>
          <a:bodyPr rot="0" vert="horz"/>
          <a:lstStyle/>
          <a:p>
            <a:pPr>
              <a:defRPr sz="795" b="1" i="0" u="none" strike="noStrike" baseline="0">
                <a:solidFill>
                  <a:srgbClr val="000000"/>
                </a:solidFill>
                <a:latin typeface="Arial"/>
                <a:ea typeface="Arial"/>
                <a:cs typeface="Arial"/>
              </a:defRPr>
            </a:pPr>
            <a:endParaRPr lang="en-US"/>
          </a:p>
        </c:txPr>
        <c:crossAx val="69797376"/>
        <c:crosses val="autoZero"/>
        <c:auto val="1"/>
        <c:lblAlgn val="ctr"/>
        <c:lblOffset val="100"/>
        <c:tickLblSkip val="1"/>
        <c:tickMarkSkip val="1"/>
      </c:catAx>
      <c:valAx>
        <c:axId val="69797376"/>
        <c:scaling>
          <c:orientation val="minMax"/>
        </c:scaling>
        <c:axPos val="l"/>
        <c:numFmt formatCode="General" sourceLinked="1"/>
        <c:tickLblPos val="nextTo"/>
        <c:spPr>
          <a:ln w="3153">
            <a:solidFill>
              <a:srgbClr val="000000"/>
            </a:solidFill>
            <a:prstDash val="solid"/>
          </a:ln>
        </c:spPr>
        <c:txPr>
          <a:bodyPr rot="0" vert="horz"/>
          <a:lstStyle/>
          <a:p>
            <a:pPr>
              <a:defRPr sz="795" b="1" i="0" u="none" strike="noStrike" baseline="0">
                <a:solidFill>
                  <a:srgbClr val="000000"/>
                </a:solidFill>
                <a:latin typeface="Arial"/>
                <a:ea typeface="Arial"/>
                <a:cs typeface="Arial"/>
              </a:defRPr>
            </a:pPr>
            <a:endParaRPr lang="en-US"/>
          </a:p>
        </c:txPr>
        <c:crossAx val="69795840"/>
        <c:crosses val="autoZero"/>
        <c:crossBetween val="between"/>
      </c:valAx>
      <c:spPr>
        <a:noFill/>
        <a:ln w="25226">
          <a:noFill/>
        </a:ln>
      </c:spPr>
    </c:plotArea>
    <c:plotVisOnly val="1"/>
    <c:dispBlanksAs val="gap"/>
  </c:chart>
  <c:spPr>
    <a:noFill/>
    <a:ln>
      <a:noFill/>
    </a:ln>
  </c:spPr>
  <c:txPr>
    <a:bodyPr/>
    <a:lstStyle/>
    <a:p>
      <a:pPr>
        <a:defRPr sz="795" b="1"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Vilnius</c:v>
                </c:pt>
              </c:strCache>
            </c:strRef>
          </c:tx>
          <c:cat>
            <c:numRef>
              <c:f>Sheet1!$A$2:$A$6</c:f>
              <c:numCache>
                <c:formatCode>General</c:formatCode>
                <c:ptCount val="5"/>
                <c:pt idx="0">
                  <c:v>2009</c:v>
                </c:pt>
                <c:pt idx="1">
                  <c:v>2010</c:v>
                </c:pt>
                <c:pt idx="2">
                  <c:v>2011</c:v>
                </c:pt>
                <c:pt idx="3">
                  <c:v>2012</c:v>
                </c:pt>
                <c:pt idx="4">
                  <c:v>2013</c:v>
                </c:pt>
              </c:numCache>
            </c:numRef>
          </c:cat>
          <c:val>
            <c:numRef>
              <c:f>Sheet1!$B$2:$B$6</c:f>
              <c:numCache>
                <c:formatCode>General</c:formatCode>
                <c:ptCount val="5"/>
                <c:pt idx="0">
                  <c:v>11003</c:v>
                </c:pt>
                <c:pt idx="1">
                  <c:v>11122</c:v>
                </c:pt>
                <c:pt idx="2">
                  <c:v>12411</c:v>
                </c:pt>
                <c:pt idx="3">
                  <c:v>13911</c:v>
                </c:pt>
                <c:pt idx="4">
                  <c:v>14460</c:v>
                </c:pt>
              </c:numCache>
            </c:numRef>
          </c:val>
        </c:ser>
        <c:ser>
          <c:idx val="1"/>
          <c:order val="1"/>
          <c:tx>
            <c:strRef>
              <c:f>Sheet1!$C$1</c:f>
              <c:strCache>
                <c:ptCount val="1"/>
                <c:pt idx="0">
                  <c:v>Kaunas</c:v>
                </c:pt>
              </c:strCache>
            </c:strRef>
          </c:tx>
          <c:cat>
            <c:numRef>
              <c:f>Sheet1!$A$2:$A$6</c:f>
              <c:numCache>
                <c:formatCode>General</c:formatCode>
                <c:ptCount val="5"/>
                <c:pt idx="0">
                  <c:v>2009</c:v>
                </c:pt>
                <c:pt idx="1">
                  <c:v>2010</c:v>
                </c:pt>
                <c:pt idx="2">
                  <c:v>2011</c:v>
                </c:pt>
                <c:pt idx="3">
                  <c:v>2012</c:v>
                </c:pt>
                <c:pt idx="4">
                  <c:v>2013</c:v>
                </c:pt>
              </c:numCache>
            </c:numRef>
          </c:cat>
          <c:val>
            <c:numRef>
              <c:f>Sheet1!$C$2:$C$6</c:f>
              <c:numCache>
                <c:formatCode>General</c:formatCode>
                <c:ptCount val="5"/>
                <c:pt idx="0">
                  <c:v>2547</c:v>
                </c:pt>
                <c:pt idx="1">
                  <c:v>2883</c:v>
                </c:pt>
                <c:pt idx="2">
                  <c:v>3605</c:v>
                </c:pt>
                <c:pt idx="3">
                  <c:v>3810</c:v>
                </c:pt>
                <c:pt idx="4">
                  <c:v>3171</c:v>
                </c:pt>
              </c:numCache>
            </c:numRef>
          </c:val>
        </c:ser>
        <c:ser>
          <c:idx val="2"/>
          <c:order val="2"/>
          <c:tx>
            <c:strRef>
              <c:f>Sheet1!$D$1</c:f>
              <c:strCache>
                <c:ptCount val="1"/>
                <c:pt idx="0">
                  <c:v>Klaipėda</c:v>
                </c:pt>
              </c:strCache>
            </c:strRef>
          </c:tx>
          <c:cat>
            <c:numRef>
              <c:f>Sheet1!$A$2:$A$6</c:f>
              <c:numCache>
                <c:formatCode>General</c:formatCode>
                <c:ptCount val="5"/>
                <c:pt idx="0">
                  <c:v>2009</c:v>
                </c:pt>
                <c:pt idx="1">
                  <c:v>2010</c:v>
                </c:pt>
                <c:pt idx="2">
                  <c:v>2011</c:v>
                </c:pt>
                <c:pt idx="3">
                  <c:v>2012</c:v>
                </c:pt>
                <c:pt idx="4">
                  <c:v>2013</c:v>
                </c:pt>
              </c:numCache>
            </c:numRef>
          </c:cat>
          <c:val>
            <c:numRef>
              <c:f>Sheet1!$D$2:$D$6</c:f>
              <c:numCache>
                <c:formatCode>General</c:formatCode>
                <c:ptCount val="5"/>
                <c:pt idx="0">
                  <c:v>4136</c:v>
                </c:pt>
                <c:pt idx="1">
                  <c:v>4227</c:v>
                </c:pt>
                <c:pt idx="2">
                  <c:v>4398</c:v>
                </c:pt>
                <c:pt idx="3">
                  <c:v>4552</c:v>
                </c:pt>
                <c:pt idx="4">
                  <c:v>4046</c:v>
                </c:pt>
              </c:numCache>
            </c:numRef>
          </c:val>
        </c:ser>
        <c:ser>
          <c:idx val="3"/>
          <c:order val="3"/>
          <c:tx>
            <c:strRef>
              <c:f>Sheet1!$E$1</c:f>
              <c:strCache>
                <c:ptCount val="1"/>
                <c:pt idx="0">
                  <c:v>Šiauliai</c:v>
                </c:pt>
              </c:strCache>
            </c:strRef>
          </c:tx>
          <c:cat>
            <c:numRef>
              <c:f>Sheet1!$A$2:$A$6</c:f>
              <c:numCache>
                <c:formatCode>General</c:formatCode>
                <c:ptCount val="5"/>
                <c:pt idx="0">
                  <c:v>2009</c:v>
                </c:pt>
                <c:pt idx="1">
                  <c:v>2010</c:v>
                </c:pt>
                <c:pt idx="2">
                  <c:v>2011</c:v>
                </c:pt>
                <c:pt idx="3">
                  <c:v>2012</c:v>
                </c:pt>
                <c:pt idx="4">
                  <c:v>2013</c:v>
                </c:pt>
              </c:numCache>
            </c:numRef>
          </c:cat>
          <c:val>
            <c:numRef>
              <c:f>Sheet1!$E$2:$E$6</c:f>
              <c:numCache>
                <c:formatCode>General</c:formatCode>
                <c:ptCount val="5"/>
                <c:pt idx="0">
                  <c:v>703</c:v>
                </c:pt>
                <c:pt idx="1">
                  <c:v>737</c:v>
                </c:pt>
                <c:pt idx="2">
                  <c:v>698</c:v>
                </c:pt>
                <c:pt idx="3">
                  <c:v>710</c:v>
                </c:pt>
                <c:pt idx="4">
                  <c:v>748</c:v>
                </c:pt>
              </c:numCache>
            </c:numRef>
          </c:val>
        </c:ser>
        <c:ser>
          <c:idx val="4"/>
          <c:order val="4"/>
          <c:tx>
            <c:strRef>
              <c:f>Sheet1!$F$1</c:f>
              <c:strCache>
                <c:ptCount val="1"/>
                <c:pt idx="0">
                  <c:v>Panevėžys</c:v>
                </c:pt>
              </c:strCache>
            </c:strRef>
          </c:tx>
          <c:dLbls>
            <c:showVal val="1"/>
          </c:dLbls>
          <c:cat>
            <c:numRef>
              <c:f>Sheet1!$A$2:$A$6</c:f>
              <c:numCache>
                <c:formatCode>General</c:formatCode>
                <c:ptCount val="5"/>
                <c:pt idx="0">
                  <c:v>2009</c:v>
                </c:pt>
                <c:pt idx="1">
                  <c:v>2010</c:v>
                </c:pt>
                <c:pt idx="2">
                  <c:v>2011</c:v>
                </c:pt>
                <c:pt idx="3">
                  <c:v>2012</c:v>
                </c:pt>
                <c:pt idx="4">
                  <c:v>2013</c:v>
                </c:pt>
              </c:numCache>
            </c:numRef>
          </c:cat>
          <c:val>
            <c:numRef>
              <c:f>Sheet1!$F$2:$F$6</c:f>
              <c:numCache>
                <c:formatCode>General</c:formatCode>
                <c:ptCount val="5"/>
                <c:pt idx="0">
                  <c:v>1499</c:v>
                </c:pt>
                <c:pt idx="1">
                  <c:v>1595</c:v>
                </c:pt>
                <c:pt idx="2">
                  <c:v>1908</c:v>
                </c:pt>
                <c:pt idx="3">
                  <c:v>2282</c:v>
                </c:pt>
                <c:pt idx="4">
                  <c:v>2554</c:v>
                </c:pt>
              </c:numCache>
            </c:numRef>
          </c:val>
        </c:ser>
        <c:axId val="69831296"/>
        <c:axId val="69845376"/>
      </c:barChart>
      <c:catAx>
        <c:axId val="69831296"/>
        <c:scaling>
          <c:orientation val="minMax"/>
        </c:scaling>
        <c:axPos val="b"/>
        <c:numFmt formatCode="General" sourceLinked="1"/>
        <c:tickLblPos val="nextTo"/>
        <c:crossAx val="69845376"/>
        <c:crosses val="autoZero"/>
        <c:auto val="1"/>
        <c:lblAlgn val="ctr"/>
        <c:lblOffset val="100"/>
      </c:catAx>
      <c:valAx>
        <c:axId val="69845376"/>
        <c:scaling>
          <c:orientation val="minMax"/>
        </c:scaling>
        <c:axPos val="l"/>
        <c:majorGridlines/>
        <c:numFmt formatCode="General" sourceLinked="1"/>
        <c:tickLblPos val="nextTo"/>
        <c:crossAx val="6983129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30"/>
      <c:depthPercent val="21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4638783269961989E-2"/>
          <c:y val="5.8479532163742687E-2"/>
          <c:w val="0.91634980988593151"/>
          <c:h val="0.7309941520467903"/>
        </c:manualLayout>
      </c:layout>
      <c:bar3DChart>
        <c:barDir val="col"/>
        <c:grouping val="clustered"/>
        <c:ser>
          <c:idx val="0"/>
          <c:order val="0"/>
          <c:tx>
            <c:strRef>
              <c:f>Sheet1!$A$2</c:f>
              <c:strCache>
                <c:ptCount val="1"/>
              </c:strCache>
            </c:strRef>
          </c:tx>
          <c:spPr>
            <a:solidFill>
              <a:srgbClr val="9999FF"/>
            </a:solidFill>
            <a:ln w="12629">
              <a:solidFill>
                <a:srgbClr val="000000"/>
              </a:solidFill>
              <a:prstDash val="solid"/>
            </a:ln>
          </c:spPr>
          <c:dLbls>
            <c:dLbl>
              <c:idx val="0"/>
              <c:layout>
                <c:manualLayout>
                  <c:x val="3.399882066796521E-2"/>
                  <c:y val="-4.4126156228145412E-2"/>
                </c:manualLayout>
              </c:layout>
              <c:showVal val="1"/>
            </c:dLbl>
            <c:dLbl>
              <c:idx val="1"/>
              <c:layout>
                <c:manualLayout>
                  <c:x val="2.0451790557476396E-2"/>
                  <c:y val="-3.2503904444337602E-2"/>
                </c:manualLayout>
              </c:layout>
              <c:showVal val="1"/>
            </c:dLbl>
            <c:dLbl>
              <c:idx val="2"/>
              <c:layout>
                <c:manualLayout>
                  <c:x val="8.8060981048996567E-3"/>
                  <c:y val="-5.9365148417221333E-2"/>
                </c:manualLayout>
              </c:layout>
              <c:showVal val="1"/>
            </c:dLbl>
            <c:dLbl>
              <c:idx val="3"/>
              <c:layout>
                <c:manualLayout>
                  <c:x val="1.2019074449598989E-2"/>
                  <c:y val="-4.8588449560990045E-2"/>
                </c:manualLayout>
              </c:layout>
              <c:showVal val="1"/>
            </c:dLbl>
            <c:dLbl>
              <c:idx val="4"/>
              <c:layout>
                <c:manualLayout>
                  <c:x val="3.8746652363244947E-2"/>
                  <c:y val="-4.7225523096324211E-2"/>
                </c:manualLayout>
              </c:layout>
              <c:showVal val="1"/>
            </c:dLbl>
            <c:spPr>
              <a:noFill/>
              <a:ln w="25258">
                <a:noFill/>
              </a:ln>
            </c:spPr>
            <c:txPr>
              <a:bodyPr/>
              <a:lstStyle/>
              <a:p>
                <a:pPr>
                  <a:defRPr sz="945"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155.69999999999999</c:v>
                </c:pt>
                <c:pt idx="1">
                  <c:v>159.5</c:v>
                </c:pt>
                <c:pt idx="2">
                  <c:v>189.7</c:v>
                </c:pt>
                <c:pt idx="3">
                  <c:v>222.2</c:v>
                </c:pt>
                <c:pt idx="4">
                  <c:v>246.1</c:v>
                </c:pt>
              </c:numCache>
            </c:numRef>
          </c:val>
        </c:ser>
        <c:ser>
          <c:idx val="1"/>
          <c:order val="1"/>
          <c:tx>
            <c:strRef>
              <c:f>Sheet1!$A$3</c:f>
              <c:strCache>
                <c:ptCount val="1"/>
              </c:strCache>
            </c:strRef>
          </c:tx>
          <c:spPr>
            <a:solidFill>
              <a:srgbClr val="993366"/>
            </a:solidFill>
            <a:ln w="12629">
              <a:solidFill>
                <a:srgbClr val="000000"/>
              </a:solidFill>
              <a:prstDash val="solid"/>
            </a:ln>
          </c:spPr>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29">
              <a:solidFill>
                <a:srgbClr val="000000"/>
              </a:solidFill>
              <a:prstDash val="solid"/>
            </a:ln>
          </c:spPr>
          <c:cat>
            <c:numRef>
              <c:f>Sheet1!$B$1:$F$1</c:f>
              <c:numCache>
                <c:formatCode>General</c:formatCode>
                <c:ptCount val="5"/>
                <c:pt idx="0">
                  <c:v>2009</c:v>
                </c:pt>
                <c:pt idx="1">
                  <c:v>2010</c:v>
                </c:pt>
                <c:pt idx="2">
                  <c:v>2011</c:v>
                </c:pt>
                <c:pt idx="3">
                  <c:v>2012</c:v>
                </c:pt>
                <c:pt idx="4">
                  <c:v>2013</c:v>
                </c:pt>
              </c:numCache>
            </c:numRef>
          </c:cat>
          <c:val>
            <c:numRef>
              <c:f>Sheet1!$B$4:$F$4</c:f>
              <c:numCache>
                <c:formatCode>General</c:formatCode>
                <c:ptCount val="5"/>
              </c:numCache>
            </c:numRef>
          </c:val>
        </c:ser>
        <c:gapDepth val="0"/>
        <c:shape val="box"/>
        <c:axId val="68471808"/>
        <c:axId val="69858048"/>
        <c:axId val="0"/>
      </c:bar3DChart>
      <c:catAx>
        <c:axId val="68471808"/>
        <c:scaling>
          <c:orientation val="minMax"/>
        </c:scaling>
        <c:axPos val="b"/>
        <c:numFmt formatCode="General" sourceLinked="1"/>
        <c:tickLblPos val="low"/>
        <c:spPr>
          <a:ln w="3157">
            <a:solidFill>
              <a:srgbClr val="000000"/>
            </a:solidFill>
            <a:prstDash val="solid"/>
          </a:ln>
        </c:spPr>
        <c:txPr>
          <a:bodyPr rot="0" vert="horz"/>
          <a:lstStyle/>
          <a:p>
            <a:pPr>
              <a:defRPr sz="945" b="1" i="0" u="none" strike="noStrike" baseline="0">
                <a:solidFill>
                  <a:srgbClr val="000000"/>
                </a:solidFill>
                <a:latin typeface="Arial"/>
                <a:ea typeface="Arial"/>
                <a:cs typeface="Arial"/>
              </a:defRPr>
            </a:pPr>
            <a:endParaRPr lang="en-US"/>
          </a:p>
        </c:txPr>
        <c:crossAx val="69858048"/>
        <c:crosses val="autoZero"/>
        <c:auto val="1"/>
        <c:lblAlgn val="ctr"/>
        <c:lblOffset val="100"/>
        <c:tickLblSkip val="1"/>
        <c:tickMarkSkip val="1"/>
      </c:catAx>
      <c:valAx>
        <c:axId val="69858048"/>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68471808"/>
        <c:crosses val="autoZero"/>
        <c:crossBetween val="between"/>
      </c:valAx>
      <c:spPr>
        <a:noFill/>
        <a:ln w="25258">
          <a:noFill/>
        </a:ln>
      </c:spPr>
    </c:plotArea>
    <c:plotVisOnly val="1"/>
    <c:dispBlanksAs val="gap"/>
  </c:chart>
  <c:spPr>
    <a:noFill/>
    <a:ln>
      <a:noFill/>
    </a:ln>
  </c:spPr>
  <c:txPr>
    <a:bodyPr/>
    <a:lstStyle/>
    <a:p>
      <a:pPr>
        <a:defRPr sz="945" b="1"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14"/>
      <c:hPercent val="30"/>
      <c:rotY val="44"/>
      <c:depthPercent val="310"/>
      <c:rAngAx val="1"/>
    </c:view3D>
    <c:floor>
      <c:spPr>
        <a:solidFill>
          <a:srgbClr val="C0C0C0"/>
        </a:solidFill>
        <a:ln w="3175">
          <a:solidFill>
            <a:srgbClr val="000000"/>
          </a:solidFill>
          <a:prstDash val="solid"/>
        </a:ln>
      </c:spPr>
    </c:floor>
    <c:sideWall>
      <c:spPr>
        <a:solidFill>
          <a:srgbClr val="C0C0C0"/>
        </a:solidFill>
        <a:ln w="3175">
          <a:solidFill>
            <a:srgbClr val="000000"/>
          </a:solidFill>
          <a:prstDash val="solid"/>
        </a:ln>
      </c:spPr>
    </c:sideWall>
    <c:backWall>
      <c:spPr>
        <a:solidFill>
          <a:srgbClr val="C0C0C0"/>
        </a:solidFill>
        <a:ln w="3175">
          <a:solidFill>
            <a:srgbClr val="000000"/>
          </a:solidFill>
          <a:prstDash val="solid"/>
        </a:ln>
      </c:spPr>
    </c:backWall>
    <c:plotArea>
      <c:layout>
        <c:manualLayout>
          <c:layoutTarget val="inner"/>
          <c:xMode val="edge"/>
          <c:yMode val="edge"/>
          <c:x val="4.2993630573249057E-2"/>
          <c:y val="5.1813471502591179E-3"/>
          <c:w val="0.94108280254777466"/>
          <c:h val="0.81347150259067824"/>
        </c:manualLayout>
      </c:layout>
      <c:bar3DChart>
        <c:barDir val="col"/>
        <c:grouping val="clustered"/>
        <c:ser>
          <c:idx val="0"/>
          <c:order val="0"/>
          <c:tx>
            <c:strRef>
              <c:f>Sheet1!$A$2</c:f>
              <c:strCache>
                <c:ptCount val="1"/>
                <c:pt idx="0">
                  <c:v>East</c:v>
                </c:pt>
              </c:strCache>
            </c:strRef>
          </c:tx>
          <c:spPr>
            <a:solidFill>
              <a:srgbClr val="9999FF"/>
            </a:solidFill>
            <a:ln w="12621">
              <a:solidFill>
                <a:srgbClr val="000000"/>
              </a:solidFill>
              <a:prstDash val="solid"/>
            </a:ln>
          </c:spPr>
          <c:dLbls>
            <c:dLbl>
              <c:idx val="0"/>
              <c:layout>
                <c:manualLayout>
                  <c:x val="9.3009495997494321E-2"/>
                  <c:y val="6.2656631026357542E-4"/>
                </c:manualLayout>
              </c:layout>
              <c:showVal val="1"/>
            </c:dLbl>
            <c:dLbl>
              <c:idx val="1"/>
              <c:layout>
                <c:manualLayout>
                  <c:x val="6.5150239777061303E-2"/>
                  <c:y val="-7.644216440070227E-2"/>
                </c:manualLayout>
              </c:layout>
              <c:showVal val="1"/>
            </c:dLbl>
            <c:dLbl>
              <c:idx val="2"/>
              <c:layout>
                <c:manualLayout>
                  <c:x val="2.6888169801174543E-2"/>
                  <c:y val="-8.5272908869239397E-2"/>
                </c:manualLayout>
              </c:layout>
              <c:showVal val="1"/>
            </c:dLbl>
            <c:dLbl>
              <c:idx val="3"/>
              <c:layout>
                <c:manualLayout>
                  <c:x val="5.0728010653312984E-2"/>
                  <c:y val="-3.5648868886922452E-2"/>
                </c:manualLayout>
              </c:layout>
              <c:showVal val="1"/>
            </c:dLbl>
            <c:dLbl>
              <c:idx val="4"/>
              <c:layout>
                <c:manualLayout>
                  <c:x val="3.9536004371693287E-2"/>
                  <c:y val="-7.8523361281644291E-2"/>
                </c:manualLayout>
              </c:layout>
              <c:showVal val="1"/>
            </c:dLbl>
            <c:dLbl>
              <c:idx val="5"/>
              <c:layout>
                <c:manualLayout>
                  <c:x val="3.6305781529564644E-2"/>
                  <c:y val="-5.7797972680608524E-2"/>
                </c:manualLayout>
              </c:layout>
              <c:showVal val="1"/>
            </c:dLbl>
            <c:dLbl>
              <c:idx val="6"/>
              <c:layout>
                <c:manualLayout>
                  <c:x val="2.1929061872148669E-2"/>
                  <c:y val="-9.5490600748338553E-2"/>
                </c:manualLayout>
              </c:layout>
              <c:showVal val="1"/>
            </c:dLbl>
            <c:dLbl>
              <c:idx val="7"/>
              <c:layout>
                <c:manualLayout>
                  <c:x val="1.9017771289710547E-2"/>
                  <c:y val="-0.11059433186360022"/>
                </c:manualLayout>
              </c:layout>
              <c:showVal val="1"/>
            </c:dLbl>
            <c:dLbl>
              <c:idx val="8"/>
              <c:layout>
                <c:manualLayout>
                  <c:x val="2.6190527797479792E-2"/>
                  <c:y val="-0.11646941130750645"/>
                </c:manualLayout>
              </c:layout>
              <c:showVal val="1"/>
            </c:dLbl>
            <c:spPr>
              <a:noFill/>
              <a:ln w="25241">
                <a:noFill/>
              </a:ln>
            </c:spPr>
            <c:txPr>
              <a:bodyPr/>
              <a:lstStyle/>
              <a:p>
                <a:pPr>
                  <a:defRPr sz="944" b="1" i="0" u="none" strike="noStrike" baseline="0">
                    <a:solidFill>
                      <a:srgbClr val="000000"/>
                    </a:solidFill>
                    <a:latin typeface="Arial"/>
                    <a:ea typeface="Arial"/>
                    <a:cs typeface="Arial"/>
                  </a:defRPr>
                </a:pPr>
                <a:endParaRPr lang="en-US"/>
              </a:p>
            </c:txPr>
            <c:showVal val="1"/>
          </c:dLbls>
          <c:cat>
            <c:strRef>
              <c:f>Sheet1!$B$1:$J$1</c:f>
              <c:strCache>
                <c:ptCount val="9"/>
                <c:pt idx="0">
                  <c:v>Danija</c:v>
                </c:pt>
                <c:pt idx="1">
                  <c:v>Vokietija</c:v>
                </c:pt>
                <c:pt idx="2">
                  <c:v>Norvegija</c:v>
                </c:pt>
                <c:pt idx="3">
                  <c:v>Suomija</c:v>
                </c:pt>
                <c:pt idx="4">
                  <c:v>Estija</c:v>
                </c:pt>
                <c:pt idx="5">
                  <c:v>Latvija</c:v>
                </c:pt>
                <c:pt idx="6">
                  <c:v>Prancūzija</c:v>
                </c:pt>
                <c:pt idx="7">
                  <c:v>Šveicarija</c:v>
                </c:pt>
                <c:pt idx="8">
                  <c:v>Lenkija</c:v>
                </c:pt>
              </c:strCache>
            </c:strRef>
          </c:cat>
          <c:val>
            <c:numRef>
              <c:f>Sheet1!$B$2:$J$2</c:f>
              <c:numCache>
                <c:formatCode>General</c:formatCode>
                <c:ptCount val="9"/>
                <c:pt idx="0">
                  <c:v>95.31</c:v>
                </c:pt>
                <c:pt idx="1">
                  <c:v>48.36</c:v>
                </c:pt>
                <c:pt idx="2">
                  <c:v>25.52</c:v>
                </c:pt>
                <c:pt idx="3">
                  <c:v>22.22</c:v>
                </c:pt>
                <c:pt idx="4">
                  <c:v>20.260000000000002</c:v>
                </c:pt>
                <c:pt idx="5">
                  <c:v>16.579999999999988</c:v>
                </c:pt>
                <c:pt idx="6">
                  <c:v>15.67</c:v>
                </c:pt>
                <c:pt idx="7">
                  <c:v>12.83</c:v>
                </c:pt>
                <c:pt idx="8">
                  <c:v>11.870000000000006</c:v>
                </c:pt>
              </c:numCache>
            </c:numRef>
          </c:val>
        </c:ser>
        <c:ser>
          <c:idx val="1"/>
          <c:order val="1"/>
          <c:tx>
            <c:strRef>
              <c:f>Sheet1!$A$3</c:f>
              <c:strCache>
                <c:ptCount val="1"/>
              </c:strCache>
            </c:strRef>
          </c:tx>
          <c:spPr>
            <a:solidFill>
              <a:srgbClr val="993366"/>
            </a:solidFill>
            <a:ln w="12621">
              <a:solidFill>
                <a:srgbClr val="000000"/>
              </a:solidFill>
              <a:prstDash val="solid"/>
            </a:ln>
          </c:spPr>
          <c:cat>
            <c:strRef>
              <c:f>Sheet1!$B$1:$J$1</c:f>
              <c:strCache>
                <c:ptCount val="9"/>
                <c:pt idx="0">
                  <c:v>Danija</c:v>
                </c:pt>
                <c:pt idx="1">
                  <c:v>Vokietija</c:v>
                </c:pt>
                <c:pt idx="2">
                  <c:v>Norvegija</c:v>
                </c:pt>
                <c:pt idx="3">
                  <c:v>Suomija</c:v>
                </c:pt>
                <c:pt idx="4">
                  <c:v>Estija</c:v>
                </c:pt>
                <c:pt idx="5">
                  <c:v>Latvija</c:v>
                </c:pt>
                <c:pt idx="6">
                  <c:v>Prancūzija</c:v>
                </c:pt>
                <c:pt idx="7">
                  <c:v>Šveicarija</c:v>
                </c:pt>
                <c:pt idx="8">
                  <c:v>Lenkija</c:v>
                </c:pt>
              </c:strCache>
            </c:strRef>
          </c:cat>
          <c:val>
            <c:numRef>
              <c:f>Sheet1!$B$3:$J$3</c:f>
              <c:numCache>
                <c:formatCode>General</c:formatCode>
                <c:ptCount val="9"/>
              </c:numCache>
            </c:numRef>
          </c:val>
        </c:ser>
        <c:ser>
          <c:idx val="2"/>
          <c:order val="2"/>
          <c:tx>
            <c:strRef>
              <c:f>Sheet1!$A$4</c:f>
              <c:strCache>
                <c:ptCount val="1"/>
              </c:strCache>
            </c:strRef>
          </c:tx>
          <c:spPr>
            <a:solidFill>
              <a:srgbClr val="FFFFCC"/>
            </a:solidFill>
            <a:ln w="12621">
              <a:solidFill>
                <a:srgbClr val="000000"/>
              </a:solidFill>
              <a:prstDash val="solid"/>
            </a:ln>
          </c:spPr>
          <c:cat>
            <c:strRef>
              <c:f>Sheet1!$B$1:$J$1</c:f>
              <c:strCache>
                <c:ptCount val="9"/>
                <c:pt idx="0">
                  <c:v>Danija</c:v>
                </c:pt>
                <c:pt idx="1">
                  <c:v>Vokietija</c:v>
                </c:pt>
                <c:pt idx="2">
                  <c:v>Norvegija</c:v>
                </c:pt>
                <c:pt idx="3">
                  <c:v>Suomija</c:v>
                </c:pt>
                <c:pt idx="4">
                  <c:v>Estija</c:v>
                </c:pt>
                <c:pt idx="5">
                  <c:v>Latvija</c:v>
                </c:pt>
                <c:pt idx="6">
                  <c:v>Prancūzija</c:v>
                </c:pt>
                <c:pt idx="7">
                  <c:v>Šveicarija</c:v>
                </c:pt>
                <c:pt idx="8">
                  <c:v>Lenkija</c:v>
                </c:pt>
              </c:strCache>
            </c:strRef>
          </c:cat>
          <c:val>
            <c:numRef>
              <c:f>Sheet1!$B$4:$J$4</c:f>
              <c:numCache>
                <c:formatCode>General</c:formatCode>
                <c:ptCount val="9"/>
              </c:numCache>
            </c:numRef>
          </c:val>
        </c:ser>
        <c:gapDepth val="0"/>
        <c:shape val="box"/>
        <c:axId val="70252416"/>
        <c:axId val="70253952"/>
        <c:axId val="0"/>
      </c:bar3DChart>
      <c:catAx>
        <c:axId val="70252416"/>
        <c:scaling>
          <c:orientation val="minMax"/>
        </c:scaling>
        <c:axPos val="b"/>
        <c:numFmt formatCode="General" sourceLinked="1"/>
        <c:tickLblPos val="low"/>
        <c:spPr>
          <a:ln w="3155">
            <a:solidFill>
              <a:srgbClr val="000000"/>
            </a:solidFill>
            <a:prstDash val="solid"/>
          </a:ln>
        </c:spPr>
        <c:txPr>
          <a:bodyPr rot="0" vert="horz"/>
          <a:lstStyle/>
          <a:p>
            <a:pPr>
              <a:defRPr sz="894" b="1" i="0" u="none" strike="noStrike" baseline="0">
                <a:solidFill>
                  <a:srgbClr val="000000"/>
                </a:solidFill>
                <a:latin typeface="Arial"/>
                <a:ea typeface="Arial"/>
                <a:cs typeface="Arial"/>
              </a:defRPr>
            </a:pPr>
            <a:endParaRPr lang="en-US"/>
          </a:p>
        </c:txPr>
        <c:crossAx val="70253952"/>
        <c:crosses val="autoZero"/>
        <c:auto val="1"/>
        <c:lblAlgn val="ctr"/>
        <c:lblOffset val="100"/>
        <c:tickLblSkip val="1"/>
        <c:tickMarkSkip val="1"/>
      </c:catAx>
      <c:valAx>
        <c:axId val="70253952"/>
        <c:scaling>
          <c:orientation val="minMax"/>
        </c:scaling>
        <c:axPos val="l"/>
        <c:majorGridlines>
          <c:spPr>
            <a:ln w="3155">
              <a:solidFill>
                <a:srgbClr val="000000"/>
              </a:solidFill>
              <a:prstDash val="solid"/>
            </a:ln>
          </c:spPr>
        </c:majorGridlines>
        <c:numFmt formatCode="General" sourceLinked="1"/>
        <c:tickLblPos val="nextTo"/>
        <c:spPr>
          <a:ln w="3155">
            <a:solidFill>
              <a:srgbClr val="000000"/>
            </a:solidFill>
            <a:prstDash val="solid"/>
          </a:ln>
        </c:spPr>
        <c:txPr>
          <a:bodyPr rot="0" vert="horz"/>
          <a:lstStyle/>
          <a:p>
            <a:pPr>
              <a:defRPr sz="894" b="1" i="0" u="none" strike="noStrike" baseline="0">
                <a:solidFill>
                  <a:srgbClr val="000000"/>
                </a:solidFill>
                <a:latin typeface="Arial"/>
                <a:ea typeface="Arial"/>
                <a:cs typeface="Arial"/>
              </a:defRPr>
            </a:pPr>
            <a:endParaRPr lang="en-US"/>
          </a:p>
        </c:txPr>
        <c:crossAx val="70252416"/>
        <c:crosses val="autoZero"/>
        <c:crossBetween val="between"/>
      </c:valAx>
      <c:spPr>
        <a:noFill/>
        <a:ln w="25241">
          <a:noFill/>
        </a:ln>
      </c:spPr>
    </c:plotArea>
    <c:plotVisOnly val="1"/>
    <c:dispBlanksAs val="gap"/>
  </c:chart>
  <c:spPr>
    <a:noFill/>
    <a:ln>
      <a:noFill/>
    </a:ln>
  </c:spPr>
  <c:txPr>
    <a:bodyPr/>
    <a:lstStyle/>
    <a:p>
      <a:pPr>
        <a:defRPr sz="845" b="1" i="0" u="none" strike="noStrike" baseline="0">
          <a:solidFill>
            <a:srgbClr val="000000"/>
          </a:solidFill>
          <a:latin typeface="Arial"/>
          <a:ea typeface="Arial"/>
          <a:cs typeface="Aria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30"/>
      <c:depthPercent val="21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6045627376425853E-2"/>
          <c:y val="5.8479532163742687E-2"/>
          <c:w val="0.90494296577946387"/>
          <c:h val="0.73099415204678952"/>
        </c:manualLayout>
      </c:layout>
      <c:bar3DChart>
        <c:barDir val="col"/>
        <c:grouping val="clustered"/>
        <c:ser>
          <c:idx val="0"/>
          <c:order val="0"/>
          <c:tx>
            <c:strRef>
              <c:f>Sheet1!$A$2</c:f>
              <c:strCache>
                <c:ptCount val="1"/>
              </c:strCache>
            </c:strRef>
          </c:tx>
          <c:spPr>
            <a:solidFill>
              <a:srgbClr val="9999FF"/>
            </a:solidFill>
            <a:ln w="12629">
              <a:solidFill>
                <a:srgbClr val="000000"/>
              </a:solidFill>
              <a:prstDash val="solid"/>
            </a:ln>
          </c:spPr>
          <c:dLbls>
            <c:dLbl>
              <c:idx val="0"/>
              <c:layout>
                <c:manualLayout>
                  <c:x val="3.3842674979547675E-2"/>
                  <c:y val="-4.2409477820797632E-2"/>
                </c:manualLayout>
              </c:layout>
              <c:showVal val="1"/>
            </c:dLbl>
            <c:dLbl>
              <c:idx val="1"/>
              <c:layout>
                <c:manualLayout>
                  <c:x val="2.2272029431286484E-2"/>
                  <c:y val="-3.6257533815833402E-2"/>
                </c:manualLayout>
              </c:layout>
              <c:showVal val="1"/>
            </c:dLbl>
            <c:dLbl>
              <c:idx val="2"/>
              <c:layout>
                <c:manualLayout>
                  <c:x val="8.8000462251125681E-3"/>
                  <c:y val="-5.4210218488609282E-2"/>
                </c:manualLayout>
              </c:layout>
              <c:showVal val="1"/>
            </c:dLbl>
            <c:dLbl>
              <c:idx val="3"/>
              <c:layout>
                <c:manualLayout>
                  <c:x val="1.0537385467725835E-2"/>
                  <c:y val="-4.1436031603929814E-2"/>
                </c:manualLayout>
              </c:layout>
              <c:showVal val="1"/>
            </c:dLbl>
            <c:dLbl>
              <c:idx val="4"/>
              <c:layout>
                <c:manualLayout>
                  <c:x val="3.8890694292087823E-2"/>
                  <c:y val="-3.5914731362272662E-2"/>
                </c:manualLayout>
              </c:layout>
              <c:showVal val="1"/>
            </c:dLbl>
            <c:spPr>
              <a:noFill/>
              <a:ln w="25258">
                <a:noFill/>
              </a:ln>
            </c:spPr>
            <c:txPr>
              <a:bodyPr/>
              <a:lstStyle/>
              <a:p>
                <a:pPr>
                  <a:defRPr sz="945"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84.5</c:v>
                </c:pt>
                <c:pt idx="1">
                  <c:v>87.8</c:v>
                </c:pt>
                <c:pt idx="2">
                  <c:v>119.2</c:v>
                </c:pt>
                <c:pt idx="3">
                  <c:v>145.9</c:v>
                </c:pt>
                <c:pt idx="4">
                  <c:v>141.30000000000001</c:v>
                </c:pt>
              </c:numCache>
            </c:numRef>
          </c:val>
        </c:ser>
        <c:ser>
          <c:idx val="1"/>
          <c:order val="1"/>
          <c:tx>
            <c:strRef>
              <c:f>Sheet1!$A$3</c:f>
              <c:strCache>
                <c:ptCount val="1"/>
              </c:strCache>
            </c:strRef>
          </c:tx>
          <c:spPr>
            <a:solidFill>
              <a:srgbClr val="993366"/>
            </a:solidFill>
            <a:ln w="12629">
              <a:solidFill>
                <a:srgbClr val="000000"/>
              </a:solidFill>
              <a:prstDash val="solid"/>
            </a:ln>
          </c:spPr>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29">
              <a:solidFill>
                <a:srgbClr val="000000"/>
              </a:solidFill>
              <a:prstDash val="solid"/>
            </a:ln>
          </c:spPr>
          <c:cat>
            <c:numRef>
              <c:f>Sheet1!$B$1:$F$1</c:f>
              <c:numCache>
                <c:formatCode>General</c:formatCode>
                <c:ptCount val="5"/>
                <c:pt idx="0">
                  <c:v>2009</c:v>
                </c:pt>
                <c:pt idx="1">
                  <c:v>2010</c:v>
                </c:pt>
                <c:pt idx="2">
                  <c:v>2011</c:v>
                </c:pt>
                <c:pt idx="3">
                  <c:v>2012</c:v>
                </c:pt>
                <c:pt idx="4">
                  <c:v>2013</c:v>
                </c:pt>
              </c:numCache>
            </c:numRef>
          </c:cat>
          <c:val>
            <c:numRef>
              <c:f>Sheet1!$B$4:$F$4</c:f>
              <c:numCache>
                <c:formatCode>General</c:formatCode>
                <c:ptCount val="5"/>
              </c:numCache>
            </c:numRef>
          </c:val>
        </c:ser>
        <c:gapDepth val="0"/>
        <c:shape val="box"/>
        <c:axId val="70382336"/>
        <c:axId val="70383872"/>
        <c:axId val="0"/>
      </c:bar3DChart>
      <c:catAx>
        <c:axId val="70382336"/>
        <c:scaling>
          <c:orientation val="minMax"/>
        </c:scaling>
        <c:axPos val="b"/>
        <c:numFmt formatCode="General" sourceLinked="1"/>
        <c:tickLblPos val="low"/>
        <c:spPr>
          <a:ln w="3157">
            <a:solidFill>
              <a:srgbClr val="000000"/>
            </a:solidFill>
            <a:prstDash val="solid"/>
          </a:ln>
        </c:spPr>
        <c:txPr>
          <a:bodyPr rot="0" vert="horz"/>
          <a:lstStyle/>
          <a:p>
            <a:pPr>
              <a:defRPr sz="945" b="1" i="0" u="none" strike="noStrike" baseline="0">
                <a:solidFill>
                  <a:srgbClr val="000000"/>
                </a:solidFill>
                <a:latin typeface="Arial"/>
                <a:ea typeface="Arial"/>
                <a:cs typeface="Arial"/>
              </a:defRPr>
            </a:pPr>
            <a:endParaRPr lang="en-US"/>
          </a:p>
        </c:txPr>
        <c:crossAx val="70383872"/>
        <c:crosses val="autoZero"/>
        <c:auto val="1"/>
        <c:lblAlgn val="ctr"/>
        <c:lblOffset val="100"/>
        <c:tickLblSkip val="1"/>
        <c:tickMarkSkip val="1"/>
      </c:catAx>
      <c:valAx>
        <c:axId val="70383872"/>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70382336"/>
        <c:crosses val="autoZero"/>
        <c:crossBetween val="between"/>
      </c:valAx>
      <c:spPr>
        <a:noFill/>
        <a:ln w="25258">
          <a:noFill/>
        </a:ln>
      </c:spPr>
    </c:plotArea>
    <c:plotVisOnly val="1"/>
    <c:dispBlanksAs val="gap"/>
  </c:chart>
  <c:spPr>
    <a:noFill/>
    <a:ln>
      <a:noFill/>
    </a:ln>
  </c:spPr>
  <c:txPr>
    <a:bodyPr/>
    <a:lstStyle/>
    <a:p>
      <a:pPr>
        <a:defRPr sz="945"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B5934-F24A-45AA-8887-3FA1ABC7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Analizės pateikimo struktūra</vt:lpstr>
    </vt:vector>
  </TitlesOfParts>
  <Company>Home</Company>
  <LinksUpToDate>false</LinksUpToDate>
  <CharactersWithSpaces>14812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Asta1</cp:lastModifiedBy>
  <cp:revision>7</cp:revision>
  <cp:lastPrinted>2015-08-21T11:44:00Z</cp:lastPrinted>
  <dcterms:created xsi:type="dcterms:W3CDTF">2015-09-17T11:23:00Z</dcterms:created>
  <dcterms:modified xsi:type="dcterms:W3CDTF">2015-09-17T11:57:00Z</dcterms:modified>
</cp:coreProperties>
</file>