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C83" w:rsidRDefault="00DE5C83">
      <w:pPr>
        <w:jc w:val="center"/>
        <w:rPr>
          <w:lang w:eastAsia="lt-LT"/>
        </w:rPr>
      </w:pPr>
      <w:r>
        <w:rPr>
          <w:noProof/>
          <w:lang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42.75pt;height:35.25pt;visibility:visible">
            <v:imagedata r:id="rId6" o:title=""/>
          </v:shape>
        </w:pict>
      </w:r>
    </w:p>
    <w:p w:rsidR="00DE5C83" w:rsidRDefault="00DE5C83">
      <w:pPr>
        <w:rPr>
          <w:sz w:val="10"/>
          <w:szCs w:val="10"/>
        </w:rPr>
      </w:pPr>
    </w:p>
    <w:p w:rsidR="00DE5C83" w:rsidRDefault="00DE5C83">
      <w:pPr>
        <w:keepNext/>
        <w:jc w:val="center"/>
        <w:rPr>
          <w:rFonts w:ascii="Arial" w:hAnsi="Arial" w:cs="Arial"/>
          <w:caps/>
          <w:sz w:val="36"/>
          <w:lang w:eastAsia="lt-LT"/>
        </w:rPr>
      </w:pPr>
      <w:r>
        <w:rPr>
          <w:rFonts w:ascii="Arial" w:hAnsi="Arial" w:cs="Arial"/>
          <w:caps/>
          <w:sz w:val="36"/>
          <w:lang w:eastAsia="lt-LT"/>
        </w:rPr>
        <w:t>Lietuvos Respublikos Vyriausybė</w:t>
      </w:r>
    </w:p>
    <w:p w:rsidR="00DE5C83" w:rsidRDefault="00DE5C83">
      <w:pPr>
        <w:jc w:val="center"/>
        <w:rPr>
          <w:caps/>
          <w:lang w:eastAsia="lt-LT"/>
        </w:rPr>
      </w:pPr>
    </w:p>
    <w:p w:rsidR="00DE5C83" w:rsidRDefault="00DE5C83">
      <w:pPr>
        <w:jc w:val="center"/>
        <w:rPr>
          <w:b/>
          <w:caps/>
          <w:lang w:eastAsia="lt-LT"/>
        </w:rPr>
      </w:pPr>
      <w:r>
        <w:rPr>
          <w:b/>
          <w:caps/>
          <w:lang w:eastAsia="lt-LT"/>
        </w:rPr>
        <w:t>nutarimas</w:t>
      </w:r>
    </w:p>
    <w:p w:rsidR="00DE5C83" w:rsidRDefault="00DE5C83">
      <w:pPr>
        <w:tabs>
          <w:tab w:val="left" w:pos="-284"/>
        </w:tabs>
        <w:jc w:val="center"/>
        <w:rPr>
          <w:b/>
          <w:caps/>
          <w:lang w:eastAsia="lt-LT"/>
        </w:rPr>
      </w:pPr>
      <w:r>
        <w:rPr>
          <w:b/>
          <w:caps/>
          <w:lang w:eastAsia="lt-LT"/>
        </w:rPr>
        <w:t xml:space="preserve">Dėl </w:t>
      </w:r>
      <w:r>
        <w:rPr>
          <w:b/>
          <w:lang w:eastAsia="lt-LT"/>
        </w:rPr>
        <w:t xml:space="preserve">LIETUVOS RESPUBLIKOS VYRIAUSYBĖS 2001 M. BIRŽELIO 27 D. NUTARIMO NR. 785 „DĖL </w:t>
      </w:r>
      <w:r>
        <w:rPr>
          <w:b/>
          <w:caps/>
          <w:lang w:eastAsia="lt-LT"/>
        </w:rPr>
        <w:t>MOKINIO KREPŠELIO LĖŠŲ APSKAIČIAVIMO IR PASKIRSTYMO METODIKOS pATVIRTINIMO“ PAKEITIMO</w:t>
      </w:r>
    </w:p>
    <w:p w:rsidR="00DE5C83" w:rsidRDefault="00DE5C83">
      <w:pPr>
        <w:tabs>
          <w:tab w:val="left" w:pos="-426"/>
        </w:tabs>
        <w:rPr>
          <w:lang w:eastAsia="lt-LT"/>
        </w:rPr>
      </w:pPr>
    </w:p>
    <w:p w:rsidR="00DE5C83" w:rsidRDefault="00DE5C83">
      <w:pPr>
        <w:tabs>
          <w:tab w:val="left" w:pos="6804"/>
        </w:tabs>
        <w:jc w:val="center"/>
        <w:rPr>
          <w:color w:val="000000"/>
          <w:lang w:eastAsia="ar-SA"/>
        </w:rPr>
      </w:pPr>
      <w:r>
        <w:rPr>
          <w:color w:val="000000"/>
          <w:lang w:eastAsia="lt-LT"/>
        </w:rPr>
        <w:t>2015 m. rugpjūčio 5 d.</w:t>
      </w:r>
      <w:r>
        <w:rPr>
          <w:color w:val="000000"/>
          <w:lang w:eastAsia="ar-SA"/>
        </w:rPr>
        <w:t xml:space="preserve"> Nr. </w:t>
      </w:r>
      <w:r>
        <w:rPr>
          <w:color w:val="000000"/>
          <w:lang w:eastAsia="lt-LT"/>
        </w:rPr>
        <w:t>790</w:t>
      </w:r>
      <w:r>
        <w:rPr>
          <w:color w:val="000000"/>
          <w:lang w:eastAsia="ar-SA"/>
        </w:rPr>
        <w:br/>
        <w:t>Vilnius</w:t>
      </w:r>
    </w:p>
    <w:p w:rsidR="00DE5C83" w:rsidRDefault="00DE5C83">
      <w:pPr>
        <w:tabs>
          <w:tab w:val="left" w:pos="-284"/>
        </w:tabs>
        <w:jc w:val="center"/>
        <w:rPr>
          <w:color w:val="000000"/>
          <w:lang w:eastAsia="lt-LT"/>
        </w:rPr>
      </w:pPr>
    </w:p>
    <w:p w:rsidR="00DE5C83" w:rsidRDefault="00DE5C83">
      <w:pPr>
        <w:spacing w:line="340" w:lineRule="atLeast"/>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p w:rsidR="00DE5C83" w:rsidRDefault="00DE5C83">
      <w:pPr>
        <w:spacing w:line="340" w:lineRule="atLeast"/>
        <w:ind w:firstLine="720"/>
        <w:jc w:val="both"/>
        <w:rPr>
          <w:szCs w:val="24"/>
          <w:lang w:eastAsia="lt-LT"/>
        </w:rPr>
      </w:pPr>
      <w:r>
        <w:rPr>
          <w:szCs w:val="24"/>
          <w:lang w:eastAsia="lt-LT"/>
        </w:rPr>
        <w:t>Pakeisti Lietuvos Respublikos Vyriausybės 2001 m. birželio 27 d. nutarimą Nr. 785 „Dėl Mokinio krepšelio lėšų apskaičiavimo ir paskirstymo metodikos patvirtinimo“ ir jį išdėstyti nauja redakcija (Mokinio krepšelio lėšų apskaičiavimo ir paskirstymo metodika nekeičiama):</w:t>
      </w:r>
    </w:p>
    <w:p w:rsidR="00DE5C83" w:rsidRDefault="00DE5C83">
      <w:pPr>
        <w:jc w:val="center"/>
        <w:rPr>
          <w:b/>
          <w:szCs w:val="24"/>
          <w:lang w:eastAsia="lt-LT"/>
        </w:rPr>
      </w:pPr>
      <w:r>
        <w:rPr>
          <w:szCs w:val="24"/>
          <w:lang w:eastAsia="lt-LT"/>
        </w:rPr>
        <w:t>„</w:t>
      </w:r>
      <w:r>
        <w:rPr>
          <w:b/>
          <w:szCs w:val="24"/>
          <w:lang w:eastAsia="lt-LT"/>
        </w:rPr>
        <w:t>LIETUVOS RESPUBLIKOS VYRIAUSYBĖ</w:t>
      </w:r>
    </w:p>
    <w:p w:rsidR="00DE5C83" w:rsidRDefault="00DE5C83">
      <w:pPr>
        <w:jc w:val="center"/>
        <w:rPr>
          <w:b/>
          <w:szCs w:val="24"/>
          <w:lang w:eastAsia="lt-LT"/>
        </w:rPr>
      </w:pPr>
    </w:p>
    <w:p w:rsidR="00DE5C83" w:rsidRDefault="00DE5C83">
      <w:pPr>
        <w:jc w:val="center"/>
        <w:rPr>
          <w:szCs w:val="24"/>
          <w:lang w:eastAsia="lt-LT"/>
        </w:rPr>
      </w:pPr>
      <w:r>
        <w:rPr>
          <w:b/>
          <w:szCs w:val="24"/>
          <w:lang w:eastAsia="lt-LT"/>
        </w:rPr>
        <w:t>NUTARIMAS</w:t>
      </w:r>
    </w:p>
    <w:p w:rsidR="00DE5C83" w:rsidRDefault="00DE5C83">
      <w:pPr>
        <w:jc w:val="center"/>
        <w:rPr>
          <w:b/>
          <w:szCs w:val="24"/>
          <w:lang w:eastAsia="lt-LT"/>
        </w:rPr>
      </w:pPr>
      <w:r>
        <w:rPr>
          <w:b/>
          <w:szCs w:val="24"/>
          <w:lang w:eastAsia="lt-LT"/>
        </w:rPr>
        <w:t>DĖL MOKINIO KREPŠELIO LĖŠŲ APSKAIČIAVIMO IR PASKIRSTYMO METODIKOS PATVIRTINIMO</w:t>
      </w:r>
    </w:p>
    <w:p w:rsidR="00DE5C83" w:rsidRDefault="00DE5C83">
      <w:pPr>
        <w:jc w:val="center"/>
        <w:rPr>
          <w:szCs w:val="24"/>
          <w:lang w:eastAsia="lt-LT"/>
        </w:rPr>
      </w:pPr>
    </w:p>
    <w:p w:rsidR="00DE5C83" w:rsidRDefault="00DE5C83">
      <w:pPr>
        <w:spacing w:line="340" w:lineRule="atLeast"/>
        <w:ind w:firstLine="720"/>
        <w:jc w:val="both"/>
        <w:rPr>
          <w:szCs w:val="24"/>
          <w:lang w:eastAsia="lt-LT"/>
        </w:rPr>
      </w:pPr>
      <w:r>
        <w:rPr>
          <w:szCs w:val="24"/>
          <w:lang w:eastAsia="lt-LT"/>
        </w:rPr>
        <w:t>Vadovaudamasi Lietuvos Respublikos švietimo įstatymo 67 straipsnio 1 dalimi, Lietuvos Respublikos Vyriausybė</w:t>
      </w:r>
      <w:r>
        <w:rPr>
          <w:spacing w:val="100"/>
          <w:szCs w:val="24"/>
          <w:lang w:eastAsia="lt-LT"/>
        </w:rPr>
        <w:t xml:space="preserve"> nutari</w:t>
      </w:r>
      <w:r>
        <w:rPr>
          <w:szCs w:val="24"/>
          <w:lang w:eastAsia="lt-LT"/>
        </w:rPr>
        <w:t>a:</w:t>
      </w:r>
    </w:p>
    <w:p w:rsidR="00DE5C83" w:rsidRDefault="00DE5C83">
      <w:pPr>
        <w:spacing w:line="340" w:lineRule="atLeast"/>
        <w:ind w:firstLine="720"/>
        <w:jc w:val="both"/>
        <w:rPr>
          <w:szCs w:val="24"/>
          <w:lang w:eastAsia="lt-LT"/>
        </w:rPr>
      </w:pPr>
      <w:r>
        <w:rPr>
          <w:szCs w:val="24"/>
          <w:lang w:eastAsia="lt-LT"/>
        </w:rPr>
        <w:t>1. Patvirtinti Mokinio krepšelio lėšų apskaičiavimo ir paskirstymo metodiką (pridedama).</w:t>
      </w:r>
    </w:p>
    <w:p w:rsidR="00DE5C83" w:rsidRDefault="00DE5C83" w:rsidP="00015D24">
      <w:pPr>
        <w:spacing w:line="340" w:lineRule="atLeast"/>
        <w:ind w:firstLine="720"/>
        <w:jc w:val="both"/>
        <w:rPr>
          <w:color w:val="000000"/>
          <w:lang w:eastAsia="lt-LT"/>
        </w:rPr>
      </w:pPr>
      <w:r>
        <w:rPr>
          <w:szCs w:val="24"/>
          <w:lang w:eastAsia="lt-LT"/>
        </w:rPr>
        <w:t xml:space="preserve">2. Nustatyti, kad nuo 2015 m. spalio 1 d. iki 2015 m. gruodžio 31 d. Lietuvos Respublikos valstybės biudžeto lėšos neformaliojo vaikų švietimo programoms, išskyrus ikimokyklinio, priešmokyklinio ir formalųjį švietimą papildančio ugdymo programas, finansuoti iš Lietuvos Respublikos švietimo ir mokslo ministerijai skirtų asignavimų paskirstomos savivaldybėms skaičiuojant 3,18 euro mokiniui, kuris mokėsi pagal bendrojo ugdymo programą 2014 m. rugsėjo 1 dieną. Šių Lietuvos Respublikos valstybės biudžeto lėšų savivaldybėms skyrimui </w:t>
      </w:r>
      <w:r>
        <w:rPr>
          <w:i/>
          <w:szCs w:val="24"/>
          <w:lang w:eastAsia="lt-LT"/>
        </w:rPr>
        <w:t>mutatis mutandis</w:t>
      </w:r>
      <w:r>
        <w:rPr>
          <w:szCs w:val="24"/>
          <w:lang w:eastAsia="lt-LT"/>
        </w:rPr>
        <w:t xml:space="preserve"> </w:t>
      </w:r>
      <w:r>
        <w:rPr>
          <w:lang w:eastAsia="lt-LT"/>
        </w:rPr>
        <w:t>taikomos Mokinio krepšelio lėšų apskaičiavimo ir paskirstymo metodikos III skyriaus „Mokinio krepšelio lėšų paskirstymas“ nuostatos.</w:t>
      </w:r>
      <w:r>
        <w:rPr>
          <w:szCs w:val="24"/>
          <w:lang w:eastAsia="lt-LT"/>
        </w:rPr>
        <w:t xml:space="preserve"> Šios lėšos skiriamos neformaliojo vaikų švietimo teikėjams, išskyrus mokyklas, teikiančias bendrąjį ugdymą, neformaliojo vaikų švietimo pedagogų darbo užmokesčiui, ugdymo priemonėms ir kitoms išlaidoms, tiesiogiai susijusioms su neformaliojo vaikų švietimo programos vykdymu. Jos paskirstomos ir naudojamos savivaldybių nustatyta tvarka neformaliojo vaikų švietimo programoms finansuoti, vadovaujantis švietimo ir mokslo ministro patvirtintu Neformaliojo vaikų švietimo lėšų skyrimo ir naudojimo tvarkos aprašu.“</w:t>
      </w:r>
    </w:p>
    <w:p w:rsidR="00DE5C83" w:rsidRDefault="00DE5C83">
      <w:pPr>
        <w:tabs>
          <w:tab w:val="center" w:pos="-7800"/>
          <w:tab w:val="left" w:pos="6237"/>
          <w:tab w:val="right" w:pos="8306"/>
        </w:tabs>
      </w:pPr>
    </w:p>
    <w:p w:rsidR="00DE5C83" w:rsidRDefault="00DE5C83">
      <w:pPr>
        <w:tabs>
          <w:tab w:val="center" w:pos="-7800"/>
          <w:tab w:val="left" w:pos="6237"/>
          <w:tab w:val="right" w:pos="8306"/>
        </w:tabs>
      </w:pPr>
    </w:p>
    <w:p w:rsidR="00DE5C83" w:rsidRDefault="00DE5C83">
      <w:pPr>
        <w:tabs>
          <w:tab w:val="center" w:pos="-7800"/>
          <w:tab w:val="left" w:pos="6237"/>
          <w:tab w:val="right" w:pos="8306"/>
        </w:tabs>
        <w:rPr>
          <w:lang w:eastAsia="lt-LT"/>
        </w:rPr>
      </w:pPr>
      <w:r>
        <w:rPr>
          <w:lang w:eastAsia="lt-LT"/>
        </w:rPr>
        <w:t>Ministras Pirmininkas</w:t>
      </w:r>
      <w:r>
        <w:rPr>
          <w:lang w:eastAsia="lt-LT"/>
        </w:rPr>
        <w:tab/>
        <w:t>Algirdas Butkevičius</w:t>
      </w:r>
    </w:p>
    <w:p w:rsidR="00DE5C83" w:rsidRDefault="00DE5C83">
      <w:pPr>
        <w:tabs>
          <w:tab w:val="center" w:pos="-7800"/>
          <w:tab w:val="left" w:pos="6237"/>
          <w:tab w:val="right" w:pos="8306"/>
        </w:tabs>
        <w:rPr>
          <w:lang w:eastAsia="lt-LT"/>
        </w:rPr>
      </w:pPr>
      <w:bookmarkStart w:id="0" w:name="_GoBack"/>
      <w:bookmarkEnd w:id="0"/>
    </w:p>
    <w:p w:rsidR="00DE5C83" w:rsidRDefault="00DE5C83">
      <w:pPr>
        <w:tabs>
          <w:tab w:val="center" w:pos="-3686"/>
          <w:tab w:val="left" w:pos="6237"/>
          <w:tab w:val="right" w:pos="8306"/>
        </w:tabs>
        <w:rPr>
          <w:lang w:eastAsia="lt-LT"/>
        </w:rPr>
      </w:pPr>
      <w:r>
        <w:rPr>
          <w:lang w:eastAsia="lt-LT"/>
        </w:rPr>
        <w:t>Švietimo ir mokslo ministrė</w:t>
      </w:r>
      <w:r>
        <w:rPr>
          <w:lang w:eastAsia="lt-LT"/>
        </w:rPr>
        <w:tab/>
        <w:t>Audronė Pitrėnienė</w:t>
      </w:r>
    </w:p>
    <w:sectPr w:rsidR="00DE5C83" w:rsidSect="00961217">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C83" w:rsidRDefault="00DE5C83">
      <w:pPr>
        <w:rPr>
          <w:lang w:eastAsia="lt-LT"/>
        </w:rPr>
      </w:pPr>
      <w:r>
        <w:rPr>
          <w:lang w:eastAsia="lt-LT"/>
        </w:rPr>
        <w:separator/>
      </w:r>
    </w:p>
  </w:endnote>
  <w:endnote w:type="continuationSeparator" w:id="0">
    <w:p w:rsidR="00DE5C83" w:rsidRDefault="00DE5C83">
      <w:pPr>
        <w:rPr>
          <w:lang w:eastAsia="lt-LT"/>
        </w:rPr>
      </w:pPr>
      <w:r>
        <w:rPr>
          <w:lang w:eastAsia="lt-LT"/>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C83" w:rsidRDefault="00DE5C83">
    <w:pPr>
      <w:tabs>
        <w:tab w:val="center" w:pos="4153"/>
        <w:tab w:val="right" w:pos="8306"/>
      </w:tabs>
      <w:rPr>
        <w:lang w:eastAsia="lt-LT"/>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C83" w:rsidRDefault="00DE5C83">
    <w:pPr>
      <w:tabs>
        <w:tab w:val="center" w:pos="4153"/>
        <w:tab w:val="right" w:pos="8306"/>
      </w:tabs>
      <w:rPr>
        <w:lang w:eastAsia="lt-LT"/>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C83" w:rsidRDefault="00DE5C83">
    <w:pPr>
      <w:tabs>
        <w:tab w:val="center" w:pos="4153"/>
        <w:tab w:val="right" w:pos="8306"/>
      </w:tabs>
      <w:rPr>
        <w:lang w:eastAsia="lt-L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C83" w:rsidRDefault="00DE5C83">
      <w:pPr>
        <w:rPr>
          <w:lang w:eastAsia="lt-LT"/>
        </w:rPr>
      </w:pPr>
      <w:r>
        <w:rPr>
          <w:lang w:eastAsia="lt-LT"/>
        </w:rPr>
        <w:separator/>
      </w:r>
    </w:p>
  </w:footnote>
  <w:footnote w:type="continuationSeparator" w:id="0">
    <w:p w:rsidR="00DE5C83" w:rsidRDefault="00DE5C83">
      <w:pPr>
        <w:rPr>
          <w:lang w:eastAsia="lt-LT"/>
        </w:rPr>
      </w:pPr>
      <w:r>
        <w:rPr>
          <w:lang w:eastAsia="lt-LT"/>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C83" w:rsidRDefault="00DE5C83">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rsidR="00DE5C83" w:rsidRDefault="00DE5C83">
    <w:pPr>
      <w:tabs>
        <w:tab w:val="center" w:pos="4153"/>
        <w:tab w:val="right" w:pos="8306"/>
      </w:tabs>
      <w:rPr>
        <w:lang w:eastAsia="lt-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C83" w:rsidRDefault="00DE5C83">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Pr>
        <w:noProof/>
        <w:lang w:eastAsia="lt-LT"/>
      </w:rPr>
      <w:t>2</w:t>
    </w:r>
    <w:r>
      <w:rPr>
        <w:lang w:eastAsia="lt-LT"/>
      </w:rPr>
      <w:fldChar w:fldCharType="end"/>
    </w:r>
  </w:p>
  <w:p w:rsidR="00DE5C83" w:rsidRDefault="00DE5C83">
    <w:pPr>
      <w:tabs>
        <w:tab w:val="center" w:pos="4153"/>
        <w:tab w:val="right" w:pos="8306"/>
      </w:tabs>
      <w:rPr>
        <w:lang w:eastAsia="lt-L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C83" w:rsidRDefault="00DE5C83">
    <w:pPr>
      <w:tabs>
        <w:tab w:val="center" w:pos="4153"/>
        <w:tab w:val="right" w:pos="8306"/>
      </w:tabs>
      <w:rPr>
        <w:lang w:eastAsia="lt-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66E7"/>
    <w:rsid w:val="00015D24"/>
    <w:rsid w:val="000332E8"/>
    <w:rsid w:val="00052C63"/>
    <w:rsid w:val="00053B53"/>
    <w:rsid w:val="00461697"/>
    <w:rsid w:val="004C66E7"/>
    <w:rsid w:val="0050117A"/>
    <w:rsid w:val="005E225E"/>
    <w:rsid w:val="00885663"/>
    <w:rsid w:val="00961217"/>
    <w:rsid w:val="00A7496F"/>
    <w:rsid w:val="00D708DC"/>
    <w:rsid w:val="00DE5C83"/>
    <w:rsid w:val="00FA6FDD"/>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217"/>
    <w:rPr>
      <w:sz w:val="24"/>
      <w:szCs w:val="20"/>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29539547">
      <w:marLeft w:val="0"/>
      <w:marRight w:val="0"/>
      <w:marTop w:val="0"/>
      <w:marBottom w:val="0"/>
      <w:divBdr>
        <w:top w:val="none" w:sz="0" w:space="0" w:color="auto"/>
        <w:left w:val="none" w:sz="0" w:space="0" w:color="auto"/>
        <w:bottom w:val="none" w:sz="0" w:space="0" w:color="auto"/>
        <w:right w:val="none" w:sz="0" w:space="0" w:color="auto"/>
      </w:divBdr>
    </w:div>
    <w:div w:id="1929539548">
      <w:marLeft w:val="0"/>
      <w:marRight w:val="0"/>
      <w:marTop w:val="0"/>
      <w:marBottom w:val="0"/>
      <w:divBdr>
        <w:top w:val="none" w:sz="0" w:space="0" w:color="auto"/>
        <w:left w:val="none" w:sz="0" w:space="0" w:color="auto"/>
        <w:bottom w:val="none" w:sz="0" w:space="0" w:color="auto"/>
        <w:right w:val="none" w:sz="0" w:space="0" w:color="auto"/>
      </w:divBdr>
    </w:div>
    <w:div w:id="1929539549">
      <w:marLeft w:val="0"/>
      <w:marRight w:val="0"/>
      <w:marTop w:val="0"/>
      <w:marBottom w:val="0"/>
      <w:divBdr>
        <w:top w:val="none" w:sz="0" w:space="0" w:color="auto"/>
        <w:left w:val="none" w:sz="0" w:space="0" w:color="auto"/>
        <w:bottom w:val="none" w:sz="0" w:space="0" w:color="auto"/>
        <w:right w:val="none" w:sz="0" w:space="0" w:color="auto"/>
      </w:divBdr>
    </w:div>
    <w:div w:id="1929539550">
      <w:marLeft w:val="0"/>
      <w:marRight w:val="0"/>
      <w:marTop w:val="0"/>
      <w:marBottom w:val="0"/>
      <w:divBdr>
        <w:top w:val="none" w:sz="0" w:space="0" w:color="auto"/>
        <w:left w:val="none" w:sz="0" w:space="0" w:color="auto"/>
        <w:bottom w:val="none" w:sz="0" w:space="0" w:color="auto"/>
        <w:right w:val="none" w:sz="0" w:space="0" w:color="auto"/>
      </w:divBdr>
    </w:div>
    <w:div w:id="1929539551">
      <w:marLeft w:val="0"/>
      <w:marRight w:val="0"/>
      <w:marTop w:val="0"/>
      <w:marBottom w:val="0"/>
      <w:divBdr>
        <w:top w:val="none" w:sz="0" w:space="0" w:color="auto"/>
        <w:left w:val="none" w:sz="0" w:space="0" w:color="auto"/>
        <w:bottom w:val="none" w:sz="0" w:space="0" w:color="auto"/>
        <w:right w:val="none" w:sz="0" w:space="0" w:color="auto"/>
      </w:divBdr>
    </w:div>
    <w:div w:id="1929539552">
      <w:marLeft w:val="0"/>
      <w:marRight w:val="0"/>
      <w:marTop w:val="0"/>
      <w:marBottom w:val="0"/>
      <w:divBdr>
        <w:top w:val="none" w:sz="0" w:space="0" w:color="auto"/>
        <w:left w:val="none" w:sz="0" w:space="0" w:color="auto"/>
        <w:bottom w:val="none" w:sz="0" w:space="0" w:color="auto"/>
        <w:right w:val="none" w:sz="0" w:space="0" w:color="auto"/>
      </w:divBdr>
    </w:div>
    <w:div w:id="1929539553">
      <w:marLeft w:val="0"/>
      <w:marRight w:val="0"/>
      <w:marTop w:val="0"/>
      <w:marBottom w:val="0"/>
      <w:divBdr>
        <w:top w:val="none" w:sz="0" w:space="0" w:color="auto"/>
        <w:left w:val="none" w:sz="0" w:space="0" w:color="auto"/>
        <w:bottom w:val="none" w:sz="0" w:space="0" w:color="auto"/>
        <w:right w:val="none" w:sz="0" w:space="0" w:color="auto"/>
      </w:divBdr>
    </w:div>
    <w:div w:id="1929539554">
      <w:marLeft w:val="0"/>
      <w:marRight w:val="0"/>
      <w:marTop w:val="0"/>
      <w:marBottom w:val="0"/>
      <w:divBdr>
        <w:top w:val="none" w:sz="0" w:space="0" w:color="auto"/>
        <w:left w:val="none" w:sz="0" w:space="0" w:color="auto"/>
        <w:bottom w:val="none" w:sz="0" w:space="0" w:color="auto"/>
        <w:right w:val="none" w:sz="0" w:space="0" w:color="auto"/>
      </w:divBdr>
    </w:div>
    <w:div w:id="1929539555">
      <w:marLeft w:val="0"/>
      <w:marRight w:val="0"/>
      <w:marTop w:val="0"/>
      <w:marBottom w:val="0"/>
      <w:divBdr>
        <w:top w:val="none" w:sz="0" w:space="0" w:color="auto"/>
        <w:left w:val="none" w:sz="0" w:space="0" w:color="auto"/>
        <w:bottom w:val="none" w:sz="0" w:space="0" w:color="auto"/>
        <w:right w:val="none" w:sz="0" w:space="0" w:color="auto"/>
      </w:divBdr>
    </w:div>
    <w:div w:id="1929539556">
      <w:marLeft w:val="0"/>
      <w:marRight w:val="0"/>
      <w:marTop w:val="0"/>
      <w:marBottom w:val="0"/>
      <w:divBdr>
        <w:top w:val="none" w:sz="0" w:space="0" w:color="auto"/>
        <w:left w:val="none" w:sz="0" w:space="0" w:color="auto"/>
        <w:bottom w:val="none" w:sz="0" w:space="0" w:color="auto"/>
        <w:right w:val="none" w:sz="0" w:space="0" w:color="auto"/>
      </w:divBdr>
    </w:div>
    <w:div w:id="1929539557">
      <w:marLeft w:val="0"/>
      <w:marRight w:val="0"/>
      <w:marTop w:val="0"/>
      <w:marBottom w:val="0"/>
      <w:divBdr>
        <w:top w:val="none" w:sz="0" w:space="0" w:color="auto"/>
        <w:left w:val="none" w:sz="0" w:space="0" w:color="auto"/>
        <w:bottom w:val="none" w:sz="0" w:space="0" w:color="auto"/>
        <w:right w:val="none" w:sz="0" w:space="0" w:color="auto"/>
      </w:divBdr>
    </w:div>
    <w:div w:id="1929539558">
      <w:marLeft w:val="0"/>
      <w:marRight w:val="0"/>
      <w:marTop w:val="0"/>
      <w:marBottom w:val="0"/>
      <w:divBdr>
        <w:top w:val="none" w:sz="0" w:space="0" w:color="auto"/>
        <w:left w:val="none" w:sz="0" w:space="0" w:color="auto"/>
        <w:bottom w:val="none" w:sz="0" w:space="0" w:color="auto"/>
        <w:right w:val="none" w:sz="0" w:space="0" w:color="auto"/>
      </w:divBdr>
    </w:div>
    <w:div w:id="1929539559">
      <w:marLeft w:val="0"/>
      <w:marRight w:val="0"/>
      <w:marTop w:val="0"/>
      <w:marBottom w:val="0"/>
      <w:divBdr>
        <w:top w:val="none" w:sz="0" w:space="0" w:color="auto"/>
        <w:left w:val="none" w:sz="0" w:space="0" w:color="auto"/>
        <w:bottom w:val="none" w:sz="0" w:space="0" w:color="auto"/>
        <w:right w:val="none" w:sz="0" w:space="0" w:color="auto"/>
      </w:divBdr>
    </w:div>
    <w:div w:id="1929539560">
      <w:marLeft w:val="0"/>
      <w:marRight w:val="0"/>
      <w:marTop w:val="0"/>
      <w:marBottom w:val="0"/>
      <w:divBdr>
        <w:top w:val="none" w:sz="0" w:space="0" w:color="auto"/>
        <w:left w:val="none" w:sz="0" w:space="0" w:color="auto"/>
        <w:bottom w:val="none" w:sz="0" w:space="0" w:color="auto"/>
        <w:right w:val="none" w:sz="0" w:space="0" w:color="auto"/>
      </w:divBdr>
    </w:div>
    <w:div w:id="1929539561">
      <w:marLeft w:val="0"/>
      <w:marRight w:val="0"/>
      <w:marTop w:val="0"/>
      <w:marBottom w:val="0"/>
      <w:divBdr>
        <w:top w:val="none" w:sz="0" w:space="0" w:color="auto"/>
        <w:left w:val="none" w:sz="0" w:space="0" w:color="auto"/>
        <w:bottom w:val="none" w:sz="0" w:space="0" w:color="auto"/>
        <w:right w:val="none" w:sz="0" w:space="0" w:color="auto"/>
      </w:divBdr>
    </w:div>
    <w:div w:id="1929539562">
      <w:marLeft w:val="0"/>
      <w:marRight w:val="0"/>
      <w:marTop w:val="0"/>
      <w:marBottom w:val="0"/>
      <w:divBdr>
        <w:top w:val="none" w:sz="0" w:space="0" w:color="auto"/>
        <w:left w:val="none" w:sz="0" w:space="0" w:color="auto"/>
        <w:bottom w:val="none" w:sz="0" w:space="0" w:color="auto"/>
        <w:right w:val="none" w:sz="0" w:space="0" w:color="auto"/>
      </w:divBdr>
    </w:div>
    <w:div w:id="1929539563">
      <w:marLeft w:val="0"/>
      <w:marRight w:val="0"/>
      <w:marTop w:val="0"/>
      <w:marBottom w:val="0"/>
      <w:divBdr>
        <w:top w:val="none" w:sz="0" w:space="0" w:color="auto"/>
        <w:left w:val="none" w:sz="0" w:space="0" w:color="auto"/>
        <w:bottom w:val="none" w:sz="0" w:space="0" w:color="auto"/>
        <w:right w:val="none" w:sz="0" w:space="0" w:color="auto"/>
      </w:divBdr>
    </w:div>
    <w:div w:id="1929539564">
      <w:marLeft w:val="0"/>
      <w:marRight w:val="0"/>
      <w:marTop w:val="0"/>
      <w:marBottom w:val="0"/>
      <w:divBdr>
        <w:top w:val="none" w:sz="0" w:space="0" w:color="auto"/>
        <w:left w:val="none" w:sz="0" w:space="0" w:color="auto"/>
        <w:bottom w:val="none" w:sz="0" w:space="0" w:color="auto"/>
        <w:right w:val="none" w:sz="0" w:space="0" w:color="auto"/>
      </w:divBdr>
    </w:div>
    <w:div w:id="19295395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Pages>
  <Words>1392</Words>
  <Characters>794</Characters>
  <Application>Microsoft Office Outlook</Application>
  <DocSecurity>0</DocSecurity>
  <Lines>0</Lines>
  <Paragraphs>0</Paragraphs>
  <ScaleCrop>false</ScaleCrop>
  <Company>LRVK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lrvk</dc:creator>
  <cp:keywords/>
  <dc:description/>
  <cp:lastModifiedBy>Juozas3</cp:lastModifiedBy>
  <cp:revision>3</cp:revision>
  <cp:lastPrinted>2014-03-25T14:35:00Z</cp:lastPrinted>
  <dcterms:created xsi:type="dcterms:W3CDTF">2015-08-10T11:40:00Z</dcterms:created>
  <dcterms:modified xsi:type="dcterms:W3CDTF">2015-08-10T11:40:00Z</dcterms:modified>
</cp:coreProperties>
</file>