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0AF" w:rsidRPr="009E40AF" w:rsidRDefault="009E40AF" w:rsidP="009E40AF">
      <w:pPr>
        <w:pStyle w:val="Title"/>
        <w:jc w:val="right"/>
        <w:rPr>
          <w:sz w:val="24"/>
        </w:rPr>
      </w:pPr>
      <w:bookmarkStart w:id="0" w:name="_GoBack"/>
      <w:bookmarkEnd w:id="0"/>
      <w:r w:rsidRPr="009E40AF">
        <w:rPr>
          <w:sz w:val="24"/>
        </w:rPr>
        <w:t>Projektas</w:t>
      </w:r>
    </w:p>
    <w:p w:rsidR="009E40AF" w:rsidRDefault="009E40AF" w:rsidP="00C20BEF">
      <w:pPr>
        <w:pStyle w:val="Title"/>
      </w:pPr>
    </w:p>
    <w:p w:rsidR="00E51895" w:rsidRDefault="00E51895" w:rsidP="00C20BEF">
      <w:pPr>
        <w:pStyle w:val="Title"/>
      </w:pPr>
      <w:r>
        <w:t xml:space="preserve">PANEVĖŽIO MIESTO SAVIVALDYBĖS </w:t>
      </w:r>
      <w:r w:rsidR="00DF4321">
        <w:t>TARYBA</w:t>
      </w:r>
    </w:p>
    <w:p w:rsidR="00EC44C4" w:rsidRDefault="00EC44C4" w:rsidP="00C20BEF">
      <w:pPr>
        <w:pStyle w:val="Title"/>
      </w:pPr>
    </w:p>
    <w:p w:rsidR="000067FC" w:rsidRDefault="00EC44C4" w:rsidP="00FA7191">
      <w:pPr>
        <w:pStyle w:val="Heading2"/>
      </w:pPr>
      <w:bookmarkStart w:id="1" w:name="Forma"/>
      <w:r w:rsidRPr="005B1548">
        <w:t>SPRENDIMAS</w:t>
      </w:r>
      <w:bookmarkEnd w:id="1"/>
    </w:p>
    <w:p w:rsidR="00D01FEA" w:rsidRPr="000067FC" w:rsidRDefault="00D01FEA" w:rsidP="00FA7191">
      <w:pPr>
        <w:pStyle w:val="Heading2"/>
      </w:pPr>
      <w:r w:rsidRPr="000067FC">
        <w:rPr>
          <w:szCs w:val="24"/>
        </w:rPr>
        <w:t>DĖL</w:t>
      </w:r>
      <w:r w:rsidR="006112CD" w:rsidRPr="000067FC">
        <w:rPr>
          <w:szCs w:val="24"/>
        </w:rPr>
        <w:t xml:space="preserve"> </w:t>
      </w:r>
      <w:r w:rsidR="006112CD" w:rsidRPr="000067FC">
        <w:t xml:space="preserve">MOKESČIŲ UŽ NAUDOJIMĄSI PANEVĖŽIO MIESTO VIETINĖS REIKŠMĖS KELIAIS (GATVĖMIS) RIBINIŲ TARIFŲ PATVIRTINIMO IR </w:t>
      </w:r>
      <w:r w:rsidR="00993164" w:rsidRPr="000067FC">
        <w:t>SAVIVALDYBĖS TARYBOS 2013 M. RUGPJ</w:t>
      </w:r>
      <w:r w:rsidR="00A5124E">
        <w:t>ŪČIO 29 D. SPRENDIMO</w:t>
      </w:r>
      <w:r w:rsidR="00083B1C" w:rsidRPr="000067FC">
        <w:t xml:space="preserve"> NR. 1-256</w:t>
      </w:r>
      <w:r w:rsidR="00A5124E">
        <w:t xml:space="preserve"> 1.2 </w:t>
      </w:r>
      <w:r w:rsidR="009751F6">
        <w:t>PAPUNKČIO,</w:t>
      </w:r>
      <w:r w:rsidR="00083B1C" w:rsidRPr="000067FC">
        <w:t xml:space="preserve"> SAVIVALDYBĖS TARYBO</w:t>
      </w:r>
      <w:r w:rsidR="00A5124E">
        <w:t>S 2014 M. SPALIO 23 D. SPRENDIMO</w:t>
      </w:r>
      <w:r w:rsidR="00083B1C" w:rsidRPr="000067FC">
        <w:t xml:space="preserve"> NR. 1-303</w:t>
      </w:r>
      <w:r w:rsidR="00A5124E">
        <w:t xml:space="preserve"> 2 PUNKTO</w:t>
      </w:r>
      <w:r w:rsidR="00993164" w:rsidRPr="000067FC">
        <w:rPr>
          <w:szCs w:val="24"/>
        </w:rPr>
        <w:t xml:space="preserve"> </w:t>
      </w:r>
      <w:r w:rsidR="00A5124E">
        <w:rPr>
          <w:szCs w:val="24"/>
        </w:rPr>
        <w:t>PRIPAŽINIMO NETEKUSIAIS</w:t>
      </w:r>
      <w:r w:rsidR="008778B3" w:rsidRPr="000067FC">
        <w:rPr>
          <w:szCs w:val="24"/>
        </w:rPr>
        <w:t xml:space="preserve"> GALIOS</w:t>
      </w:r>
    </w:p>
    <w:p w:rsidR="00993164" w:rsidRPr="00D01FEA" w:rsidRDefault="00993164" w:rsidP="0052712F"/>
    <w:p w:rsidR="00EC44C4" w:rsidRDefault="00EC44C4" w:rsidP="00C20BEF">
      <w:pPr>
        <w:jc w:val="center"/>
        <w:rPr>
          <w:sz w:val="24"/>
        </w:rPr>
      </w:pPr>
      <w:r>
        <w:rPr>
          <w:sz w:val="24"/>
        </w:rPr>
        <w:t>201</w:t>
      </w:r>
      <w:r w:rsidR="00083B1C">
        <w:rPr>
          <w:sz w:val="24"/>
        </w:rPr>
        <w:t>5</w:t>
      </w:r>
      <w:r>
        <w:rPr>
          <w:sz w:val="24"/>
        </w:rPr>
        <w:t xml:space="preserve"> m. </w:t>
      </w:r>
      <w:r w:rsidR="00083B1C">
        <w:rPr>
          <w:sz w:val="24"/>
        </w:rPr>
        <w:t xml:space="preserve">                           </w:t>
      </w:r>
      <w:r w:rsidR="0048054F">
        <w:rPr>
          <w:sz w:val="24"/>
        </w:rPr>
        <w:t xml:space="preserve"> </w:t>
      </w:r>
      <w:r>
        <w:rPr>
          <w:sz w:val="24"/>
        </w:rPr>
        <w:t xml:space="preserve">d. Nr. </w:t>
      </w:r>
    </w:p>
    <w:p w:rsidR="00EC44C4" w:rsidRPr="006B69E5" w:rsidRDefault="00EC44C4" w:rsidP="00C20BEF">
      <w:pPr>
        <w:pStyle w:val="Heading2"/>
        <w:rPr>
          <w:b w:val="0"/>
        </w:rPr>
      </w:pPr>
      <w:r w:rsidRPr="006B69E5">
        <w:rPr>
          <w:b w:val="0"/>
        </w:rPr>
        <w:t>Panevėžys</w:t>
      </w:r>
    </w:p>
    <w:p w:rsidR="00217EDF" w:rsidRDefault="00217EDF" w:rsidP="00C20BEF">
      <w:pPr>
        <w:jc w:val="center"/>
        <w:rPr>
          <w:b/>
          <w:sz w:val="24"/>
        </w:rPr>
      </w:pPr>
    </w:p>
    <w:p w:rsidR="00217EDF" w:rsidRDefault="00217EDF" w:rsidP="009E40AF">
      <w:pPr>
        <w:spacing w:line="360" w:lineRule="auto"/>
        <w:ind w:firstLine="851"/>
        <w:jc w:val="both"/>
        <w:rPr>
          <w:sz w:val="24"/>
        </w:rPr>
      </w:pPr>
      <w:r>
        <w:rPr>
          <w:sz w:val="24"/>
        </w:rPr>
        <w:t xml:space="preserve">Vadovaudamasi Lietuvos Respublikos vietos savivaldos įstatymo </w:t>
      </w:r>
      <w:bookmarkStart w:id="2" w:name="Data"/>
      <w:r w:rsidRPr="005B1548">
        <w:rPr>
          <w:sz w:val="24"/>
        </w:rPr>
        <w:t>1</w:t>
      </w:r>
      <w:r w:rsidR="00367B06">
        <w:rPr>
          <w:sz w:val="24"/>
        </w:rPr>
        <w:t>8</w:t>
      </w:r>
      <w:r w:rsidRPr="005B1548">
        <w:rPr>
          <w:sz w:val="24"/>
        </w:rPr>
        <w:t xml:space="preserve"> straipsnio </w:t>
      </w:r>
      <w:r w:rsidR="00367B06">
        <w:rPr>
          <w:sz w:val="24"/>
        </w:rPr>
        <w:t>1</w:t>
      </w:r>
      <w:r w:rsidRPr="005B1548">
        <w:rPr>
          <w:sz w:val="24"/>
        </w:rPr>
        <w:t xml:space="preserve"> dali</w:t>
      </w:r>
      <w:r w:rsidR="00367B06">
        <w:rPr>
          <w:sz w:val="24"/>
        </w:rPr>
        <w:t>mi,</w:t>
      </w:r>
      <w:r w:rsidR="00C754FB" w:rsidRPr="005B1548">
        <w:rPr>
          <w:sz w:val="24"/>
        </w:rPr>
        <w:t xml:space="preserve"> </w:t>
      </w:r>
      <w:r w:rsidR="00591DDB">
        <w:rPr>
          <w:sz w:val="24"/>
        </w:rPr>
        <w:t>Lietuvos Respublikos</w:t>
      </w:r>
      <w:r w:rsidR="00DF054A">
        <w:rPr>
          <w:sz w:val="24"/>
        </w:rPr>
        <w:t xml:space="preserve"> k</w:t>
      </w:r>
      <w:r w:rsidR="00C47255">
        <w:rPr>
          <w:sz w:val="24"/>
        </w:rPr>
        <w:t>elių priežiūros ir plėtro</w:t>
      </w:r>
      <w:r w:rsidR="000A0DB0">
        <w:rPr>
          <w:sz w:val="24"/>
        </w:rPr>
        <w:t>s programos finansavimo įstatymu,</w:t>
      </w:r>
      <w:r w:rsidR="00C47255">
        <w:rPr>
          <w:sz w:val="24"/>
        </w:rPr>
        <w:t xml:space="preserve"> </w:t>
      </w:r>
      <w:bookmarkEnd w:id="2"/>
      <w:r>
        <w:rPr>
          <w:sz w:val="24"/>
        </w:rPr>
        <w:t>Panevė</w:t>
      </w:r>
      <w:r w:rsidR="00D91E09">
        <w:rPr>
          <w:sz w:val="24"/>
        </w:rPr>
        <w:t>žio miesto savivaldybės taryba</w:t>
      </w:r>
      <w:r w:rsidR="00183443">
        <w:rPr>
          <w:sz w:val="24"/>
        </w:rPr>
        <w:t xml:space="preserve"> </w:t>
      </w:r>
      <w:r>
        <w:rPr>
          <w:sz w:val="24"/>
        </w:rPr>
        <w:t>n u s p r e n d ž i a:</w:t>
      </w:r>
    </w:p>
    <w:p w:rsidR="000239D7" w:rsidRDefault="00A5124E" w:rsidP="009E40AF">
      <w:pPr>
        <w:overflowPunct w:val="0"/>
        <w:autoSpaceDE w:val="0"/>
        <w:autoSpaceDN w:val="0"/>
        <w:adjustRightInd w:val="0"/>
        <w:spacing w:line="360" w:lineRule="auto"/>
        <w:ind w:firstLine="851"/>
        <w:jc w:val="both"/>
        <w:textAlignment w:val="baseline"/>
        <w:rPr>
          <w:sz w:val="24"/>
        </w:rPr>
      </w:pPr>
      <w:r>
        <w:rPr>
          <w:sz w:val="24"/>
        </w:rPr>
        <w:t>1. Patvirtinti m</w:t>
      </w:r>
      <w:r w:rsidR="000239D7">
        <w:rPr>
          <w:sz w:val="24"/>
        </w:rPr>
        <w:t>okesčių už naudojimąsi</w:t>
      </w:r>
      <w:r w:rsidR="006B0922" w:rsidRPr="006B0922">
        <w:rPr>
          <w:sz w:val="24"/>
        </w:rPr>
        <w:t xml:space="preserve"> Panevėžio miesto vietinės reikšmės keliais (gatvėmis)</w:t>
      </w:r>
      <w:r>
        <w:rPr>
          <w:sz w:val="24"/>
        </w:rPr>
        <w:t xml:space="preserve"> ribinius tarifus</w:t>
      </w:r>
      <w:r w:rsidRPr="00A5124E">
        <w:rPr>
          <w:sz w:val="24"/>
        </w:rPr>
        <w:t xml:space="preserve"> </w:t>
      </w:r>
      <w:r>
        <w:rPr>
          <w:sz w:val="24"/>
        </w:rPr>
        <w:t>(pridedama).</w:t>
      </w:r>
    </w:p>
    <w:p w:rsidR="002F1839" w:rsidRDefault="00A5124E" w:rsidP="009E40AF">
      <w:pPr>
        <w:spacing w:line="360" w:lineRule="auto"/>
        <w:ind w:firstLine="851"/>
        <w:jc w:val="both"/>
        <w:rPr>
          <w:sz w:val="24"/>
          <w:szCs w:val="24"/>
        </w:rPr>
      </w:pPr>
      <w:r>
        <w:rPr>
          <w:sz w:val="24"/>
          <w:szCs w:val="24"/>
        </w:rPr>
        <w:t>2. Pripažinti netekusiais</w:t>
      </w:r>
      <w:r w:rsidR="006B0922" w:rsidRPr="006B0922">
        <w:rPr>
          <w:sz w:val="24"/>
          <w:szCs w:val="24"/>
        </w:rPr>
        <w:t xml:space="preserve"> galios</w:t>
      </w:r>
      <w:r w:rsidR="002F1839">
        <w:rPr>
          <w:sz w:val="24"/>
          <w:szCs w:val="24"/>
        </w:rPr>
        <w:t>:</w:t>
      </w:r>
    </w:p>
    <w:p w:rsidR="002F1839" w:rsidRDefault="002F1839" w:rsidP="009E40AF">
      <w:pPr>
        <w:spacing w:line="360" w:lineRule="auto"/>
        <w:ind w:firstLine="851"/>
        <w:jc w:val="both"/>
        <w:rPr>
          <w:sz w:val="24"/>
          <w:szCs w:val="24"/>
        </w:rPr>
      </w:pPr>
      <w:r>
        <w:rPr>
          <w:sz w:val="24"/>
          <w:szCs w:val="24"/>
        </w:rPr>
        <w:t>2.1.</w:t>
      </w:r>
      <w:r w:rsidR="006B0922" w:rsidRPr="006B0922">
        <w:rPr>
          <w:sz w:val="24"/>
          <w:szCs w:val="24"/>
        </w:rPr>
        <w:t xml:space="preserve"> Panevėžio </w:t>
      </w:r>
      <w:r w:rsidR="000239D7" w:rsidRPr="005076A4">
        <w:rPr>
          <w:sz w:val="24"/>
          <w:szCs w:val="24"/>
        </w:rPr>
        <w:t>miesto saviva</w:t>
      </w:r>
      <w:r w:rsidR="008778B3" w:rsidRPr="005076A4">
        <w:rPr>
          <w:sz w:val="24"/>
          <w:szCs w:val="24"/>
        </w:rPr>
        <w:t>ldybės tarybos 2013 m. rugpjū</w:t>
      </w:r>
      <w:r w:rsidR="000239D7" w:rsidRPr="005076A4">
        <w:rPr>
          <w:sz w:val="24"/>
          <w:szCs w:val="24"/>
        </w:rPr>
        <w:t>čio 29</w:t>
      </w:r>
      <w:r w:rsidR="008778B3" w:rsidRPr="005076A4">
        <w:rPr>
          <w:sz w:val="24"/>
          <w:szCs w:val="24"/>
        </w:rPr>
        <w:t xml:space="preserve"> d. sprendimo</w:t>
      </w:r>
      <w:r w:rsidR="002A7FDA" w:rsidRPr="005076A4">
        <w:rPr>
          <w:sz w:val="24"/>
          <w:szCs w:val="24"/>
        </w:rPr>
        <w:t xml:space="preserve"> Nr. 1-256</w:t>
      </w:r>
      <w:r w:rsidR="006B0922" w:rsidRPr="006B0922">
        <w:rPr>
          <w:sz w:val="24"/>
          <w:szCs w:val="24"/>
        </w:rPr>
        <w:t xml:space="preserve"> </w:t>
      </w:r>
      <w:r w:rsidR="005076A4" w:rsidRPr="005076A4">
        <w:rPr>
          <w:sz w:val="24"/>
          <w:szCs w:val="24"/>
        </w:rPr>
        <w:t>„</w:t>
      </w:r>
      <w:r w:rsidR="00A60115">
        <w:rPr>
          <w:sz w:val="24"/>
          <w:szCs w:val="24"/>
        </w:rPr>
        <w:t>D</w:t>
      </w:r>
      <w:r w:rsidR="00A60115" w:rsidRPr="00A60115">
        <w:rPr>
          <w:sz w:val="24"/>
          <w:szCs w:val="24"/>
        </w:rPr>
        <w:t xml:space="preserve">ėl </w:t>
      </w:r>
      <w:r w:rsidR="00A60115">
        <w:rPr>
          <w:sz w:val="24"/>
          <w:szCs w:val="24"/>
        </w:rPr>
        <w:t>M</w:t>
      </w:r>
      <w:r w:rsidR="00A60115" w:rsidRPr="00A60115">
        <w:rPr>
          <w:sz w:val="24"/>
          <w:szCs w:val="24"/>
        </w:rPr>
        <w:t>okesčio už važiavimą Panevėžio miesto vietinės reikšmės keliais (gatvėmis) Lietuvos</w:t>
      </w:r>
      <w:r w:rsidR="00A60115">
        <w:rPr>
          <w:sz w:val="24"/>
          <w:szCs w:val="24"/>
        </w:rPr>
        <w:t xml:space="preserve"> R</w:t>
      </w:r>
      <w:r w:rsidR="00A60115" w:rsidRPr="00A60115">
        <w:rPr>
          <w:sz w:val="24"/>
          <w:szCs w:val="24"/>
        </w:rPr>
        <w:t>espublikoje ir užsienio šalyse, iš jų ir Europos</w:t>
      </w:r>
      <w:r w:rsidR="00A60115">
        <w:rPr>
          <w:sz w:val="24"/>
          <w:szCs w:val="24"/>
        </w:rPr>
        <w:t xml:space="preserve"> S</w:t>
      </w:r>
      <w:r w:rsidR="00A60115" w:rsidRPr="00A60115">
        <w:rPr>
          <w:sz w:val="24"/>
          <w:szCs w:val="24"/>
        </w:rPr>
        <w:t xml:space="preserve">ąjungos valstybėse narėse, įregistruotomis </w:t>
      </w:r>
      <w:proofErr w:type="spellStart"/>
      <w:r w:rsidR="00A60115" w:rsidRPr="00A60115">
        <w:rPr>
          <w:sz w:val="24"/>
          <w:szCs w:val="24"/>
        </w:rPr>
        <w:t>didžiagabaritėmis</w:t>
      </w:r>
      <w:proofErr w:type="spellEnd"/>
      <w:r w:rsidR="00A60115" w:rsidRPr="00A60115">
        <w:rPr>
          <w:sz w:val="24"/>
          <w:szCs w:val="24"/>
        </w:rPr>
        <w:t xml:space="preserve"> ir (ar) sunkiasvorėmis transporto priemonėmis (jų junginiais) dydžio nustatymo, mokėjimo, administravimo, kontrolės ir leidimų išdavimo tvarkos aprašo patvirtinimo ir </w:t>
      </w:r>
      <w:r w:rsidR="00A60115">
        <w:rPr>
          <w:sz w:val="24"/>
          <w:szCs w:val="24"/>
        </w:rPr>
        <w:t>S</w:t>
      </w:r>
      <w:r w:rsidR="00A60115" w:rsidRPr="00A60115">
        <w:rPr>
          <w:sz w:val="24"/>
          <w:szCs w:val="24"/>
        </w:rPr>
        <w:t xml:space="preserve">avivaldybės tarybos 2006 m. birželio 22 d. sprendimo </w:t>
      </w:r>
      <w:r w:rsidR="00A60115">
        <w:rPr>
          <w:sz w:val="24"/>
          <w:szCs w:val="24"/>
        </w:rPr>
        <w:t>N</w:t>
      </w:r>
      <w:r w:rsidR="00A60115" w:rsidRPr="00A60115">
        <w:rPr>
          <w:sz w:val="24"/>
          <w:szCs w:val="24"/>
        </w:rPr>
        <w:t>r. 1-50-8 pripažinimo netekusiu galios</w:t>
      </w:r>
      <w:r w:rsidR="007C0DAB">
        <w:rPr>
          <w:sz w:val="24"/>
          <w:szCs w:val="24"/>
        </w:rPr>
        <w:t>“ 1.</w:t>
      </w:r>
      <w:r w:rsidR="005F1271">
        <w:rPr>
          <w:sz w:val="24"/>
          <w:szCs w:val="24"/>
        </w:rPr>
        <w:t>2</w:t>
      </w:r>
      <w:r w:rsidR="007C0DAB">
        <w:rPr>
          <w:sz w:val="24"/>
          <w:szCs w:val="24"/>
        </w:rPr>
        <w:t xml:space="preserve"> </w:t>
      </w:r>
      <w:r>
        <w:rPr>
          <w:sz w:val="24"/>
          <w:szCs w:val="24"/>
        </w:rPr>
        <w:t>papunktį;</w:t>
      </w:r>
    </w:p>
    <w:p w:rsidR="000A0DB0" w:rsidRPr="003E3357" w:rsidRDefault="002F1839" w:rsidP="009E40AF">
      <w:pPr>
        <w:spacing w:line="360" w:lineRule="auto"/>
        <w:ind w:firstLine="851"/>
        <w:jc w:val="both"/>
        <w:rPr>
          <w:sz w:val="24"/>
          <w:szCs w:val="24"/>
        </w:rPr>
      </w:pPr>
      <w:r>
        <w:rPr>
          <w:sz w:val="24"/>
          <w:szCs w:val="24"/>
        </w:rPr>
        <w:t>2.2.</w:t>
      </w:r>
      <w:r w:rsidR="007C0DAB" w:rsidRPr="007C0DAB">
        <w:rPr>
          <w:sz w:val="24"/>
          <w:szCs w:val="24"/>
        </w:rPr>
        <w:t xml:space="preserve"> </w:t>
      </w:r>
      <w:r w:rsidR="007C0DAB" w:rsidRPr="006B0922">
        <w:rPr>
          <w:sz w:val="24"/>
          <w:szCs w:val="24"/>
        </w:rPr>
        <w:t xml:space="preserve">Panevėžio </w:t>
      </w:r>
      <w:r w:rsidR="007C0DAB" w:rsidRPr="005076A4">
        <w:rPr>
          <w:sz w:val="24"/>
          <w:szCs w:val="24"/>
        </w:rPr>
        <w:t>miesto savivaldybės tarybo</w:t>
      </w:r>
      <w:r w:rsidR="007C0DAB">
        <w:rPr>
          <w:sz w:val="24"/>
          <w:szCs w:val="24"/>
        </w:rPr>
        <w:t>s 2014 m. spalio 23 d. sprendimo</w:t>
      </w:r>
      <w:r w:rsidR="007C0DAB" w:rsidRPr="005076A4">
        <w:rPr>
          <w:sz w:val="24"/>
          <w:szCs w:val="24"/>
        </w:rPr>
        <w:t xml:space="preserve"> Nr. 1-303</w:t>
      </w:r>
      <w:r w:rsidR="007C0DAB">
        <w:rPr>
          <w:sz w:val="24"/>
          <w:szCs w:val="24"/>
        </w:rPr>
        <w:t xml:space="preserve"> </w:t>
      </w:r>
      <w:r w:rsidR="000A0DB0">
        <w:rPr>
          <w:sz w:val="24"/>
          <w:szCs w:val="24"/>
        </w:rPr>
        <w:t>„</w:t>
      </w:r>
      <w:r w:rsidR="000A0DB0" w:rsidRPr="000A0DB0">
        <w:rPr>
          <w:sz w:val="24"/>
          <w:szCs w:val="24"/>
        </w:rPr>
        <w:t xml:space="preserve">Dėl </w:t>
      </w:r>
      <w:r w:rsidR="00AE172B">
        <w:rPr>
          <w:sz w:val="24"/>
          <w:szCs w:val="24"/>
        </w:rPr>
        <w:t>M</w:t>
      </w:r>
      <w:r w:rsidR="000A0DB0" w:rsidRPr="000A0DB0">
        <w:rPr>
          <w:sz w:val="24"/>
          <w:szCs w:val="24"/>
        </w:rPr>
        <w:t xml:space="preserve">okesčio už važiavimą Panevėžio miesto vietinės reikšmės keliais (gatvėmis) Lietuvos </w:t>
      </w:r>
      <w:r w:rsidR="00AE172B">
        <w:rPr>
          <w:sz w:val="24"/>
          <w:szCs w:val="24"/>
        </w:rPr>
        <w:t>R</w:t>
      </w:r>
      <w:r w:rsidR="000A0DB0" w:rsidRPr="000A0DB0">
        <w:rPr>
          <w:sz w:val="24"/>
          <w:szCs w:val="24"/>
        </w:rPr>
        <w:t xml:space="preserve">espublikoje ir užsienio šalyse, iš jų ir Europos </w:t>
      </w:r>
      <w:r w:rsidR="00AE172B">
        <w:rPr>
          <w:sz w:val="24"/>
          <w:szCs w:val="24"/>
        </w:rPr>
        <w:t>S</w:t>
      </w:r>
      <w:r w:rsidR="000A0DB0" w:rsidRPr="000A0DB0">
        <w:rPr>
          <w:sz w:val="24"/>
          <w:szCs w:val="24"/>
        </w:rPr>
        <w:t xml:space="preserve">ąjungos valstybėse narėse, įregistruotomis didžiagabaritėmis ir (ar) sunkiasvorėmis transporto priemonėmis (jų junginiais) mokėjimo, administravimo, kontrolės ir leidimų išdavimo tvarkos aprašo, patvirtinto </w:t>
      </w:r>
      <w:r w:rsidR="00AE172B">
        <w:rPr>
          <w:sz w:val="24"/>
        </w:rPr>
        <w:t>S</w:t>
      </w:r>
      <w:r w:rsidR="000A0DB0" w:rsidRPr="000A0DB0">
        <w:rPr>
          <w:sz w:val="24"/>
        </w:rPr>
        <w:t xml:space="preserve">avivaldybės tarybos 2013 m. rugpjūčio 29 d. sprendimu </w:t>
      </w:r>
      <w:r w:rsidR="00AE172B">
        <w:rPr>
          <w:sz w:val="24"/>
        </w:rPr>
        <w:t>N</w:t>
      </w:r>
      <w:r w:rsidR="000A0DB0" w:rsidRPr="000A0DB0">
        <w:rPr>
          <w:sz w:val="24"/>
        </w:rPr>
        <w:t xml:space="preserve">r. 1-256, </w:t>
      </w:r>
      <w:r w:rsidR="000A0DB0" w:rsidRPr="000A0DB0">
        <w:rPr>
          <w:sz w:val="24"/>
          <w:szCs w:val="24"/>
        </w:rPr>
        <w:t xml:space="preserve">2 priedo ir </w:t>
      </w:r>
      <w:r w:rsidR="00EB341A">
        <w:rPr>
          <w:sz w:val="24"/>
          <w:szCs w:val="24"/>
        </w:rPr>
        <w:t>M</w:t>
      </w:r>
      <w:r w:rsidR="000A0DB0" w:rsidRPr="000A0DB0">
        <w:rPr>
          <w:sz w:val="24"/>
          <w:szCs w:val="24"/>
        </w:rPr>
        <w:t xml:space="preserve">okesčio už važiavimą Panevėžio miesto vietinės reikšmės keliais (gatvėmis) Lietuvos </w:t>
      </w:r>
      <w:r w:rsidR="00EB341A">
        <w:rPr>
          <w:sz w:val="24"/>
          <w:szCs w:val="24"/>
        </w:rPr>
        <w:t>R</w:t>
      </w:r>
      <w:r w:rsidR="000A0DB0" w:rsidRPr="000A0DB0">
        <w:rPr>
          <w:sz w:val="24"/>
          <w:szCs w:val="24"/>
        </w:rPr>
        <w:t xml:space="preserve">espublikoje ir užsienio šalyse, iš jų ir Europos </w:t>
      </w:r>
      <w:r w:rsidR="00EB341A">
        <w:rPr>
          <w:sz w:val="24"/>
          <w:szCs w:val="24"/>
        </w:rPr>
        <w:t>S</w:t>
      </w:r>
      <w:r w:rsidR="000A0DB0" w:rsidRPr="000A0DB0">
        <w:rPr>
          <w:sz w:val="24"/>
          <w:szCs w:val="24"/>
        </w:rPr>
        <w:t xml:space="preserve">ąjungos valstybėse narėse, įregistruotomis transporto priemonėmis (jų junginiais), kurių matmenys su kroviniu ar be jo viršija leidžiamus, ir (ar) kai viršijama leidžiama ašies (ašių) apkrova ir (ar) </w:t>
      </w:r>
      <w:r w:rsidR="000A0DB0" w:rsidRPr="000A0DB0">
        <w:rPr>
          <w:sz w:val="24"/>
          <w:szCs w:val="24"/>
        </w:rPr>
        <w:lastRenderedPageBreak/>
        <w:t xml:space="preserve">transporto priemonės (jų junginio) leidžiama bendroji masė, dydžių, patvirtintų </w:t>
      </w:r>
      <w:r w:rsidR="00AE172B">
        <w:rPr>
          <w:sz w:val="24"/>
        </w:rPr>
        <w:t>S</w:t>
      </w:r>
      <w:r w:rsidR="000A0DB0" w:rsidRPr="000A0DB0">
        <w:rPr>
          <w:sz w:val="24"/>
        </w:rPr>
        <w:t xml:space="preserve">avivaldybės tarybos 2013 m. rugpjūčio 29 d. sprendimu </w:t>
      </w:r>
      <w:r w:rsidR="00AE172B">
        <w:rPr>
          <w:sz w:val="24"/>
        </w:rPr>
        <w:t>N</w:t>
      </w:r>
      <w:r w:rsidR="000A0DB0" w:rsidRPr="000A0DB0">
        <w:rPr>
          <w:sz w:val="24"/>
        </w:rPr>
        <w:t>r. 1-256,</w:t>
      </w:r>
      <w:r w:rsidR="000A0DB0" w:rsidRPr="000A0DB0">
        <w:rPr>
          <w:sz w:val="24"/>
          <w:szCs w:val="24"/>
        </w:rPr>
        <w:t xml:space="preserve"> 1, 2, 3, 5 punktų pakeitimo</w:t>
      </w:r>
      <w:r w:rsidR="000A0DB0">
        <w:rPr>
          <w:sz w:val="24"/>
          <w:szCs w:val="24"/>
        </w:rPr>
        <w:t>“</w:t>
      </w:r>
      <w:r w:rsidR="000A0DB0" w:rsidRPr="000A0DB0">
        <w:rPr>
          <w:sz w:val="24"/>
          <w:szCs w:val="24"/>
        </w:rPr>
        <w:t>, 2 punktą.</w:t>
      </w:r>
    </w:p>
    <w:p w:rsidR="005076A4" w:rsidRDefault="005076A4" w:rsidP="005013F2">
      <w:pPr>
        <w:overflowPunct w:val="0"/>
        <w:autoSpaceDE w:val="0"/>
        <w:autoSpaceDN w:val="0"/>
        <w:adjustRightInd w:val="0"/>
        <w:spacing w:line="360" w:lineRule="auto"/>
        <w:jc w:val="both"/>
        <w:textAlignment w:val="baseline"/>
        <w:rPr>
          <w:sz w:val="24"/>
          <w:szCs w:val="24"/>
        </w:rPr>
      </w:pPr>
    </w:p>
    <w:p w:rsidR="00561337" w:rsidRDefault="00561337" w:rsidP="005013F2">
      <w:pPr>
        <w:overflowPunct w:val="0"/>
        <w:autoSpaceDE w:val="0"/>
        <w:autoSpaceDN w:val="0"/>
        <w:adjustRightInd w:val="0"/>
        <w:spacing w:line="360" w:lineRule="auto"/>
        <w:jc w:val="both"/>
        <w:textAlignment w:val="baseline"/>
        <w:rPr>
          <w:sz w:val="24"/>
          <w:szCs w:val="24"/>
        </w:rPr>
      </w:pPr>
    </w:p>
    <w:p w:rsidR="004B0007" w:rsidRPr="00D45431" w:rsidRDefault="004B0007" w:rsidP="004B0007">
      <w:pPr>
        <w:keepNext/>
        <w:tabs>
          <w:tab w:val="right" w:pos="9638"/>
        </w:tabs>
        <w:outlineLvl w:val="2"/>
        <w:rPr>
          <w:sz w:val="24"/>
        </w:rPr>
      </w:pPr>
      <w:r w:rsidRPr="00D45431">
        <w:rPr>
          <w:sz w:val="24"/>
        </w:rPr>
        <w:t xml:space="preserve">Savivaldybės meras                                                  </w:t>
      </w:r>
      <w:r>
        <w:rPr>
          <w:sz w:val="24"/>
        </w:rPr>
        <w:t xml:space="preserve">                               </w:t>
      </w:r>
      <w:r w:rsidRPr="00D45431">
        <w:rPr>
          <w:sz w:val="24"/>
        </w:rPr>
        <w:t>Vitalijus Satkevičius</w:t>
      </w:r>
    </w:p>
    <w:p w:rsidR="004B0007" w:rsidRPr="00D45431" w:rsidRDefault="004B0007" w:rsidP="004B0007">
      <w:pPr>
        <w:tabs>
          <w:tab w:val="left" w:pos="1304"/>
          <w:tab w:val="left" w:pos="1457"/>
          <w:tab w:val="left" w:pos="1604"/>
          <w:tab w:val="left" w:pos="1757"/>
        </w:tabs>
        <w:autoSpaceDE w:val="0"/>
        <w:autoSpaceDN w:val="0"/>
        <w:adjustRightInd w:val="0"/>
        <w:ind w:left="5529"/>
        <w:rPr>
          <w:sz w:val="24"/>
          <w:szCs w:val="24"/>
        </w:rPr>
      </w:pPr>
    </w:p>
    <w:p w:rsidR="007D3B61" w:rsidRDefault="007D3B61" w:rsidP="004B0007">
      <w:pPr>
        <w:widowControl w:val="0"/>
        <w:suppressAutoHyphens/>
        <w:jc w:val="both"/>
        <w:rPr>
          <w:rFonts w:ascii="Thorndale" w:hAnsi="Thorndale" w:cs="Tahoma"/>
          <w:sz w:val="24"/>
          <w:szCs w:val="24"/>
        </w:rPr>
      </w:pPr>
    </w:p>
    <w:p w:rsidR="007D3B61" w:rsidRDefault="007D3B61" w:rsidP="004B0007">
      <w:pPr>
        <w:widowControl w:val="0"/>
        <w:suppressAutoHyphens/>
        <w:jc w:val="both"/>
        <w:rPr>
          <w:rFonts w:ascii="Thorndale" w:hAnsi="Thorndale" w:cs="Tahoma"/>
          <w:sz w:val="24"/>
          <w:szCs w:val="24"/>
        </w:rPr>
      </w:pPr>
    </w:p>
    <w:p w:rsidR="004B0007" w:rsidRPr="00D45431" w:rsidRDefault="007D3B61" w:rsidP="004B0007">
      <w:pPr>
        <w:widowControl w:val="0"/>
        <w:suppressAutoHyphens/>
        <w:jc w:val="both"/>
        <w:rPr>
          <w:rFonts w:ascii="Thorndale" w:hAnsi="Thorndale" w:cs="Tahoma"/>
          <w:sz w:val="24"/>
          <w:szCs w:val="24"/>
        </w:rPr>
      </w:pPr>
      <w:r w:rsidRPr="00D45431">
        <w:rPr>
          <w:rFonts w:ascii="Thorndale" w:hAnsi="Thorndale" w:cs="Tahoma"/>
          <w:sz w:val="24"/>
          <w:szCs w:val="24"/>
        </w:rPr>
        <w:t>RENGĖ</w:t>
      </w:r>
      <w:r>
        <w:rPr>
          <w:rFonts w:ascii="Thorndale" w:hAnsi="Thorndale" w:cs="Tahoma"/>
          <w:sz w:val="24"/>
          <w:szCs w:val="24"/>
        </w:rPr>
        <w:t xml:space="preserve">                                       </w:t>
      </w:r>
      <w:r w:rsidR="004B0007">
        <w:rPr>
          <w:rFonts w:ascii="Thorndale" w:hAnsi="Thorndale" w:cs="Tahoma"/>
          <w:sz w:val="24"/>
          <w:szCs w:val="24"/>
        </w:rPr>
        <w:t>V.</w:t>
      </w:r>
      <w:r w:rsidR="009E40AF">
        <w:rPr>
          <w:rFonts w:ascii="Thorndale" w:hAnsi="Thorndale" w:cs="Tahoma"/>
          <w:sz w:val="24"/>
          <w:szCs w:val="24"/>
        </w:rPr>
        <w:t xml:space="preserve"> </w:t>
      </w:r>
      <w:r w:rsidR="004B0007">
        <w:rPr>
          <w:rFonts w:ascii="Thorndale" w:hAnsi="Thorndale" w:cs="Tahoma"/>
          <w:sz w:val="24"/>
          <w:szCs w:val="24"/>
        </w:rPr>
        <w:t xml:space="preserve">Darulis, </w:t>
      </w:r>
      <w:r w:rsidR="009E40AF">
        <w:rPr>
          <w:rFonts w:ascii="Thorndale" w:hAnsi="Thorndale" w:cs="Tahoma"/>
          <w:sz w:val="24"/>
          <w:szCs w:val="24"/>
        </w:rPr>
        <w:t xml:space="preserve">tel. </w:t>
      </w:r>
      <w:r w:rsidR="004B0007">
        <w:rPr>
          <w:rFonts w:ascii="Thorndale" w:hAnsi="Thorndale" w:cs="Tahoma"/>
          <w:sz w:val="24"/>
          <w:szCs w:val="24"/>
        </w:rPr>
        <w:t>309</w:t>
      </w:r>
    </w:p>
    <w:p w:rsidR="004B0007" w:rsidRDefault="004B0007" w:rsidP="004B0007">
      <w:pPr>
        <w:widowControl w:val="0"/>
        <w:suppressAutoHyphens/>
        <w:jc w:val="both"/>
        <w:rPr>
          <w:rFonts w:ascii="Thorndale" w:hAnsi="Thorndale" w:cs="Tahoma"/>
          <w:sz w:val="24"/>
          <w:szCs w:val="24"/>
        </w:rPr>
      </w:pPr>
    </w:p>
    <w:p w:rsidR="007D3B61" w:rsidRDefault="007D3B61" w:rsidP="007B5D83">
      <w:pPr>
        <w:widowControl w:val="0"/>
        <w:suppressAutoHyphens/>
        <w:spacing w:line="360" w:lineRule="auto"/>
        <w:rPr>
          <w:rFonts w:ascii="Thorndale" w:hAnsi="Thorndale" w:cs="Tahoma"/>
          <w:sz w:val="24"/>
          <w:szCs w:val="24"/>
        </w:rPr>
      </w:pPr>
    </w:p>
    <w:p w:rsidR="007D3B61" w:rsidRDefault="007D3B61" w:rsidP="007B5D83">
      <w:pPr>
        <w:widowControl w:val="0"/>
        <w:suppressAutoHyphens/>
        <w:spacing w:line="360" w:lineRule="auto"/>
        <w:rPr>
          <w:rFonts w:ascii="Thorndale" w:hAnsi="Thorndale" w:cs="Tahoma"/>
          <w:sz w:val="24"/>
          <w:szCs w:val="24"/>
        </w:rPr>
      </w:pPr>
    </w:p>
    <w:p w:rsidR="004B0007" w:rsidRPr="00D45431" w:rsidRDefault="004B0007" w:rsidP="007B5D83">
      <w:pPr>
        <w:widowControl w:val="0"/>
        <w:suppressAutoHyphens/>
        <w:spacing w:line="360" w:lineRule="auto"/>
        <w:rPr>
          <w:rFonts w:ascii="Thorndale" w:hAnsi="Thorndale" w:cs="Tahoma"/>
          <w:sz w:val="24"/>
          <w:szCs w:val="24"/>
        </w:rPr>
      </w:pPr>
      <w:r w:rsidRPr="00D45431">
        <w:rPr>
          <w:rFonts w:ascii="Thorndale" w:hAnsi="Thorndale" w:cs="Tahoma"/>
          <w:sz w:val="24"/>
          <w:szCs w:val="24"/>
        </w:rPr>
        <w:t>SUDERINTA</w:t>
      </w:r>
    </w:p>
    <w:p w:rsidR="004B0007" w:rsidRPr="00D45431" w:rsidRDefault="004B0007" w:rsidP="009E40AF">
      <w:pPr>
        <w:widowControl w:val="0"/>
        <w:suppressAutoHyphens/>
        <w:spacing w:line="720" w:lineRule="auto"/>
        <w:rPr>
          <w:rFonts w:ascii="Thorndale" w:hAnsi="Thorndale" w:cs="Tahoma"/>
          <w:sz w:val="24"/>
          <w:szCs w:val="24"/>
        </w:rPr>
      </w:pPr>
      <w:r w:rsidRPr="00D45431">
        <w:rPr>
          <w:rFonts w:ascii="Thorndale" w:hAnsi="Thorndale" w:cs="Tahoma"/>
          <w:sz w:val="24"/>
          <w:szCs w:val="24"/>
        </w:rPr>
        <w:t>Mero pavaduotojas</w:t>
      </w:r>
      <w:r w:rsidRPr="00D45431">
        <w:rPr>
          <w:rFonts w:ascii="Thorndale" w:hAnsi="Thorndale" w:cs="Tahoma"/>
          <w:sz w:val="24"/>
          <w:szCs w:val="24"/>
        </w:rPr>
        <w:tab/>
      </w:r>
      <w:r w:rsidRPr="00D45431">
        <w:rPr>
          <w:rFonts w:ascii="Thorndale" w:hAnsi="Thorndale" w:cs="Tahoma"/>
          <w:sz w:val="24"/>
          <w:szCs w:val="24"/>
        </w:rPr>
        <w:tab/>
      </w:r>
      <w:r w:rsidRPr="00D45431">
        <w:rPr>
          <w:rFonts w:ascii="Thorndale" w:hAnsi="Thorndale" w:cs="Tahoma"/>
          <w:sz w:val="24"/>
          <w:szCs w:val="24"/>
        </w:rPr>
        <w:tab/>
      </w:r>
      <w:r w:rsidRPr="00D45431">
        <w:rPr>
          <w:rFonts w:ascii="Thorndale" w:hAnsi="Thorndale" w:cs="Tahoma"/>
          <w:sz w:val="24"/>
          <w:szCs w:val="24"/>
        </w:rPr>
        <w:tab/>
      </w:r>
      <w:r>
        <w:rPr>
          <w:rFonts w:ascii="Thorndale" w:hAnsi="Thorndale" w:cs="Tahoma"/>
          <w:sz w:val="24"/>
          <w:szCs w:val="24"/>
        </w:rPr>
        <w:t xml:space="preserve">                                        </w:t>
      </w:r>
      <w:r w:rsidRPr="00D45431">
        <w:rPr>
          <w:rFonts w:ascii="Thorndale" w:hAnsi="Thorndale" w:cs="Tahoma"/>
          <w:sz w:val="24"/>
          <w:szCs w:val="24"/>
        </w:rPr>
        <w:t>Maurikijus Grėbliūnas</w:t>
      </w:r>
    </w:p>
    <w:p w:rsidR="004B0007" w:rsidRPr="00D45431" w:rsidRDefault="004B0007" w:rsidP="009E40AF">
      <w:pPr>
        <w:widowControl w:val="0"/>
        <w:suppressAutoHyphens/>
        <w:spacing w:line="720" w:lineRule="auto"/>
        <w:jc w:val="both"/>
        <w:rPr>
          <w:rFonts w:ascii="Thorndale" w:hAnsi="Thorndale" w:cs="Tahoma"/>
          <w:sz w:val="24"/>
          <w:szCs w:val="24"/>
        </w:rPr>
      </w:pPr>
      <w:r w:rsidRPr="00D45431">
        <w:rPr>
          <w:rFonts w:ascii="Thorndale" w:hAnsi="Thorndale" w:cs="Tahoma"/>
          <w:sz w:val="24"/>
          <w:szCs w:val="24"/>
        </w:rPr>
        <w:t>Tarybos sekretorė</w:t>
      </w:r>
      <w:r w:rsidRPr="00D45431">
        <w:rPr>
          <w:rFonts w:ascii="Thorndale" w:hAnsi="Thorndale" w:cs="Tahoma"/>
          <w:sz w:val="24"/>
          <w:szCs w:val="24"/>
        </w:rPr>
        <w:tab/>
      </w:r>
      <w:r w:rsidRPr="00D45431">
        <w:rPr>
          <w:rFonts w:ascii="Thorndale" w:hAnsi="Thorndale" w:cs="Tahoma"/>
          <w:sz w:val="24"/>
          <w:szCs w:val="24"/>
        </w:rPr>
        <w:tab/>
      </w:r>
      <w:r w:rsidRPr="00D45431">
        <w:rPr>
          <w:rFonts w:ascii="Thorndale" w:hAnsi="Thorndale" w:cs="Tahoma"/>
          <w:sz w:val="24"/>
          <w:szCs w:val="24"/>
        </w:rPr>
        <w:tab/>
      </w:r>
      <w:r w:rsidRPr="00D45431">
        <w:rPr>
          <w:rFonts w:ascii="Thorndale" w:hAnsi="Thorndale" w:cs="Tahoma"/>
          <w:sz w:val="24"/>
          <w:szCs w:val="24"/>
        </w:rPr>
        <w:tab/>
      </w:r>
      <w:r>
        <w:rPr>
          <w:rFonts w:ascii="Thorndale" w:hAnsi="Thorndale" w:cs="Tahoma"/>
          <w:sz w:val="24"/>
          <w:szCs w:val="24"/>
        </w:rPr>
        <w:t xml:space="preserve">                                        </w:t>
      </w:r>
      <w:r w:rsidRPr="00D45431">
        <w:rPr>
          <w:rFonts w:ascii="Thorndale" w:hAnsi="Thorndale" w:cs="Tahoma"/>
          <w:sz w:val="24"/>
          <w:szCs w:val="24"/>
        </w:rPr>
        <w:t>Ingrida Mazaliauskienė</w:t>
      </w:r>
      <w:r w:rsidRPr="00D45431">
        <w:rPr>
          <w:rFonts w:ascii="Thorndale" w:hAnsi="Thorndale" w:cs="Tahoma"/>
          <w:sz w:val="24"/>
          <w:szCs w:val="24"/>
        </w:rPr>
        <w:tab/>
      </w:r>
    </w:p>
    <w:p w:rsidR="004B0007" w:rsidRPr="00D45431" w:rsidRDefault="004B0007" w:rsidP="009E40AF">
      <w:pPr>
        <w:widowControl w:val="0"/>
        <w:suppressAutoHyphens/>
        <w:spacing w:line="720" w:lineRule="auto"/>
        <w:jc w:val="both"/>
        <w:rPr>
          <w:rFonts w:ascii="Thorndale" w:hAnsi="Thorndale" w:cs="Tahoma"/>
          <w:sz w:val="24"/>
          <w:szCs w:val="24"/>
        </w:rPr>
      </w:pPr>
      <w:r w:rsidRPr="00D45431">
        <w:rPr>
          <w:rFonts w:ascii="Thorndale" w:hAnsi="Thorndale" w:cs="Tahoma"/>
          <w:sz w:val="24"/>
          <w:szCs w:val="24"/>
        </w:rPr>
        <w:t>Administracijos direktorė</w:t>
      </w:r>
      <w:r w:rsidRPr="00D45431">
        <w:rPr>
          <w:rFonts w:ascii="Thorndale" w:hAnsi="Thorndale" w:cs="Tahoma"/>
          <w:sz w:val="24"/>
          <w:szCs w:val="24"/>
        </w:rPr>
        <w:tab/>
        <w:t xml:space="preserve">                                                </w:t>
      </w:r>
      <w:r>
        <w:rPr>
          <w:rFonts w:ascii="Thorndale" w:hAnsi="Thorndale" w:cs="Tahoma"/>
          <w:sz w:val="24"/>
          <w:szCs w:val="24"/>
        </w:rPr>
        <w:t xml:space="preserve">                </w:t>
      </w:r>
      <w:r w:rsidRPr="00D45431">
        <w:rPr>
          <w:rFonts w:ascii="Thorndale" w:hAnsi="Thorndale" w:cs="Tahoma"/>
          <w:sz w:val="24"/>
          <w:szCs w:val="24"/>
        </w:rPr>
        <w:t xml:space="preserve">Kristina </w:t>
      </w:r>
      <w:r w:rsidR="007D3B61">
        <w:rPr>
          <w:rFonts w:ascii="Thorndale" w:hAnsi="Thorndale" w:cs="Tahoma"/>
          <w:sz w:val="24"/>
          <w:szCs w:val="24"/>
        </w:rPr>
        <w:t>Nakutytė</w:t>
      </w:r>
    </w:p>
    <w:p w:rsidR="004B0007" w:rsidRPr="00D45431" w:rsidRDefault="004B0007" w:rsidP="009E40AF">
      <w:pPr>
        <w:widowControl w:val="0"/>
        <w:suppressAutoHyphens/>
        <w:spacing w:line="720" w:lineRule="auto"/>
        <w:jc w:val="both"/>
        <w:rPr>
          <w:rFonts w:ascii="Thorndale" w:hAnsi="Thorndale" w:cs="Tahoma"/>
          <w:sz w:val="24"/>
          <w:szCs w:val="24"/>
        </w:rPr>
      </w:pPr>
      <w:r w:rsidRPr="00D45431">
        <w:rPr>
          <w:rFonts w:ascii="Thorndale" w:hAnsi="Thorndale" w:cs="Tahoma"/>
          <w:sz w:val="24"/>
          <w:szCs w:val="24"/>
        </w:rPr>
        <w:t xml:space="preserve">Administracijos direktoriaus pavaduotojas                  </w:t>
      </w:r>
      <w:r w:rsidRPr="00D45431">
        <w:rPr>
          <w:rFonts w:ascii="Thorndale" w:hAnsi="Thorndale" w:cs="Tahoma"/>
          <w:sz w:val="24"/>
          <w:szCs w:val="24"/>
        </w:rPr>
        <w:tab/>
      </w:r>
      <w:r w:rsidRPr="00D45431">
        <w:rPr>
          <w:rFonts w:ascii="Thorndale" w:hAnsi="Thorndale" w:cs="Tahoma"/>
          <w:sz w:val="24"/>
          <w:szCs w:val="24"/>
        </w:rPr>
        <w:tab/>
      </w:r>
      <w:r>
        <w:rPr>
          <w:rFonts w:ascii="Thorndale" w:hAnsi="Thorndale" w:cs="Tahoma"/>
          <w:sz w:val="24"/>
          <w:szCs w:val="24"/>
        </w:rPr>
        <w:t xml:space="preserve">    </w:t>
      </w:r>
      <w:r w:rsidRPr="00D45431">
        <w:rPr>
          <w:rFonts w:ascii="Thorndale" w:hAnsi="Thorndale" w:cs="Tahoma"/>
          <w:sz w:val="24"/>
          <w:szCs w:val="24"/>
        </w:rPr>
        <w:t>Žydrūnas Kvedaras</w:t>
      </w:r>
    </w:p>
    <w:p w:rsidR="004B0007" w:rsidRPr="00D45431" w:rsidRDefault="004B0007" w:rsidP="009E40AF">
      <w:pPr>
        <w:widowControl w:val="0"/>
        <w:suppressAutoHyphens/>
        <w:spacing w:line="720" w:lineRule="auto"/>
        <w:jc w:val="both"/>
        <w:rPr>
          <w:rFonts w:ascii="Thorndale" w:hAnsi="Thorndale" w:cs="Tahoma"/>
          <w:sz w:val="24"/>
          <w:szCs w:val="24"/>
        </w:rPr>
      </w:pPr>
      <w:r w:rsidRPr="00D45431">
        <w:rPr>
          <w:rFonts w:ascii="Thorndale" w:hAnsi="Thorndale" w:cs="Tahoma"/>
          <w:sz w:val="24"/>
          <w:szCs w:val="24"/>
        </w:rPr>
        <w:t>Teisės skyriaus vyr. specialistas</w:t>
      </w:r>
      <w:r w:rsidRPr="00D45431">
        <w:rPr>
          <w:rFonts w:ascii="Thorndale" w:hAnsi="Thorndale" w:cs="Tahoma"/>
          <w:sz w:val="24"/>
          <w:szCs w:val="24"/>
        </w:rPr>
        <w:tab/>
      </w:r>
      <w:r w:rsidRPr="00D45431">
        <w:rPr>
          <w:rFonts w:ascii="Thorndale" w:hAnsi="Thorndale" w:cs="Tahoma"/>
          <w:sz w:val="24"/>
          <w:szCs w:val="24"/>
        </w:rPr>
        <w:tab/>
      </w:r>
      <w:r w:rsidRPr="00D45431">
        <w:rPr>
          <w:rFonts w:ascii="Thorndale" w:hAnsi="Thorndale" w:cs="Tahoma"/>
          <w:sz w:val="24"/>
          <w:szCs w:val="24"/>
        </w:rPr>
        <w:tab/>
      </w:r>
      <w:r>
        <w:rPr>
          <w:rFonts w:ascii="Thorndale" w:hAnsi="Thorndale" w:cs="Tahoma"/>
          <w:sz w:val="24"/>
          <w:szCs w:val="24"/>
        </w:rPr>
        <w:t xml:space="preserve">                            </w:t>
      </w:r>
      <w:r w:rsidRPr="00D45431">
        <w:rPr>
          <w:rFonts w:ascii="Thorndale" w:hAnsi="Thorndale" w:cs="Tahoma"/>
          <w:sz w:val="24"/>
          <w:szCs w:val="24"/>
        </w:rPr>
        <w:t xml:space="preserve">Aušrys Valkūnas </w:t>
      </w:r>
    </w:p>
    <w:p w:rsidR="004B0007" w:rsidRDefault="004B0007" w:rsidP="009E40AF">
      <w:pPr>
        <w:widowControl w:val="0"/>
        <w:suppressAutoHyphens/>
        <w:spacing w:line="720" w:lineRule="auto"/>
        <w:jc w:val="both"/>
        <w:rPr>
          <w:rFonts w:ascii="Thorndale" w:hAnsi="Thorndale" w:cs="Tahoma"/>
          <w:sz w:val="24"/>
          <w:szCs w:val="24"/>
        </w:rPr>
      </w:pPr>
      <w:r w:rsidRPr="00D45431">
        <w:rPr>
          <w:rFonts w:ascii="Thorndale" w:hAnsi="Thorndale" w:cs="Tahoma"/>
          <w:sz w:val="24"/>
          <w:szCs w:val="24"/>
        </w:rPr>
        <w:t xml:space="preserve">Miesto ūkio skyriaus vedėjas                      </w:t>
      </w:r>
      <w:r w:rsidRPr="00D45431">
        <w:rPr>
          <w:rFonts w:ascii="Thorndale" w:hAnsi="Thorndale" w:cs="Tahoma"/>
          <w:sz w:val="24"/>
          <w:szCs w:val="24"/>
        </w:rPr>
        <w:tab/>
      </w:r>
      <w:r w:rsidRPr="00D45431">
        <w:rPr>
          <w:rFonts w:ascii="Thorndale" w:hAnsi="Thorndale" w:cs="Tahoma"/>
          <w:sz w:val="24"/>
          <w:szCs w:val="24"/>
        </w:rPr>
        <w:tab/>
      </w:r>
      <w:r>
        <w:rPr>
          <w:rFonts w:ascii="Thorndale" w:hAnsi="Thorndale" w:cs="Tahoma"/>
          <w:sz w:val="24"/>
          <w:szCs w:val="24"/>
        </w:rPr>
        <w:t xml:space="preserve">                           </w:t>
      </w:r>
      <w:r w:rsidRPr="00D45431">
        <w:rPr>
          <w:rFonts w:ascii="Thorndale" w:hAnsi="Thorndale" w:cs="Tahoma"/>
          <w:sz w:val="24"/>
          <w:szCs w:val="24"/>
        </w:rPr>
        <w:t>Antanas Karalevičius</w:t>
      </w:r>
    </w:p>
    <w:p w:rsidR="002B3914" w:rsidRPr="002B3914" w:rsidRDefault="002B3914" w:rsidP="009E40AF">
      <w:pPr>
        <w:tabs>
          <w:tab w:val="left" w:pos="7100"/>
          <w:tab w:val="left" w:pos="7300"/>
          <w:tab w:val="right" w:pos="9638"/>
        </w:tabs>
        <w:overflowPunct w:val="0"/>
        <w:autoSpaceDE w:val="0"/>
        <w:autoSpaceDN w:val="0"/>
        <w:adjustRightInd w:val="0"/>
        <w:spacing w:line="720" w:lineRule="auto"/>
        <w:textAlignment w:val="baseline"/>
        <w:rPr>
          <w:sz w:val="24"/>
        </w:rPr>
      </w:pPr>
      <w:r w:rsidRPr="002B3914">
        <w:rPr>
          <w:sz w:val="24"/>
        </w:rPr>
        <w:t xml:space="preserve">Finansų ir biudžeto skyriaus vedėja                            </w:t>
      </w:r>
      <w:r>
        <w:rPr>
          <w:sz w:val="24"/>
        </w:rPr>
        <w:t xml:space="preserve">                         </w:t>
      </w:r>
      <w:r w:rsidRPr="002B3914">
        <w:rPr>
          <w:sz w:val="24"/>
        </w:rPr>
        <w:t xml:space="preserve"> Ona Chomentauskienė </w:t>
      </w:r>
    </w:p>
    <w:p w:rsidR="004B0007" w:rsidRPr="00D45431" w:rsidRDefault="004B0007" w:rsidP="009E40AF">
      <w:pPr>
        <w:widowControl w:val="0"/>
        <w:suppressAutoHyphens/>
        <w:spacing w:line="720" w:lineRule="auto"/>
        <w:rPr>
          <w:rFonts w:ascii="Thorndale" w:hAnsi="Thorndale" w:cs="Tahoma"/>
          <w:sz w:val="24"/>
          <w:szCs w:val="24"/>
        </w:rPr>
      </w:pPr>
      <w:r w:rsidRPr="00D45431">
        <w:rPr>
          <w:rFonts w:ascii="Thorndale" w:hAnsi="Thorndale" w:cs="Tahoma"/>
          <w:sz w:val="24"/>
          <w:szCs w:val="24"/>
        </w:rPr>
        <w:t xml:space="preserve">Vyr. specialistė </w:t>
      </w:r>
      <w:r w:rsidRPr="00D45431">
        <w:rPr>
          <w:rFonts w:ascii="Thorndale" w:hAnsi="Thorndale" w:cs="Tahoma"/>
          <w:sz w:val="24"/>
          <w:szCs w:val="24"/>
        </w:rPr>
        <w:tab/>
      </w:r>
      <w:r w:rsidRPr="00D45431">
        <w:rPr>
          <w:rFonts w:ascii="Thorndale" w:hAnsi="Thorndale" w:cs="Tahoma"/>
          <w:sz w:val="24"/>
          <w:szCs w:val="24"/>
        </w:rPr>
        <w:tab/>
      </w:r>
      <w:r w:rsidRPr="00D45431">
        <w:rPr>
          <w:rFonts w:ascii="Thorndale" w:hAnsi="Thorndale" w:cs="Tahoma"/>
          <w:sz w:val="24"/>
          <w:szCs w:val="24"/>
        </w:rPr>
        <w:tab/>
      </w:r>
      <w:r w:rsidRPr="00D45431">
        <w:rPr>
          <w:rFonts w:ascii="Thorndale" w:hAnsi="Thorndale" w:cs="Tahoma"/>
          <w:sz w:val="24"/>
          <w:szCs w:val="24"/>
        </w:rPr>
        <w:tab/>
      </w:r>
      <w:r>
        <w:rPr>
          <w:rFonts w:ascii="Thorndale" w:hAnsi="Thorndale" w:cs="Tahoma"/>
          <w:sz w:val="24"/>
          <w:szCs w:val="24"/>
        </w:rPr>
        <w:t xml:space="preserve">                                       </w:t>
      </w:r>
      <w:r w:rsidRPr="00D45431">
        <w:rPr>
          <w:rFonts w:ascii="Thorndale" w:hAnsi="Thorndale" w:cs="Tahoma"/>
          <w:sz w:val="24"/>
          <w:szCs w:val="24"/>
        </w:rPr>
        <w:t>Agnė Valužytė</w:t>
      </w:r>
    </w:p>
    <w:p w:rsidR="009E40AF" w:rsidRDefault="009E40AF">
      <w:pPr>
        <w:rPr>
          <w:sz w:val="24"/>
        </w:rPr>
      </w:pPr>
      <w:r>
        <w:rPr>
          <w:sz w:val="24"/>
        </w:rPr>
        <w:br w:type="page"/>
      </w:r>
    </w:p>
    <w:p w:rsidR="0023401C" w:rsidRPr="0023401C" w:rsidRDefault="0023401C" w:rsidP="009E40AF">
      <w:pPr>
        <w:overflowPunct w:val="0"/>
        <w:autoSpaceDE w:val="0"/>
        <w:autoSpaceDN w:val="0"/>
        <w:adjustRightInd w:val="0"/>
        <w:ind w:firstLine="851"/>
        <w:jc w:val="center"/>
        <w:textAlignment w:val="baseline"/>
        <w:rPr>
          <w:sz w:val="24"/>
        </w:rPr>
      </w:pPr>
      <w:r w:rsidRPr="0023401C">
        <w:rPr>
          <w:sz w:val="24"/>
        </w:rPr>
        <w:lastRenderedPageBreak/>
        <w:t>PATVIRTINTA</w:t>
      </w:r>
    </w:p>
    <w:p w:rsidR="0023401C" w:rsidRPr="0023401C" w:rsidRDefault="0023401C" w:rsidP="009E40AF">
      <w:pPr>
        <w:overflowPunct w:val="0"/>
        <w:autoSpaceDE w:val="0"/>
        <w:autoSpaceDN w:val="0"/>
        <w:adjustRightInd w:val="0"/>
        <w:ind w:firstLine="851"/>
        <w:textAlignment w:val="baseline"/>
        <w:rPr>
          <w:sz w:val="24"/>
        </w:rPr>
      </w:pPr>
      <w:r w:rsidRPr="0023401C">
        <w:rPr>
          <w:sz w:val="24"/>
        </w:rPr>
        <w:t xml:space="preserve">                                                          </w:t>
      </w:r>
      <w:r w:rsidR="009E40AF">
        <w:rPr>
          <w:sz w:val="24"/>
        </w:rPr>
        <w:t xml:space="preserve"> </w:t>
      </w:r>
      <w:r w:rsidRPr="0023401C">
        <w:rPr>
          <w:sz w:val="24"/>
        </w:rPr>
        <w:t xml:space="preserve"> Panevėžio miesto savivaldybės tarybos</w:t>
      </w:r>
    </w:p>
    <w:p w:rsidR="0023401C" w:rsidRPr="0023401C" w:rsidRDefault="0023401C" w:rsidP="009E40AF">
      <w:pPr>
        <w:overflowPunct w:val="0"/>
        <w:autoSpaceDE w:val="0"/>
        <w:autoSpaceDN w:val="0"/>
        <w:adjustRightInd w:val="0"/>
        <w:ind w:firstLine="851"/>
        <w:textAlignment w:val="baseline"/>
        <w:rPr>
          <w:sz w:val="24"/>
        </w:rPr>
      </w:pPr>
      <w:r w:rsidRPr="0023401C">
        <w:rPr>
          <w:sz w:val="24"/>
        </w:rPr>
        <w:tab/>
      </w:r>
      <w:r w:rsidRPr="0023401C">
        <w:rPr>
          <w:sz w:val="24"/>
        </w:rPr>
        <w:tab/>
      </w:r>
      <w:r w:rsidRPr="0023401C">
        <w:rPr>
          <w:sz w:val="24"/>
        </w:rPr>
        <w:tab/>
      </w:r>
      <w:r w:rsidRPr="0023401C">
        <w:rPr>
          <w:sz w:val="24"/>
        </w:rPr>
        <w:tab/>
      </w:r>
      <w:r w:rsidRPr="0023401C">
        <w:rPr>
          <w:sz w:val="24"/>
        </w:rPr>
        <w:tab/>
      </w:r>
      <w:r w:rsidR="009E40AF">
        <w:rPr>
          <w:sz w:val="24"/>
        </w:rPr>
        <w:t xml:space="preserve"> </w:t>
      </w:r>
      <w:r w:rsidRPr="0023401C">
        <w:rPr>
          <w:sz w:val="24"/>
        </w:rPr>
        <w:t xml:space="preserve"> 2015 m.                               d. sprendimu Nr.</w:t>
      </w:r>
    </w:p>
    <w:p w:rsidR="0023401C" w:rsidRDefault="0023401C" w:rsidP="00376BDA">
      <w:pPr>
        <w:overflowPunct w:val="0"/>
        <w:autoSpaceDE w:val="0"/>
        <w:autoSpaceDN w:val="0"/>
        <w:adjustRightInd w:val="0"/>
        <w:spacing w:line="360" w:lineRule="auto"/>
        <w:ind w:firstLine="851"/>
        <w:jc w:val="center"/>
        <w:textAlignment w:val="baseline"/>
        <w:rPr>
          <w:b/>
          <w:sz w:val="24"/>
        </w:rPr>
      </w:pPr>
    </w:p>
    <w:p w:rsidR="005013F2" w:rsidRDefault="00376BDA" w:rsidP="009E40AF">
      <w:pPr>
        <w:overflowPunct w:val="0"/>
        <w:autoSpaceDE w:val="0"/>
        <w:autoSpaceDN w:val="0"/>
        <w:adjustRightInd w:val="0"/>
        <w:ind w:firstLine="851"/>
        <w:jc w:val="center"/>
        <w:textAlignment w:val="baseline"/>
        <w:rPr>
          <w:b/>
          <w:sz w:val="24"/>
        </w:rPr>
      </w:pPr>
      <w:r w:rsidRPr="006112CD">
        <w:rPr>
          <w:b/>
          <w:sz w:val="24"/>
        </w:rPr>
        <w:t>MOK</w:t>
      </w:r>
      <w:r>
        <w:rPr>
          <w:b/>
          <w:sz w:val="24"/>
        </w:rPr>
        <w:t xml:space="preserve">ESČIŲ </w:t>
      </w:r>
      <w:r w:rsidRPr="006112CD">
        <w:rPr>
          <w:b/>
          <w:sz w:val="24"/>
        </w:rPr>
        <w:t>UŽ NAUDOJIMĄSI PANEVĖŽIO MIESTO VIETINĖS REIKŠMĖS KELIAIS (GATVĖMIS)</w:t>
      </w:r>
      <w:r>
        <w:rPr>
          <w:b/>
          <w:sz w:val="24"/>
        </w:rPr>
        <w:t xml:space="preserve"> RIBINIAI TARIFAI</w:t>
      </w:r>
    </w:p>
    <w:p w:rsidR="00376BDA" w:rsidRDefault="00376BDA" w:rsidP="00376BDA">
      <w:pPr>
        <w:overflowPunct w:val="0"/>
        <w:autoSpaceDE w:val="0"/>
        <w:autoSpaceDN w:val="0"/>
        <w:adjustRightInd w:val="0"/>
        <w:spacing w:line="360" w:lineRule="auto"/>
        <w:ind w:firstLine="851"/>
        <w:jc w:val="center"/>
        <w:textAlignment w:val="baseline"/>
        <w:rPr>
          <w:sz w:val="24"/>
          <w:szCs w:val="24"/>
        </w:rPr>
      </w:pPr>
    </w:p>
    <w:p w:rsidR="00F73078" w:rsidRDefault="00F73078" w:rsidP="00C20BEF">
      <w:pPr>
        <w:overflowPunct w:val="0"/>
        <w:autoSpaceDE w:val="0"/>
        <w:autoSpaceDN w:val="0"/>
        <w:adjustRightInd w:val="0"/>
        <w:spacing w:line="360" w:lineRule="auto"/>
        <w:ind w:firstLine="851"/>
        <w:jc w:val="both"/>
        <w:textAlignment w:val="baseline"/>
        <w:rPr>
          <w:sz w:val="24"/>
          <w:szCs w:val="24"/>
        </w:rPr>
      </w:pPr>
      <w:r w:rsidRPr="0070045C">
        <w:rPr>
          <w:sz w:val="24"/>
          <w:szCs w:val="24"/>
        </w:rPr>
        <w:t xml:space="preserve">1. </w:t>
      </w:r>
      <w:r w:rsidR="00376BDA">
        <w:rPr>
          <w:sz w:val="24"/>
          <w:szCs w:val="24"/>
        </w:rPr>
        <w:t>Mokesčio už</w:t>
      </w:r>
      <w:r w:rsidRPr="0070045C">
        <w:rPr>
          <w:sz w:val="24"/>
          <w:szCs w:val="24"/>
        </w:rPr>
        <w:t xml:space="preserve"> </w:t>
      </w:r>
      <w:r w:rsidR="00E45CAA">
        <w:rPr>
          <w:sz w:val="24"/>
          <w:szCs w:val="24"/>
        </w:rPr>
        <w:t xml:space="preserve">naudojimąsi </w:t>
      </w:r>
      <w:r w:rsidRPr="0070045C">
        <w:rPr>
          <w:sz w:val="24"/>
          <w:szCs w:val="24"/>
        </w:rPr>
        <w:t>Panevėžio miesto vietinės reikšmės keliais (gatvėmis)</w:t>
      </w:r>
      <w:r w:rsidR="00E45CAA">
        <w:rPr>
          <w:sz w:val="24"/>
          <w:szCs w:val="24"/>
        </w:rPr>
        <w:t xml:space="preserve"> važiuojant </w:t>
      </w:r>
      <w:proofErr w:type="spellStart"/>
      <w:r w:rsidR="00E45CAA">
        <w:rPr>
          <w:sz w:val="24"/>
          <w:szCs w:val="24"/>
        </w:rPr>
        <w:t>didžiagabaritėmis</w:t>
      </w:r>
      <w:proofErr w:type="spellEnd"/>
      <w:r w:rsidR="00E45CAA">
        <w:rPr>
          <w:sz w:val="24"/>
          <w:szCs w:val="24"/>
        </w:rPr>
        <w:t xml:space="preserve"> motorinėmis transporto priemonėmis ar jų junginiais</w:t>
      </w:r>
      <w:r w:rsidRPr="0070045C">
        <w:rPr>
          <w:sz w:val="24"/>
          <w:szCs w:val="24"/>
        </w:rPr>
        <w:t xml:space="preserve">, </w:t>
      </w:r>
      <w:r w:rsidRPr="002761C5">
        <w:rPr>
          <w:sz w:val="24"/>
          <w:szCs w:val="24"/>
        </w:rPr>
        <w:t>kurių matme</w:t>
      </w:r>
      <w:r w:rsidR="00370BEF">
        <w:rPr>
          <w:sz w:val="24"/>
          <w:szCs w:val="24"/>
        </w:rPr>
        <w:t>nys su kroviniu ar be jo yra didesni už didžiausius</w:t>
      </w:r>
      <w:r w:rsidRPr="002761C5">
        <w:rPr>
          <w:sz w:val="24"/>
          <w:szCs w:val="24"/>
        </w:rPr>
        <w:t xml:space="preserve"> leidžiamu</w:t>
      </w:r>
      <w:r w:rsidR="00233E75">
        <w:rPr>
          <w:sz w:val="24"/>
          <w:szCs w:val="24"/>
        </w:rPr>
        <w:t>osiu</w:t>
      </w:r>
      <w:r w:rsidRPr="002761C5">
        <w:rPr>
          <w:sz w:val="24"/>
          <w:szCs w:val="24"/>
        </w:rPr>
        <w:t>s</w:t>
      </w:r>
      <w:r w:rsidR="006356D8" w:rsidRPr="002761C5">
        <w:rPr>
          <w:sz w:val="24"/>
          <w:szCs w:val="24"/>
        </w:rPr>
        <w:t xml:space="preserve"> </w:t>
      </w:r>
      <w:r w:rsidR="00370BEF">
        <w:rPr>
          <w:sz w:val="24"/>
          <w:szCs w:val="24"/>
        </w:rPr>
        <w:t>naudojantis keliais transporto priemonių ar jų junginių matmenis (toliau</w:t>
      </w:r>
      <w:r w:rsidR="007D3B61">
        <w:rPr>
          <w:sz w:val="24"/>
          <w:szCs w:val="24"/>
        </w:rPr>
        <w:t xml:space="preserve"> – </w:t>
      </w:r>
      <w:r w:rsidR="00370BEF" w:rsidRPr="007404FE">
        <w:rPr>
          <w:sz w:val="24"/>
          <w:szCs w:val="24"/>
        </w:rPr>
        <w:t>didžiausi leidžiamieji matmenys</w:t>
      </w:r>
      <w:r w:rsidR="00370BEF">
        <w:rPr>
          <w:sz w:val="24"/>
          <w:szCs w:val="24"/>
        </w:rPr>
        <w:t>)</w:t>
      </w:r>
      <w:r w:rsidRPr="0070045C">
        <w:rPr>
          <w:sz w:val="24"/>
          <w:szCs w:val="24"/>
        </w:rPr>
        <w:t xml:space="preserve">, </w:t>
      </w:r>
      <w:r w:rsidR="008A1021">
        <w:rPr>
          <w:sz w:val="24"/>
          <w:szCs w:val="24"/>
        </w:rPr>
        <w:t>ribiniai tarifai:</w:t>
      </w:r>
    </w:p>
    <w:p w:rsidR="00F73078" w:rsidRPr="00A5124E" w:rsidRDefault="00F73078" w:rsidP="00C20BEF">
      <w:pPr>
        <w:overflowPunct w:val="0"/>
        <w:autoSpaceDE w:val="0"/>
        <w:autoSpaceDN w:val="0"/>
        <w:adjustRightInd w:val="0"/>
        <w:spacing w:line="360" w:lineRule="auto"/>
        <w:jc w:val="both"/>
        <w:textAlignment w:val="baseline"/>
        <w:rPr>
          <w:sz w:val="24"/>
          <w:szCs w:val="24"/>
        </w:rPr>
      </w:pPr>
    </w:p>
    <w:tbl>
      <w:tblPr>
        <w:tblW w:w="9637" w:type="dxa"/>
        <w:jc w:val="center"/>
        <w:tblLayout w:type="fixed"/>
        <w:tblCellMar>
          <w:left w:w="0" w:type="dxa"/>
          <w:right w:w="0" w:type="dxa"/>
        </w:tblCellMar>
        <w:tblLook w:val="0000" w:firstRow="0" w:lastRow="0" w:firstColumn="0" w:lastColumn="0" w:noHBand="0" w:noVBand="0"/>
      </w:tblPr>
      <w:tblGrid>
        <w:gridCol w:w="850"/>
        <w:gridCol w:w="1134"/>
        <w:gridCol w:w="992"/>
        <w:gridCol w:w="1559"/>
        <w:gridCol w:w="2552"/>
        <w:gridCol w:w="2550"/>
      </w:tblGrid>
      <w:tr w:rsidR="00F73078" w:rsidRPr="0070045C" w:rsidTr="003E583C">
        <w:trPr>
          <w:trHeight w:val="453"/>
          <w:jc w:val="center"/>
        </w:trPr>
        <w:tc>
          <w:tcPr>
            <w:tcW w:w="2976" w:type="dxa"/>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F73078" w:rsidRPr="0070045C" w:rsidRDefault="00655FCF" w:rsidP="00655FCF">
            <w:pPr>
              <w:overflowPunct w:val="0"/>
              <w:autoSpaceDE w:val="0"/>
              <w:autoSpaceDN w:val="0"/>
              <w:adjustRightInd w:val="0"/>
              <w:jc w:val="center"/>
              <w:textAlignment w:val="baseline"/>
              <w:rPr>
                <w:sz w:val="24"/>
                <w:szCs w:val="24"/>
              </w:rPr>
            </w:pPr>
            <w:r>
              <w:rPr>
                <w:sz w:val="24"/>
                <w:szCs w:val="24"/>
              </w:rPr>
              <w:t>Didžiausi l</w:t>
            </w:r>
            <w:r w:rsidR="00F73078" w:rsidRPr="0070045C">
              <w:rPr>
                <w:sz w:val="24"/>
                <w:szCs w:val="24"/>
              </w:rPr>
              <w:t>eidžiami</w:t>
            </w:r>
            <w:r>
              <w:rPr>
                <w:sz w:val="24"/>
                <w:szCs w:val="24"/>
              </w:rPr>
              <w:t>eji</w:t>
            </w:r>
            <w:r w:rsidR="00F73078" w:rsidRPr="0070045C">
              <w:rPr>
                <w:sz w:val="24"/>
                <w:szCs w:val="24"/>
              </w:rPr>
              <w:t xml:space="preserve"> matmenys viršyti</w:t>
            </w:r>
            <w:r>
              <w:rPr>
                <w:sz w:val="24"/>
                <w:szCs w:val="24"/>
              </w:rPr>
              <w:t>, cm</w:t>
            </w:r>
            <w:r w:rsidR="00F73078" w:rsidRPr="0070045C">
              <w:rPr>
                <w:sz w:val="24"/>
                <w:szCs w:val="24"/>
              </w:rPr>
              <w:t xml:space="preserve"> </w:t>
            </w:r>
          </w:p>
        </w:tc>
        <w:tc>
          <w:tcPr>
            <w:tcW w:w="6661" w:type="dxa"/>
            <w:gridSpan w:val="3"/>
            <w:tcBorders>
              <w:top w:val="single" w:sz="4" w:space="0" w:color="auto"/>
              <w:left w:val="nil"/>
              <w:bottom w:val="single" w:sz="4" w:space="0" w:color="auto"/>
              <w:right w:val="single" w:sz="4" w:space="0" w:color="auto"/>
            </w:tcBorders>
            <w:tcMar>
              <w:top w:w="28" w:type="dxa"/>
              <w:left w:w="57" w:type="dxa"/>
              <w:bottom w:w="28" w:type="dxa"/>
              <w:right w:w="57" w:type="dxa"/>
            </w:tcMar>
            <w:vAlign w:val="center"/>
          </w:tcPr>
          <w:p w:rsidR="00F73078" w:rsidRPr="0070045C" w:rsidRDefault="00655FCF" w:rsidP="00655FCF">
            <w:pPr>
              <w:overflowPunct w:val="0"/>
              <w:autoSpaceDE w:val="0"/>
              <w:autoSpaceDN w:val="0"/>
              <w:adjustRightInd w:val="0"/>
              <w:jc w:val="center"/>
              <w:textAlignment w:val="baseline"/>
              <w:rPr>
                <w:sz w:val="24"/>
                <w:szCs w:val="24"/>
              </w:rPr>
            </w:pPr>
            <w:r>
              <w:rPr>
                <w:sz w:val="24"/>
                <w:szCs w:val="24"/>
              </w:rPr>
              <w:t xml:space="preserve">Ribiniai tarifai, </w:t>
            </w:r>
            <w:r w:rsidR="00FF0FEB" w:rsidRPr="004B0A88">
              <w:rPr>
                <w:sz w:val="24"/>
                <w:szCs w:val="24"/>
              </w:rPr>
              <w:t>eurais</w:t>
            </w:r>
          </w:p>
        </w:tc>
      </w:tr>
      <w:tr w:rsidR="00F73078" w:rsidRPr="0070045C" w:rsidTr="003E583C">
        <w:trPr>
          <w:cantSplit/>
          <w:jc w:val="center"/>
        </w:trPr>
        <w:tc>
          <w:tcPr>
            <w:tcW w:w="850" w:type="dxa"/>
            <w:vMerge w:val="restart"/>
            <w:tcBorders>
              <w:top w:val="nil"/>
              <w:left w:val="single" w:sz="4" w:space="0" w:color="auto"/>
              <w:bottom w:val="single" w:sz="4" w:space="0" w:color="auto"/>
              <w:right w:val="single" w:sz="4" w:space="0" w:color="auto"/>
            </w:tcBorders>
            <w:tcMar>
              <w:top w:w="28" w:type="dxa"/>
              <w:left w:w="57" w:type="dxa"/>
              <w:bottom w:w="28" w:type="dxa"/>
              <w:right w:w="57" w:type="dxa"/>
            </w:tcMar>
            <w:vAlign w:val="center"/>
          </w:tcPr>
          <w:p w:rsidR="00F73078" w:rsidRPr="0070045C" w:rsidRDefault="00F73078" w:rsidP="008A21C3">
            <w:pPr>
              <w:overflowPunct w:val="0"/>
              <w:autoSpaceDE w:val="0"/>
              <w:autoSpaceDN w:val="0"/>
              <w:adjustRightInd w:val="0"/>
              <w:jc w:val="center"/>
              <w:textAlignment w:val="baseline"/>
              <w:rPr>
                <w:sz w:val="24"/>
                <w:szCs w:val="24"/>
              </w:rPr>
            </w:pPr>
            <w:r w:rsidRPr="0070045C">
              <w:rPr>
                <w:sz w:val="24"/>
                <w:szCs w:val="24"/>
              </w:rPr>
              <w:t>aukščio</w:t>
            </w:r>
          </w:p>
        </w:tc>
        <w:tc>
          <w:tcPr>
            <w:tcW w:w="1134" w:type="dxa"/>
            <w:vMerge w:val="restart"/>
            <w:tcBorders>
              <w:top w:val="nil"/>
              <w:left w:val="nil"/>
              <w:bottom w:val="single" w:sz="4" w:space="0" w:color="auto"/>
              <w:right w:val="single" w:sz="4" w:space="0" w:color="auto"/>
            </w:tcBorders>
            <w:tcMar>
              <w:top w:w="28" w:type="dxa"/>
              <w:left w:w="57" w:type="dxa"/>
              <w:bottom w:w="28" w:type="dxa"/>
              <w:right w:w="57" w:type="dxa"/>
            </w:tcMar>
            <w:vAlign w:val="center"/>
          </w:tcPr>
          <w:p w:rsidR="00F73078" w:rsidRPr="0070045C" w:rsidRDefault="00F73078" w:rsidP="008A21C3">
            <w:pPr>
              <w:overflowPunct w:val="0"/>
              <w:autoSpaceDE w:val="0"/>
              <w:autoSpaceDN w:val="0"/>
              <w:adjustRightInd w:val="0"/>
              <w:jc w:val="center"/>
              <w:textAlignment w:val="baseline"/>
              <w:rPr>
                <w:sz w:val="24"/>
                <w:szCs w:val="24"/>
              </w:rPr>
            </w:pPr>
            <w:r w:rsidRPr="0070045C">
              <w:rPr>
                <w:sz w:val="24"/>
                <w:szCs w:val="24"/>
              </w:rPr>
              <w:t>pločio</w:t>
            </w:r>
          </w:p>
        </w:tc>
        <w:tc>
          <w:tcPr>
            <w:tcW w:w="992" w:type="dxa"/>
            <w:vMerge w:val="restart"/>
            <w:tcBorders>
              <w:top w:val="nil"/>
              <w:left w:val="nil"/>
              <w:bottom w:val="single" w:sz="4" w:space="0" w:color="auto"/>
              <w:right w:val="single" w:sz="4" w:space="0" w:color="auto"/>
            </w:tcBorders>
            <w:tcMar>
              <w:top w:w="28" w:type="dxa"/>
              <w:left w:w="57" w:type="dxa"/>
              <w:bottom w:w="28" w:type="dxa"/>
              <w:right w:w="57" w:type="dxa"/>
            </w:tcMar>
            <w:vAlign w:val="center"/>
          </w:tcPr>
          <w:p w:rsidR="00F73078" w:rsidRPr="0070045C" w:rsidRDefault="00F73078" w:rsidP="008A21C3">
            <w:pPr>
              <w:overflowPunct w:val="0"/>
              <w:autoSpaceDE w:val="0"/>
              <w:autoSpaceDN w:val="0"/>
              <w:adjustRightInd w:val="0"/>
              <w:jc w:val="center"/>
              <w:textAlignment w:val="baseline"/>
              <w:rPr>
                <w:sz w:val="24"/>
                <w:szCs w:val="24"/>
              </w:rPr>
            </w:pPr>
            <w:r w:rsidRPr="0070045C">
              <w:rPr>
                <w:sz w:val="24"/>
                <w:szCs w:val="24"/>
              </w:rPr>
              <w:t>ilgio</w:t>
            </w:r>
          </w:p>
        </w:tc>
        <w:tc>
          <w:tcPr>
            <w:tcW w:w="1559" w:type="dxa"/>
            <w:vMerge w:val="restart"/>
            <w:tcBorders>
              <w:top w:val="nil"/>
              <w:left w:val="nil"/>
              <w:bottom w:val="single" w:sz="4" w:space="0" w:color="auto"/>
              <w:right w:val="single" w:sz="4" w:space="0" w:color="auto"/>
            </w:tcBorders>
            <w:tcMar>
              <w:top w:w="28" w:type="dxa"/>
              <w:left w:w="57" w:type="dxa"/>
              <w:bottom w:w="28" w:type="dxa"/>
              <w:right w:w="57" w:type="dxa"/>
            </w:tcMar>
            <w:vAlign w:val="center"/>
          </w:tcPr>
          <w:p w:rsidR="00F73078" w:rsidRPr="0070045C" w:rsidRDefault="003E583C" w:rsidP="003E583C">
            <w:pPr>
              <w:overflowPunct w:val="0"/>
              <w:autoSpaceDE w:val="0"/>
              <w:autoSpaceDN w:val="0"/>
              <w:adjustRightInd w:val="0"/>
              <w:jc w:val="center"/>
              <w:textAlignment w:val="baseline"/>
              <w:rPr>
                <w:sz w:val="24"/>
                <w:szCs w:val="24"/>
              </w:rPr>
            </w:pPr>
            <w:r>
              <w:rPr>
                <w:sz w:val="24"/>
                <w:szCs w:val="24"/>
              </w:rPr>
              <w:t>V</w:t>
            </w:r>
            <w:r w:rsidR="00655FCF">
              <w:rPr>
                <w:sz w:val="24"/>
                <w:szCs w:val="24"/>
              </w:rPr>
              <w:t>ienkartiniai</w:t>
            </w:r>
            <w:r>
              <w:rPr>
                <w:sz w:val="24"/>
                <w:szCs w:val="24"/>
              </w:rPr>
              <w:t>,</w:t>
            </w:r>
            <w:r w:rsidR="00F73078" w:rsidRPr="0070045C">
              <w:rPr>
                <w:sz w:val="24"/>
                <w:szCs w:val="24"/>
              </w:rPr>
              <w:t xml:space="preserve"> 1</w:t>
            </w:r>
            <w:r w:rsidR="00655FCF">
              <w:rPr>
                <w:sz w:val="24"/>
                <w:szCs w:val="24"/>
              </w:rPr>
              <w:t>0 km</w:t>
            </w:r>
            <w:r w:rsidR="00F73078" w:rsidRPr="0070045C">
              <w:rPr>
                <w:sz w:val="24"/>
                <w:szCs w:val="24"/>
              </w:rPr>
              <w:t xml:space="preserve"> </w:t>
            </w:r>
          </w:p>
        </w:tc>
        <w:tc>
          <w:tcPr>
            <w:tcW w:w="2552" w:type="dxa"/>
            <w:tcBorders>
              <w:top w:val="nil"/>
              <w:left w:val="nil"/>
              <w:bottom w:val="single" w:sz="4" w:space="0" w:color="auto"/>
              <w:right w:val="single" w:sz="4" w:space="0" w:color="auto"/>
            </w:tcBorders>
            <w:tcMar>
              <w:top w:w="28" w:type="dxa"/>
              <w:left w:w="57" w:type="dxa"/>
              <w:bottom w:w="28" w:type="dxa"/>
              <w:right w:w="57" w:type="dxa"/>
            </w:tcMar>
            <w:vAlign w:val="center"/>
          </w:tcPr>
          <w:p w:rsidR="00F73078" w:rsidRPr="0070045C" w:rsidRDefault="00655FCF" w:rsidP="008A21C3">
            <w:pPr>
              <w:overflowPunct w:val="0"/>
              <w:autoSpaceDE w:val="0"/>
              <w:autoSpaceDN w:val="0"/>
              <w:adjustRightInd w:val="0"/>
              <w:jc w:val="center"/>
              <w:textAlignment w:val="baseline"/>
              <w:rPr>
                <w:sz w:val="24"/>
                <w:szCs w:val="24"/>
              </w:rPr>
            </w:pPr>
            <w:r>
              <w:rPr>
                <w:sz w:val="24"/>
                <w:szCs w:val="24"/>
              </w:rPr>
              <w:t xml:space="preserve">mėnesio </w:t>
            </w:r>
          </w:p>
        </w:tc>
        <w:tc>
          <w:tcPr>
            <w:tcW w:w="2550" w:type="dxa"/>
            <w:tcBorders>
              <w:top w:val="nil"/>
              <w:left w:val="nil"/>
              <w:bottom w:val="single" w:sz="4" w:space="0" w:color="auto"/>
              <w:right w:val="single" w:sz="4" w:space="0" w:color="auto"/>
            </w:tcBorders>
            <w:tcMar>
              <w:top w:w="28" w:type="dxa"/>
              <w:left w:w="57" w:type="dxa"/>
              <w:bottom w:w="28" w:type="dxa"/>
              <w:right w:w="57" w:type="dxa"/>
            </w:tcMar>
            <w:vAlign w:val="center"/>
          </w:tcPr>
          <w:p w:rsidR="00F73078" w:rsidRPr="0070045C" w:rsidRDefault="00655FCF" w:rsidP="008A21C3">
            <w:pPr>
              <w:overflowPunct w:val="0"/>
              <w:autoSpaceDE w:val="0"/>
              <w:autoSpaceDN w:val="0"/>
              <w:adjustRightInd w:val="0"/>
              <w:jc w:val="center"/>
              <w:textAlignment w:val="baseline"/>
              <w:rPr>
                <w:sz w:val="24"/>
                <w:szCs w:val="24"/>
              </w:rPr>
            </w:pPr>
            <w:r>
              <w:rPr>
                <w:sz w:val="24"/>
                <w:szCs w:val="24"/>
              </w:rPr>
              <w:t xml:space="preserve">metų </w:t>
            </w:r>
            <w:r w:rsidR="00F73078" w:rsidRPr="0070045C">
              <w:rPr>
                <w:sz w:val="24"/>
                <w:szCs w:val="24"/>
              </w:rPr>
              <w:t xml:space="preserve"> </w:t>
            </w:r>
          </w:p>
        </w:tc>
      </w:tr>
      <w:tr w:rsidR="00F73078" w:rsidRPr="0070045C" w:rsidTr="003E583C">
        <w:trPr>
          <w:cantSplit/>
          <w:trHeight w:val="377"/>
          <w:jc w:val="center"/>
        </w:trPr>
        <w:tc>
          <w:tcPr>
            <w:tcW w:w="850" w:type="dxa"/>
            <w:vMerge/>
            <w:tcBorders>
              <w:top w:val="nil"/>
              <w:left w:val="single" w:sz="4" w:space="0" w:color="auto"/>
              <w:bottom w:val="single" w:sz="4" w:space="0" w:color="auto"/>
              <w:right w:val="single" w:sz="4" w:space="0" w:color="auto"/>
            </w:tcBorders>
            <w:vAlign w:val="center"/>
          </w:tcPr>
          <w:p w:rsidR="00F73078" w:rsidRPr="0070045C" w:rsidRDefault="00F73078" w:rsidP="008A21C3">
            <w:pPr>
              <w:overflowPunct w:val="0"/>
              <w:autoSpaceDE w:val="0"/>
              <w:autoSpaceDN w:val="0"/>
              <w:adjustRightInd w:val="0"/>
              <w:jc w:val="both"/>
              <w:textAlignment w:val="baseline"/>
              <w:rPr>
                <w:sz w:val="24"/>
                <w:szCs w:val="24"/>
              </w:rPr>
            </w:pPr>
          </w:p>
        </w:tc>
        <w:tc>
          <w:tcPr>
            <w:tcW w:w="1134" w:type="dxa"/>
            <w:vMerge/>
            <w:tcBorders>
              <w:top w:val="nil"/>
              <w:left w:val="nil"/>
              <w:bottom w:val="single" w:sz="4" w:space="0" w:color="auto"/>
              <w:right w:val="single" w:sz="4" w:space="0" w:color="auto"/>
            </w:tcBorders>
            <w:vAlign w:val="center"/>
          </w:tcPr>
          <w:p w:rsidR="00F73078" w:rsidRPr="0070045C" w:rsidRDefault="00F73078" w:rsidP="008A21C3">
            <w:pPr>
              <w:overflowPunct w:val="0"/>
              <w:autoSpaceDE w:val="0"/>
              <w:autoSpaceDN w:val="0"/>
              <w:adjustRightInd w:val="0"/>
              <w:jc w:val="both"/>
              <w:textAlignment w:val="baseline"/>
              <w:rPr>
                <w:sz w:val="24"/>
                <w:szCs w:val="24"/>
              </w:rPr>
            </w:pPr>
          </w:p>
        </w:tc>
        <w:tc>
          <w:tcPr>
            <w:tcW w:w="992" w:type="dxa"/>
            <w:vMerge/>
            <w:tcBorders>
              <w:top w:val="nil"/>
              <w:left w:val="nil"/>
              <w:bottom w:val="single" w:sz="4" w:space="0" w:color="auto"/>
              <w:right w:val="single" w:sz="4" w:space="0" w:color="auto"/>
            </w:tcBorders>
            <w:vAlign w:val="center"/>
          </w:tcPr>
          <w:p w:rsidR="00F73078" w:rsidRPr="0070045C" w:rsidRDefault="00F73078" w:rsidP="008A21C3">
            <w:pPr>
              <w:overflowPunct w:val="0"/>
              <w:autoSpaceDE w:val="0"/>
              <w:autoSpaceDN w:val="0"/>
              <w:adjustRightInd w:val="0"/>
              <w:jc w:val="both"/>
              <w:textAlignment w:val="baseline"/>
              <w:rPr>
                <w:sz w:val="24"/>
                <w:szCs w:val="24"/>
              </w:rPr>
            </w:pPr>
          </w:p>
        </w:tc>
        <w:tc>
          <w:tcPr>
            <w:tcW w:w="1559" w:type="dxa"/>
            <w:vMerge/>
            <w:tcBorders>
              <w:top w:val="nil"/>
              <w:left w:val="nil"/>
              <w:bottom w:val="single" w:sz="4" w:space="0" w:color="auto"/>
              <w:right w:val="single" w:sz="4" w:space="0" w:color="auto"/>
            </w:tcBorders>
            <w:vAlign w:val="center"/>
          </w:tcPr>
          <w:p w:rsidR="00F73078" w:rsidRPr="0070045C" w:rsidRDefault="00F73078" w:rsidP="008A21C3">
            <w:pPr>
              <w:overflowPunct w:val="0"/>
              <w:autoSpaceDE w:val="0"/>
              <w:autoSpaceDN w:val="0"/>
              <w:adjustRightInd w:val="0"/>
              <w:jc w:val="both"/>
              <w:textAlignment w:val="baseline"/>
              <w:rPr>
                <w:sz w:val="24"/>
                <w:szCs w:val="24"/>
              </w:rPr>
            </w:pPr>
          </w:p>
        </w:tc>
        <w:tc>
          <w:tcPr>
            <w:tcW w:w="2552" w:type="dxa"/>
            <w:tcBorders>
              <w:top w:val="nil"/>
              <w:left w:val="nil"/>
              <w:bottom w:val="single" w:sz="4" w:space="0" w:color="auto"/>
              <w:right w:val="single" w:sz="4" w:space="0" w:color="auto"/>
            </w:tcBorders>
            <w:tcMar>
              <w:top w:w="28" w:type="dxa"/>
              <w:left w:w="57" w:type="dxa"/>
              <w:bottom w:w="28" w:type="dxa"/>
              <w:right w:w="57" w:type="dxa"/>
            </w:tcMar>
            <w:vAlign w:val="center"/>
          </w:tcPr>
          <w:p w:rsidR="00F73078" w:rsidRPr="0070045C" w:rsidRDefault="00F73078" w:rsidP="008A21C3">
            <w:pPr>
              <w:overflowPunct w:val="0"/>
              <w:autoSpaceDE w:val="0"/>
              <w:autoSpaceDN w:val="0"/>
              <w:adjustRightInd w:val="0"/>
              <w:jc w:val="center"/>
              <w:textAlignment w:val="baseline"/>
              <w:rPr>
                <w:sz w:val="24"/>
                <w:szCs w:val="24"/>
              </w:rPr>
            </w:pPr>
            <w:r w:rsidRPr="0070045C">
              <w:rPr>
                <w:sz w:val="24"/>
                <w:szCs w:val="24"/>
              </w:rPr>
              <w:t>savivaldybės</w:t>
            </w:r>
            <w:r w:rsidRPr="0070045C">
              <w:rPr>
                <w:b/>
                <w:sz w:val="24"/>
                <w:szCs w:val="24"/>
              </w:rPr>
              <w:t xml:space="preserve"> </w:t>
            </w:r>
            <w:r w:rsidRPr="0070045C">
              <w:rPr>
                <w:sz w:val="24"/>
                <w:szCs w:val="24"/>
              </w:rPr>
              <w:t>teritorijoje</w:t>
            </w:r>
          </w:p>
        </w:tc>
        <w:tc>
          <w:tcPr>
            <w:tcW w:w="2550" w:type="dxa"/>
            <w:tcBorders>
              <w:top w:val="nil"/>
              <w:left w:val="nil"/>
              <w:bottom w:val="single" w:sz="4" w:space="0" w:color="auto"/>
              <w:right w:val="single" w:sz="4" w:space="0" w:color="auto"/>
            </w:tcBorders>
            <w:tcMar>
              <w:top w:w="28" w:type="dxa"/>
              <w:left w:w="57" w:type="dxa"/>
              <w:bottom w:w="28" w:type="dxa"/>
              <w:right w:w="57" w:type="dxa"/>
            </w:tcMar>
            <w:vAlign w:val="center"/>
          </w:tcPr>
          <w:p w:rsidR="00F73078" w:rsidRPr="0070045C" w:rsidRDefault="00F73078" w:rsidP="008A21C3">
            <w:pPr>
              <w:overflowPunct w:val="0"/>
              <w:autoSpaceDE w:val="0"/>
              <w:autoSpaceDN w:val="0"/>
              <w:adjustRightInd w:val="0"/>
              <w:jc w:val="center"/>
              <w:textAlignment w:val="baseline"/>
              <w:rPr>
                <w:sz w:val="24"/>
                <w:szCs w:val="24"/>
              </w:rPr>
            </w:pPr>
            <w:r w:rsidRPr="0070045C">
              <w:rPr>
                <w:sz w:val="24"/>
                <w:szCs w:val="24"/>
              </w:rPr>
              <w:t>savivaldybės teritorijoje</w:t>
            </w:r>
          </w:p>
        </w:tc>
      </w:tr>
      <w:tr w:rsidR="009F1F74" w:rsidRPr="0070045C" w:rsidTr="003E583C">
        <w:trPr>
          <w:jc w:val="center"/>
        </w:trPr>
        <w:tc>
          <w:tcPr>
            <w:tcW w:w="850" w:type="dxa"/>
            <w:tcBorders>
              <w:top w:val="nil"/>
              <w:left w:val="single" w:sz="4" w:space="0" w:color="auto"/>
              <w:bottom w:val="single" w:sz="4" w:space="0" w:color="auto"/>
              <w:right w:val="single" w:sz="4" w:space="0" w:color="auto"/>
            </w:tcBorders>
            <w:tcMar>
              <w:top w:w="28" w:type="dxa"/>
              <w:left w:w="57" w:type="dxa"/>
              <w:bottom w:w="28" w:type="dxa"/>
              <w:right w:w="57" w:type="dxa"/>
            </w:tcMar>
            <w:vAlign w:val="center"/>
          </w:tcPr>
          <w:p w:rsidR="009F1F74" w:rsidRPr="009F1F74" w:rsidRDefault="009F1F74" w:rsidP="002D36DC">
            <w:pPr>
              <w:ind w:right="-108"/>
              <w:jc w:val="center"/>
              <w:rPr>
                <w:sz w:val="24"/>
                <w:szCs w:val="24"/>
                <w:lang w:eastAsia="lt-LT"/>
              </w:rPr>
            </w:pPr>
            <w:r w:rsidRPr="009F1F74">
              <w:rPr>
                <w:sz w:val="24"/>
                <w:szCs w:val="24"/>
                <w:lang w:eastAsia="lt-LT"/>
              </w:rPr>
              <w:t>–</w:t>
            </w:r>
          </w:p>
        </w:tc>
        <w:tc>
          <w:tcPr>
            <w:tcW w:w="1134" w:type="dxa"/>
            <w:tcBorders>
              <w:top w:val="nil"/>
              <w:left w:val="nil"/>
              <w:bottom w:val="single" w:sz="4" w:space="0" w:color="auto"/>
              <w:right w:val="single" w:sz="4" w:space="0" w:color="auto"/>
            </w:tcBorders>
            <w:tcMar>
              <w:top w:w="28" w:type="dxa"/>
              <w:left w:w="57" w:type="dxa"/>
              <w:bottom w:w="28" w:type="dxa"/>
              <w:right w:w="57" w:type="dxa"/>
            </w:tcMar>
            <w:vAlign w:val="center"/>
          </w:tcPr>
          <w:p w:rsidR="009F1F74" w:rsidRPr="009F1F74" w:rsidRDefault="009F1F74" w:rsidP="002D36DC">
            <w:pPr>
              <w:ind w:left="-108" w:right="-108" w:firstLine="3"/>
              <w:jc w:val="center"/>
              <w:rPr>
                <w:sz w:val="24"/>
                <w:szCs w:val="24"/>
                <w:lang w:eastAsia="lt-LT"/>
              </w:rPr>
            </w:pPr>
            <w:r w:rsidRPr="009F1F74">
              <w:rPr>
                <w:sz w:val="24"/>
                <w:szCs w:val="24"/>
                <w:lang w:eastAsia="lt-LT"/>
              </w:rPr>
              <w:t>10–20</w:t>
            </w:r>
          </w:p>
        </w:tc>
        <w:tc>
          <w:tcPr>
            <w:tcW w:w="992" w:type="dxa"/>
            <w:tcBorders>
              <w:top w:val="nil"/>
              <w:left w:val="nil"/>
              <w:bottom w:val="single" w:sz="4" w:space="0" w:color="auto"/>
              <w:right w:val="single" w:sz="4" w:space="0" w:color="auto"/>
            </w:tcBorders>
            <w:tcMar>
              <w:top w:w="28" w:type="dxa"/>
              <w:left w:w="57" w:type="dxa"/>
              <w:bottom w:w="28" w:type="dxa"/>
              <w:right w:w="57" w:type="dxa"/>
            </w:tcMar>
            <w:vAlign w:val="center"/>
          </w:tcPr>
          <w:p w:rsidR="009F1F74" w:rsidRPr="009F1F74" w:rsidRDefault="009F1F74" w:rsidP="002D36DC">
            <w:pPr>
              <w:jc w:val="center"/>
              <w:rPr>
                <w:sz w:val="24"/>
                <w:szCs w:val="24"/>
                <w:lang w:eastAsia="lt-LT"/>
              </w:rPr>
            </w:pPr>
            <w:r w:rsidRPr="009F1F74">
              <w:rPr>
                <w:sz w:val="24"/>
                <w:szCs w:val="24"/>
                <w:lang w:eastAsia="lt-LT"/>
              </w:rPr>
              <w:t>–</w:t>
            </w:r>
          </w:p>
        </w:tc>
        <w:tc>
          <w:tcPr>
            <w:tcW w:w="1559" w:type="dxa"/>
            <w:tcBorders>
              <w:top w:val="nil"/>
              <w:left w:val="nil"/>
              <w:bottom w:val="single" w:sz="4" w:space="0" w:color="auto"/>
              <w:right w:val="single" w:sz="4" w:space="0" w:color="auto"/>
            </w:tcBorders>
            <w:tcMar>
              <w:top w:w="28" w:type="dxa"/>
              <w:left w:w="57" w:type="dxa"/>
              <w:bottom w:w="28" w:type="dxa"/>
              <w:right w:w="57" w:type="dxa"/>
            </w:tcMar>
            <w:vAlign w:val="center"/>
          </w:tcPr>
          <w:p w:rsidR="009F1F74" w:rsidRPr="009F1F74" w:rsidRDefault="009F1F74" w:rsidP="002D36DC">
            <w:pPr>
              <w:ind w:right="-108"/>
              <w:jc w:val="center"/>
              <w:rPr>
                <w:sz w:val="24"/>
                <w:szCs w:val="24"/>
                <w:lang w:eastAsia="lt-LT"/>
              </w:rPr>
            </w:pPr>
            <w:r w:rsidRPr="009F1F74">
              <w:rPr>
                <w:sz w:val="24"/>
                <w:szCs w:val="24"/>
                <w:lang w:eastAsia="lt-LT"/>
              </w:rPr>
              <w:t>1,4–1,7</w:t>
            </w:r>
          </w:p>
        </w:tc>
        <w:tc>
          <w:tcPr>
            <w:tcW w:w="2552" w:type="dxa"/>
            <w:tcBorders>
              <w:top w:val="nil"/>
              <w:left w:val="nil"/>
              <w:bottom w:val="single" w:sz="4" w:space="0" w:color="auto"/>
              <w:right w:val="single" w:sz="4" w:space="0" w:color="auto"/>
            </w:tcBorders>
            <w:tcMar>
              <w:top w:w="28" w:type="dxa"/>
              <w:left w:w="57" w:type="dxa"/>
              <w:bottom w:w="28" w:type="dxa"/>
              <w:right w:w="57" w:type="dxa"/>
            </w:tcMar>
            <w:vAlign w:val="center"/>
          </w:tcPr>
          <w:p w:rsidR="009F1F74" w:rsidRPr="009F1F74" w:rsidRDefault="009F1F74" w:rsidP="002D36DC">
            <w:pPr>
              <w:ind w:right="-108"/>
              <w:jc w:val="center"/>
              <w:rPr>
                <w:sz w:val="24"/>
                <w:szCs w:val="24"/>
                <w:lang w:eastAsia="lt-LT"/>
              </w:rPr>
            </w:pPr>
            <w:r w:rsidRPr="009F1F74">
              <w:rPr>
                <w:sz w:val="24"/>
                <w:szCs w:val="24"/>
                <w:lang w:eastAsia="lt-LT"/>
              </w:rPr>
              <w:t>67–81</w:t>
            </w:r>
          </w:p>
        </w:tc>
        <w:tc>
          <w:tcPr>
            <w:tcW w:w="2550" w:type="dxa"/>
            <w:tcBorders>
              <w:top w:val="nil"/>
              <w:left w:val="nil"/>
              <w:bottom w:val="single" w:sz="4" w:space="0" w:color="auto"/>
              <w:right w:val="single" w:sz="4" w:space="0" w:color="auto"/>
            </w:tcBorders>
            <w:tcMar>
              <w:top w:w="28" w:type="dxa"/>
              <w:left w:w="57" w:type="dxa"/>
              <w:bottom w:w="28" w:type="dxa"/>
              <w:right w:w="57" w:type="dxa"/>
            </w:tcMar>
            <w:vAlign w:val="center"/>
          </w:tcPr>
          <w:p w:rsidR="009F1F74" w:rsidRPr="009F1F74" w:rsidRDefault="009F1F74" w:rsidP="002D36DC">
            <w:pPr>
              <w:ind w:right="-108" w:hanging="108"/>
              <w:jc w:val="center"/>
              <w:rPr>
                <w:sz w:val="24"/>
                <w:szCs w:val="24"/>
                <w:lang w:eastAsia="lt-LT"/>
              </w:rPr>
            </w:pPr>
            <w:r w:rsidRPr="009F1F74">
              <w:rPr>
                <w:sz w:val="24"/>
                <w:szCs w:val="24"/>
                <w:lang w:eastAsia="lt-LT"/>
              </w:rPr>
              <w:t>337–405</w:t>
            </w:r>
          </w:p>
        </w:tc>
      </w:tr>
      <w:tr w:rsidR="009F1F74" w:rsidRPr="0070045C" w:rsidTr="003E583C">
        <w:trPr>
          <w:jc w:val="center"/>
        </w:trPr>
        <w:tc>
          <w:tcPr>
            <w:tcW w:w="850" w:type="dxa"/>
            <w:tcBorders>
              <w:top w:val="nil"/>
              <w:left w:val="single" w:sz="4" w:space="0" w:color="auto"/>
              <w:bottom w:val="single" w:sz="4" w:space="0" w:color="auto"/>
              <w:right w:val="single" w:sz="4" w:space="0" w:color="auto"/>
            </w:tcBorders>
            <w:tcMar>
              <w:top w:w="28" w:type="dxa"/>
              <w:left w:w="57" w:type="dxa"/>
              <w:bottom w:w="28" w:type="dxa"/>
              <w:right w:w="57" w:type="dxa"/>
            </w:tcMar>
            <w:vAlign w:val="center"/>
          </w:tcPr>
          <w:p w:rsidR="009F1F74" w:rsidRPr="009F1F74" w:rsidRDefault="009F1F74" w:rsidP="002D36DC">
            <w:pPr>
              <w:ind w:right="-108"/>
              <w:jc w:val="center"/>
              <w:rPr>
                <w:sz w:val="24"/>
                <w:szCs w:val="24"/>
                <w:lang w:eastAsia="lt-LT"/>
              </w:rPr>
            </w:pPr>
            <w:r w:rsidRPr="009F1F74">
              <w:rPr>
                <w:sz w:val="24"/>
                <w:szCs w:val="24"/>
                <w:lang w:eastAsia="lt-LT"/>
              </w:rPr>
              <w:t>11-30</w:t>
            </w:r>
          </w:p>
        </w:tc>
        <w:tc>
          <w:tcPr>
            <w:tcW w:w="1134" w:type="dxa"/>
            <w:tcBorders>
              <w:top w:val="nil"/>
              <w:left w:val="nil"/>
              <w:bottom w:val="single" w:sz="4" w:space="0" w:color="auto"/>
              <w:right w:val="single" w:sz="4" w:space="0" w:color="auto"/>
            </w:tcBorders>
            <w:tcMar>
              <w:top w:w="28" w:type="dxa"/>
              <w:left w:w="57" w:type="dxa"/>
              <w:bottom w:w="28" w:type="dxa"/>
              <w:right w:w="57" w:type="dxa"/>
            </w:tcMar>
            <w:vAlign w:val="center"/>
          </w:tcPr>
          <w:p w:rsidR="009F1F74" w:rsidRPr="009F1F74" w:rsidRDefault="009F1F74" w:rsidP="002D36DC">
            <w:pPr>
              <w:ind w:left="-108" w:right="-108" w:firstLine="3"/>
              <w:jc w:val="center"/>
              <w:rPr>
                <w:sz w:val="24"/>
                <w:szCs w:val="24"/>
                <w:lang w:eastAsia="lt-LT"/>
              </w:rPr>
            </w:pPr>
            <w:r w:rsidRPr="009F1F74">
              <w:rPr>
                <w:sz w:val="24"/>
                <w:szCs w:val="24"/>
                <w:lang w:eastAsia="lt-LT"/>
              </w:rPr>
              <w:t>21–60</w:t>
            </w:r>
          </w:p>
        </w:tc>
        <w:tc>
          <w:tcPr>
            <w:tcW w:w="992" w:type="dxa"/>
            <w:tcBorders>
              <w:top w:val="nil"/>
              <w:left w:val="nil"/>
              <w:bottom w:val="single" w:sz="4" w:space="0" w:color="auto"/>
              <w:right w:val="single" w:sz="4" w:space="0" w:color="auto"/>
            </w:tcBorders>
            <w:tcMar>
              <w:top w:w="28" w:type="dxa"/>
              <w:left w:w="57" w:type="dxa"/>
              <w:bottom w:w="28" w:type="dxa"/>
              <w:right w:w="57" w:type="dxa"/>
            </w:tcMar>
            <w:vAlign w:val="center"/>
          </w:tcPr>
          <w:p w:rsidR="009F1F74" w:rsidRPr="009F1F74" w:rsidRDefault="009F1F74" w:rsidP="002D36DC">
            <w:pPr>
              <w:ind w:right="-108"/>
              <w:jc w:val="center"/>
              <w:rPr>
                <w:sz w:val="24"/>
                <w:szCs w:val="24"/>
                <w:lang w:eastAsia="lt-LT"/>
              </w:rPr>
            </w:pPr>
            <w:r w:rsidRPr="009F1F74">
              <w:rPr>
                <w:sz w:val="24"/>
                <w:szCs w:val="24"/>
                <w:lang w:eastAsia="lt-LT"/>
              </w:rPr>
              <w:t>101–300</w:t>
            </w:r>
          </w:p>
        </w:tc>
        <w:tc>
          <w:tcPr>
            <w:tcW w:w="1559" w:type="dxa"/>
            <w:tcBorders>
              <w:top w:val="nil"/>
              <w:left w:val="nil"/>
              <w:bottom w:val="single" w:sz="4" w:space="0" w:color="auto"/>
              <w:right w:val="single" w:sz="4" w:space="0" w:color="auto"/>
            </w:tcBorders>
            <w:tcMar>
              <w:top w:w="28" w:type="dxa"/>
              <w:left w:w="57" w:type="dxa"/>
              <w:bottom w:w="28" w:type="dxa"/>
              <w:right w:w="57" w:type="dxa"/>
            </w:tcMar>
            <w:vAlign w:val="center"/>
          </w:tcPr>
          <w:p w:rsidR="009F1F74" w:rsidRPr="009F1F74" w:rsidRDefault="009F1F74" w:rsidP="002D36DC">
            <w:pPr>
              <w:ind w:right="-108"/>
              <w:jc w:val="center"/>
              <w:rPr>
                <w:sz w:val="24"/>
                <w:szCs w:val="24"/>
                <w:lang w:eastAsia="lt-LT"/>
              </w:rPr>
            </w:pPr>
            <w:r w:rsidRPr="009F1F74">
              <w:rPr>
                <w:sz w:val="24"/>
                <w:szCs w:val="24"/>
                <w:lang w:eastAsia="lt-LT"/>
              </w:rPr>
              <w:t>1,7–2,0</w:t>
            </w:r>
          </w:p>
        </w:tc>
        <w:tc>
          <w:tcPr>
            <w:tcW w:w="2552" w:type="dxa"/>
            <w:tcBorders>
              <w:top w:val="nil"/>
              <w:left w:val="nil"/>
              <w:bottom w:val="single" w:sz="4" w:space="0" w:color="auto"/>
              <w:right w:val="single" w:sz="4" w:space="0" w:color="auto"/>
            </w:tcBorders>
            <w:tcMar>
              <w:top w:w="28" w:type="dxa"/>
              <w:left w:w="57" w:type="dxa"/>
              <w:bottom w:w="28" w:type="dxa"/>
              <w:right w:w="57" w:type="dxa"/>
            </w:tcMar>
            <w:vAlign w:val="center"/>
          </w:tcPr>
          <w:p w:rsidR="009F1F74" w:rsidRPr="009F1F74" w:rsidRDefault="009F1F74" w:rsidP="002D36DC">
            <w:pPr>
              <w:ind w:right="-108"/>
              <w:jc w:val="center"/>
              <w:rPr>
                <w:sz w:val="24"/>
                <w:szCs w:val="24"/>
                <w:lang w:eastAsia="lt-LT"/>
              </w:rPr>
            </w:pPr>
            <w:r w:rsidRPr="009F1F74">
              <w:rPr>
                <w:sz w:val="24"/>
                <w:szCs w:val="24"/>
                <w:lang w:eastAsia="lt-LT"/>
              </w:rPr>
              <w:t>82–94</w:t>
            </w:r>
          </w:p>
        </w:tc>
        <w:tc>
          <w:tcPr>
            <w:tcW w:w="2550" w:type="dxa"/>
            <w:tcBorders>
              <w:top w:val="nil"/>
              <w:left w:val="nil"/>
              <w:bottom w:val="single" w:sz="4" w:space="0" w:color="auto"/>
              <w:right w:val="single" w:sz="4" w:space="0" w:color="auto"/>
            </w:tcBorders>
            <w:tcMar>
              <w:top w:w="28" w:type="dxa"/>
              <w:left w:w="57" w:type="dxa"/>
              <w:bottom w:w="28" w:type="dxa"/>
              <w:right w:w="57" w:type="dxa"/>
            </w:tcMar>
            <w:vAlign w:val="center"/>
          </w:tcPr>
          <w:p w:rsidR="009F1F74" w:rsidRPr="009F1F74" w:rsidRDefault="009F1F74" w:rsidP="002D36DC">
            <w:pPr>
              <w:ind w:right="-108" w:hanging="108"/>
              <w:jc w:val="center"/>
              <w:rPr>
                <w:sz w:val="24"/>
                <w:szCs w:val="24"/>
                <w:lang w:eastAsia="lt-LT"/>
              </w:rPr>
            </w:pPr>
            <w:r w:rsidRPr="009F1F74">
              <w:rPr>
                <w:sz w:val="24"/>
                <w:szCs w:val="24"/>
                <w:lang w:eastAsia="lt-LT"/>
              </w:rPr>
              <w:t>412–473</w:t>
            </w:r>
          </w:p>
        </w:tc>
      </w:tr>
      <w:tr w:rsidR="009F1F74" w:rsidRPr="0070045C" w:rsidTr="003E583C">
        <w:trPr>
          <w:jc w:val="center"/>
        </w:trPr>
        <w:tc>
          <w:tcPr>
            <w:tcW w:w="850" w:type="dxa"/>
            <w:tcBorders>
              <w:top w:val="nil"/>
              <w:left w:val="single" w:sz="4" w:space="0" w:color="auto"/>
              <w:bottom w:val="single" w:sz="4" w:space="0" w:color="auto"/>
              <w:right w:val="single" w:sz="4" w:space="0" w:color="auto"/>
            </w:tcBorders>
            <w:tcMar>
              <w:top w:w="28" w:type="dxa"/>
              <w:left w:w="57" w:type="dxa"/>
              <w:bottom w:w="28" w:type="dxa"/>
              <w:right w:w="57" w:type="dxa"/>
            </w:tcMar>
            <w:vAlign w:val="center"/>
          </w:tcPr>
          <w:p w:rsidR="009F1F74" w:rsidRPr="009F1F74" w:rsidRDefault="009F1F74" w:rsidP="002D36DC">
            <w:pPr>
              <w:ind w:right="-108"/>
              <w:jc w:val="center"/>
              <w:rPr>
                <w:sz w:val="24"/>
                <w:szCs w:val="24"/>
                <w:lang w:eastAsia="lt-LT"/>
              </w:rPr>
            </w:pPr>
            <w:r w:rsidRPr="009F1F74">
              <w:rPr>
                <w:sz w:val="24"/>
                <w:szCs w:val="24"/>
                <w:lang w:eastAsia="lt-LT"/>
              </w:rPr>
              <w:t>31-50</w:t>
            </w:r>
          </w:p>
        </w:tc>
        <w:tc>
          <w:tcPr>
            <w:tcW w:w="1134" w:type="dxa"/>
            <w:tcBorders>
              <w:top w:val="nil"/>
              <w:left w:val="nil"/>
              <w:bottom w:val="single" w:sz="4" w:space="0" w:color="auto"/>
              <w:right w:val="single" w:sz="4" w:space="0" w:color="auto"/>
            </w:tcBorders>
            <w:tcMar>
              <w:top w:w="28" w:type="dxa"/>
              <w:left w:w="57" w:type="dxa"/>
              <w:bottom w:w="28" w:type="dxa"/>
              <w:right w:w="57" w:type="dxa"/>
            </w:tcMar>
            <w:vAlign w:val="center"/>
          </w:tcPr>
          <w:p w:rsidR="009F1F74" w:rsidRPr="009F1F74" w:rsidRDefault="009F1F74" w:rsidP="002D36DC">
            <w:pPr>
              <w:ind w:left="-108" w:right="-108" w:firstLine="3"/>
              <w:jc w:val="center"/>
              <w:rPr>
                <w:sz w:val="24"/>
                <w:szCs w:val="24"/>
                <w:lang w:eastAsia="lt-LT"/>
              </w:rPr>
            </w:pPr>
            <w:r w:rsidRPr="009F1F74">
              <w:rPr>
                <w:sz w:val="24"/>
                <w:szCs w:val="24"/>
                <w:lang w:eastAsia="lt-LT"/>
              </w:rPr>
              <w:t>61–100</w:t>
            </w:r>
          </w:p>
        </w:tc>
        <w:tc>
          <w:tcPr>
            <w:tcW w:w="992" w:type="dxa"/>
            <w:tcBorders>
              <w:top w:val="nil"/>
              <w:left w:val="nil"/>
              <w:bottom w:val="single" w:sz="4" w:space="0" w:color="auto"/>
              <w:right w:val="single" w:sz="4" w:space="0" w:color="auto"/>
            </w:tcBorders>
            <w:tcMar>
              <w:top w:w="28" w:type="dxa"/>
              <w:left w:w="57" w:type="dxa"/>
              <w:bottom w:w="28" w:type="dxa"/>
              <w:right w:w="57" w:type="dxa"/>
            </w:tcMar>
            <w:vAlign w:val="center"/>
          </w:tcPr>
          <w:p w:rsidR="009F1F74" w:rsidRPr="009F1F74" w:rsidRDefault="009F1F74" w:rsidP="002D36DC">
            <w:pPr>
              <w:ind w:right="-108"/>
              <w:jc w:val="center"/>
              <w:rPr>
                <w:sz w:val="24"/>
                <w:szCs w:val="24"/>
                <w:lang w:eastAsia="lt-LT"/>
              </w:rPr>
            </w:pPr>
            <w:r w:rsidRPr="009F1F74">
              <w:rPr>
                <w:sz w:val="24"/>
                <w:szCs w:val="24"/>
                <w:lang w:eastAsia="lt-LT"/>
              </w:rPr>
              <w:t>301–500</w:t>
            </w:r>
          </w:p>
        </w:tc>
        <w:tc>
          <w:tcPr>
            <w:tcW w:w="1559" w:type="dxa"/>
            <w:tcBorders>
              <w:top w:val="nil"/>
              <w:left w:val="nil"/>
              <w:bottom w:val="single" w:sz="4" w:space="0" w:color="auto"/>
              <w:right w:val="single" w:sz="4" w:space="0" w:color="auto"/>
            </w:tcBorders>
            <w:tcMar>
              <w:top w:w="28" w:type="dxa"/>
              <w:left w:w="57" w:type="dxa"/>
              <w:bottom w:w="28" w:type="dxa"/>
              <w:right w:w="57" w:type="dxa"/>
            </w:tcMar>
            <w:vAlign w:val="center"/>
          </w:tcPr>
          <w:p w:rsidR="009F1F74" w:rsidRPr="009F1F74" w:rsidRDefault="009F1F74" w:rsidP="002D36DC">
            <w:pPr>
              <w:ind w:right="-108"/>
              <w:jc w:val="center"/>
              <w:rPr>
                <w:sz w:val="24"/>
                <w:szCs w:val="24"/>
                <w:lang w:eastAsia="lt-LT"/>
              </w:rPr>
            </w:pPr>
            <w:r w:rsidRPr="009F1F74">
              <w:rPr>
                <w:sz w:val="24"/>
                <w:szCs w:val="24"/>
                <w:lang w:eastAsia="lt-LT"/>
              </w:rPr>
              <w:t>2,0–2,1</w:t>
            </w:r>
          </w:p>
        </w:tc>
        <w:tc>
          <w:tcPr>
            <w:tcW w:w="2552" w:type="dxa"/>
            <w:tcBorders>
              <w:top w:val="nil"/>
              <w:left w:val="nil"/>
              <w:bottom w:val="single" w:sz="4" w:space="0" w:color="auto"/>
              <w:right w:val="single" w:sz="4" w:space="0" w:color="auto"/>
            </w:tcBorders>
            <w:tcMar>
              <w:top w:w="28" w:type="dxa"/>
              <w:left w:w="57" w:type="dxa"/>
              <w:bottom w:w="28" w:type="dxa"/>
              <w:right w:w="57" w:type="dxa"/>
            </w:tcMar>
            <w:vAlign w:val="center"/>
          </w:tcPr>
          <w:p w:rsidR="009F1F74" w:rsidRPr="009F1F74" w:rsidRDefault="009F1F74" w:rsidP="002D36DC">
            <w:pPr>
              <w:ind w:right="-108"/>
              <w:jc w:val="center"/>
              <w:rPr>
                <w:sz w:val="24"/>
                <w:szCs w:val="24"/>
                <w:lang w:eastAsia="lt-LT"/>
              </w:rPr>
            </w:pPr>
            <w:r w:rsidRPr="009F1F74">
              <w:rPr>
                <w:sz w:val="24"/>
                <w:szCs w:val="24"/>
                <w:lang w:eastAsia="lt-LT"/>
              </w:rPr>
              <w:t>95–101</w:t>
            </w:r>
          </w:p>
        </w:tc>
        <w:tc>
          <w:tcPr>
            <w:tcW w:w="2550" w:type="dxa"/>
            <w:tcBorders>
              <w:top w:val="nil"/>
              <w:left w:val="nil"/>
              <w:bottom w:val="single" w:sz="4" w:space="0" w:color="auto"/>
              <w:right w:val="single" w:sz="4" w:space="0" w:color="auto"/>
            </w:tcBorders>
            <w:tcMar>
              <w:top w:w="28" w:type="dxa"/>
              <w:left w:w="57" w:type="dxa"/>
              <w:bottom w:w="28" w:type="dxa"/>
              <w:right w:w="57" w:type="dxa"/>
            </w:tcMar>
            <w:vAlign w:val="center"/>
          </w:tcPr>
          <w:p w:rsidR="009F1F74" w:rsidRPr="009F1F74" w:rsidRDefault="009F1F74" w:rsidP="002D36DC">
            <w:pPr>
              <w:ind w:right="-108" w:hanging="108"/>
              <w:jc w:val="center"/>
              <w:rPr>
                <w:sz w:val="24"/>
                <w:szCs w:val="24"/>
                <w:lang w:eastAsia="lt-LT"/>
              </w:rPr>
            </w:pPr>
            <w:r w:rsidRPr="009F1F74">
              <w:rPr>
                <w:sz w:val="24"/>
                <w:szCs w:val="24"/>
                <w:lang w:eastAsia="lt-LT"/>
              </w:rPr>
              <w:t>480–506</w:t>
            </w:r>
          </w:p>
        </w:tc>
      </w:tr>
      <w:tr w:rsidR="009F1F74" w:rsidRPr="0070045C" w:rsidTr="003E583C">
        <w:trPr>
          <w:jc w:val="center"/>
        </w:trPr>
        <w:tc>
          <w:tcPr>
            <w:tcW w:w="850" w:type="dxa"/>
            <w:tcBorders>
              <w:top w:val="nil"/>
              <w:left w:val="single" w:sz="4" w:space="0" w:color="auto"/>
              <w:bottom w:val="single" w:sz="4" w:space="0" w:color="auto"/>
              <w:right w:val="single" w:sz="4" w:space="0" w:color="auto"/>
            </w:tcBorders>
            <w:tcMar>
              <w:top w:w="28" w:type="dxa"/>
              <w:left w:w="57" w:type="dxa"/>
              <w:bottom w:w="28" w:type="dxa"/>
              <w:right w:w="57" w:type="dxa"/>
            </w:tcMar>
            <w:vAlign w:val="center"/>
          </w:tcPr>
          <w:p w:rsidR="009F1F74" w:rsidRPr="009F1F74" w:rsidRDefault="009F1F74" w:rsidP="002D36DC">
            <w:pPr>
              <w:ind w:right="-108"/>
              <w:jc w:val="center"/>
              <w:rPr>
                <w:sz w:val="24"/>
                <w:szCs w:val="24"/>
                <w:lang w:eastAsia="lt-LT"/>
              </w:rPr>
            </w:pPr>
            <w:r w:rsidRPr="009F1F74">
              <w:rPr>
                <w:sz w:val="24"/>
                <w:szCs w:val="24"/>
                <w:lang w:eastAsia="lt-LT"/>
              </w:rPr>
              <w:t>-</w:t>
            </w:r>
          </w:p>
        </w:tc>
        <w:tc>
          <w:tcPr>
            <w:tcW w:w="1134" w:type="dxa"/>
            <w:tcBorders>
              <w:top w:val="nil"/>
              <w:left w:val="nil"/>
              <w:bottom w:val="single" w:sz="4" w:space="0" w:color="auto"/>
              <w:right w:val="single" w:sz="4" w:space="0" w:color="auto"/>
            </w:tcBorders>
            <w:tcMar>
              <w:top w:w="28" w:type="dxa"/>
              <w:left w:w="57" w:type="dxa"/>
              <w:bottom w:w="28" w:type="dxa"/>
              <w:right w:w="57" w:type="dxa"/>
            </w:tcMar>
            <w:vAlign w:val="center"/>
          </w:tcPr>
          <w:p w:rsidR="009F1F74" w:rsidRPr="009F1F74" w:rsidRDefault="009F1F74" w:rsidP="002D36DC">
            <w:pPr>
              <w:ind w:left="-108" w:right="-108" w:firstLine="3"/>
              <w:jc w:val="center"/>
              <w:rPr>
                <w:sz w:val="24"/>
                <w:szCs w:val="24"/>
                <w:lang w:eastAsia="lt-LT"/>
              </w:rPr>
            </w:pPr>
            <w:r w:rsidRPr="009F1F74">
              <w:rPr>
                <w:sz w:val="24"/>
                <w:szCs w:val="24"/>
                <w:lang w:eastAsia="lt-LT"/>
              </w:rPr>
              <w:t>101–145*</w:t>
            </w:r>
          </w:p>
        </w:tc>
        <w:tc>
          <w:tcPr>
            <w:tcW w:w="992" w:type="dxa"/>
            <w:tcBorders>
              <w:top w:val="nil"/>
              <w:left w:val="nil"/>
              <w:bottom w:val="single" w:sz="4" w:space="0" w:color="auto"/>
              <w:right w:val="single" w:sz="4" w:space="0" w:color="auto"/>
            </w:tcBorders>
            <w:tcMar>
              <w:top w:w="28" w:type="dxa"/>
              <w:left w:w="57" w:type="dxa"/>
              <w:bottom w:w="28" w:type="dxa"/>
              <w:right w:w="57" w:type="dxa"/>
            </w:tcMar>
            <w:vAlign w:val="center"/>
          </w:tcPr>
          <w:p w:rsidR="009F1F74" w:rsidRPr="009F1F74" w:rsidRDefault="009F1F74" w:rsidP="002D36DC">
            <w:pPr>
              <w:ind w:right="-108"/>
              <w:jc w:val="center"/>
              <w:rPr>
                <w:sz w:val="24"/>
                <w:szCs w:val="24"/>
                <w:lang w:eastAsia="lt-LT"/>
              </w:rPr>
            </w:pPr>
            <w:r w:rsidRPr="009F1F74">
              <w:rPr>
                <w:sz w:val="24"/>
                <w:szCs w:val="24"/>
                <w:lang w:eastAsia="lt-LT"/>
              </w:rPr>
              <w:t>501–750*</w:t>
            </w:r>
          </w:p>
        </w:tc>
        <w:tc>
          <w:tcPr>
            <w:tcW w:w="1559" w:type="dxa"/>
            <w:tcBorders>
              <w:top w:val="nil"/>
              <w:left w:val="nil"/>
              <w:bottom w:val="single" w:sz="4" w:space="0" w:color="auto"/>
              <w:right w:val="single" w:sz="4" w:space="0" w:color="auto"/>
            </w:tcBorders>
            <w:tcMar>
              <w:top w:w="28" w:type="dxa"/>
              <w:left w:w="57" w:type="dxa"/>
              <w:bottom w:w="28" w:type="dxa"/>
              <w:right w:w="57" w:type="dxa"/>
            </w:tcMar>
            <w:vAlign w:val="center"/>
          </w:tcPr>
          <w:p w:rsidR="009F1F74" w:rsidRPr="009F1F74" w:rsidRDefault="009F1F74" w:rsidP="002D36DC">
            <w:pPr>
              <w:ind w:right="-108"/>
              <w:jc w:val="center"/>
              <w:rPr>
                <w:sz w:val="24"/>
                <w:szCs w:val="24"/>
                <w:lang w:eastAsia="lt-LT"/>
              </w:rPr>
            </w:pPr>
            <w:r w:rsidRPr="009F1F74">
              <w:rPr>
                <w:sz w:val="24"/>
                <w:szCs w:val="24"/>
                <w:lang w:eastAsia="lt-LT"/>
              </w:rPr>
              <w:t>2,3–2,4</w:t>
            </w:r>
          </w:p>
        </w:tc>
        <w:tc>
          <w:tcPr>
            <w:tcW w:w="2552" w:type="dxa"/>
            <w:tcBorders>
              <w:top w:val="nil"/>
              <w:left w:val="nil"/>
              <w:bottom w:val="single" w:sz="4" w:space="0" w:color="auto"/>
              <w:right w:val="single" w:sz="4" w:space="0" w:color="auto"/>
            </w:tcBorders>
            <w:tcMar>
              <w:top w:w="28" w:type="dxa"/>
              <w:left w:w="57" w:type="dxa"/>
              <w:bottom w:w="28" w:type="dxa"/>
              <w:right w:w="57" w:type="dxa"/>
            </w:tcMar>
            <w:vAlign w:val="center"/>
          </w:tcPr>
          <w:p w:rsidR="009F1F74" w:rsidRPr="009F1F74" w:rsidRDefault="009F1F74" w:rsidP="002D36DC">
            <w:pPr>
              <w:ind w:right="-108"/>
              <w:jc w:val="center"/>
              <w:rPr>
                <w:sz w:val="24"/>
                <w:szCs w:val="24"/>
                <w:lang w:eastAsia="lt-LT"/>
              </w:rPr>
            </w:pPr>
            <w:r w:rsidRPr="009F1F74">
              <w:rPr>
                <w:sz w:val="24"/>
                <w:szCs w:val="24"/>
                <w:lang w:eastAsia="lt-LT"/>
              </w:rPr>
              <w:t>109–114</w:t>
            </w:r>
          </w:p>
        </w:tc>
        <w:tc>
          <w:tcPr>
            <w:tcW w:w="2550" w:type="dxa"/>
            <w:tcBorders>
              <w:top w:val="nil"/>
              <w:left w:val="nil"/>
              <w:bottom w:val="single" w:sz="4" w:space="0" w:color="auto"/>
              <w:right w:val="single" w:sz="4" w:space="0" w:color="auto"/>
            </w:tcBorders>
            <w:tcMar>
              <w:top w:w="28" w:type="dxa"/>
              <w:left w:w="57" w:type="dxa"/>
              <w:bottom w:w="28" w:type="dxa"/>
              <w:right w:w="57" w:type="dxa"/>
            </w:tcMar>
            <w:vAlign w:val="center"/>
          </w:tcPr>
          <w:p w:rsidR="009F1F74" w:rsidRPr="009F1F74" w:rsidRDefault="009F1F74" w:rsidP="002D36DC">
            <w:pPr>
              <w:ind w:right="-108" w:hanging="108"/>
              <w:jc w:val="center"/>
              <w:rPr>
                <w:sz w:val="24"/>
                <w:szCs w:val="24"/>
                <w:lang w:eastAsia="lt-LT"/>
              </w:rPr>
            </w:pPr>
            <w:r w:rsidRPr="009F1F74">
              <w:rPr>
                <w:sz w:val="24"/>
                <w:szCs w:val="24"/>
                <w:lang w:eastAsia="lt-LT"/>
              </w:rPr>
              <w:t>547–574</w:t>
            </w:r>
          </w:p>
        </w:tc>
      </w:tr>
    </w:tbl>
    <w:p w:rsidR="007B7B85" w:rsidRPr="007B7B85" w:rsidRDefault="007B7B85" w:rsidP="007B7B85">
      <w:pPr>
        <w:ind w:firstLine="709"/>
        <w:jc w:val="both"/>
        <w:rPr>
          <w:sz w:val="24"/>
          <w:szCs w:val="24"/>
          <w:lang w:eastAsia="lt-LT"/>
        </w:rPr>
      </w:pPr>
      <w:r w:rsidRPr="007B7B85">
        <w:rPr>
          <w:sz w:val="24"/>
          <w:szCs w:val="24"/>
          <w:lang w:eastAsia="lt-LT"/>
        </w:rPr>
        <w:t>* I kategorijos valstybinės reikšmės keliuose su skiriamąja juosta.</w:t>
      </w:r>
    </w:p>
    <w:p w:rsidR="007B7B85" w:rsidRDefault="0023005A" w:rsidP="007B7B85">
      <w:pPr>
        <w:spacing w:line="360" w:lineRule="auto"/>
        <w:ind w:firstLine="720"/>
        <w:jc w:val="both"/>
        <w:rPr>
          <w:sz w:val="24"/>
          <w:szCs w:val="24"/>
        </w:rPr>
      </w:pPr>
      <w:r>
        <w:rPr>
          <w:sz w:val="24"/>
          <w:szCs w:val="24"/>
        </w:rPr>
        <w:t xml:space="preserve"> </w:t>
      </w:r>
    </w:p>
    <w:p w:rsidR="007B7B85" w:rsidRPr="007B7B85" w:rsidRDefault="007B7B85" w:rsidP="007B7B85">
      <w:pPr>
        <w:spacing w:line="360" w:lineRule="auto"/>
        <w:ind w:firstLine="720"/>
        <w:jc w:val="both"/>
        <w:rPr>
          <w:sz w:val="24"/>
          <w:szCs w:val="24"/>
          <w:lang w:eastAsia="lt-LT"/>
        </w:rPr>
      </w:pPr>
      <w:r w:rsidRPr="007B7B85">
        <w:rPr>
          <w:sz w:val="24"/>
          <w:szCs w:val="24"/>
          <w:lang w:eastAsia="lt-LT"/>
        </w:rPr>
        <w:t>2. Jeigu transporto priemonės ar jų junginio matmenys su kroviniu ar be jo yra didesni už didžiausius leidžiamuosius matmenis daugiau</w:t>
      </w:r>
      <w:r w:rsidRPr="0079168E">
        <w:rPr>
          <w:sz w:val="24"/>
          <w:szCs w:val="24"/>
          <w:lang w:eastAsia="lt-LT"/>
        </w:rPr>
        <w:t xml:space="preserve"> negu</w:t>
      </w:r>
      <w:r w:rsidRPr="007B7B85">
        <w:rPr>
          <w:sz w:val="24"/>
          <w:szCs w:val="24"/>
          <w:lang w:eastAsia="lt-LT"/>
        </w:rPr>
        <w:t xml:space="preserve"> nurodyta lentelėje, transporto priemonė ar jų junginys tampa ypač pavojingi saugiam eismui. Tokioms didžiagabaritėms motorinėms transporto priemonėms ar jų junginiams taikomas vienkartinis mokestis, kuris apskaičiuojamas taip: prie didžiausiojo ribinio tarifo pridedamas papildomas 0,28 euro mokestis už kiekvieno didžiausio leidžiamojo matmens viršijimą, t. y. už kiekvieną aukščio viršijimą 10 cm, pločio viršijimą 10 cm ar ilgio viršijimą 1 m, ir dauginama iš koeficiento 1,5. Visais atvejais, jeigu viršijami du ar visi trys matmenys, mokestis nustatomas sumuojant mokesčius už atskirų didžiausių leidžiamųjų matmenų viršijimą.</w:t>
      </w:r>
    </w:p>
    <w:p w:rsidR="00F73078" w:rsidRPr="00E06162" w:rsidRDefault="00F73078" w:rsidP="00C20BEF">
      <w:pPr>
        <w:overflowPunct w:val="0"/>
        <w:autoSpaceDE w:val="0"/>
        <w:autoSpaceDN w:val="0"/>
        <w:adjustRightInd w:val="0"/>
        <w:spacing w:line="360" w:lineRule="auto"/>
        <w:ind w:firstLine="851"/>
        <w:jc w:val="both"/>
        <w:textAlignment w:val="baseline"/>
        <w:rPr>
          <w:caps/>
          <w:sz w:val="24"/>
          <w:szCs w:val="24"/>
        </w:rPr>
      </w:pPr>
      <w:r w:rsidRPr="0070045C">
        <w:rPr>
          <w:sz w:val="24"/>
          <w:szCs w:val="24"/>
        </w:rPr>
        <w:t xml:space="preserve">3. </w:t>
      </w:r>
      <w:r w:rsidR="008A1021">
        <w:rPr>
          <w:sz w:val="24"/>
          <w:szCs w:val="24"/>
        </w:rPr>
        <w:t>Mokesčio</w:t>
      </w:r>
      <w:r w:rsidR="008A1021" w:rsidRPr="0070045C">
        <w:rPr>
          <w:sz w:val="24"/>
          <w:szCs w:val="24"/>
        </w:rPr>
        <w:t xml:space="preserve"> </w:t>
      </w:r>
      <w:r w:rsidR="008A1021">
        <w:rPr>
          <w:sz w:val="24"/>
          <w:szCs w:val="24"/>
        </w:rPr>
        <w:t>u</w:t>
      </w:r>
      <w:r w:rsidRPr="0070045C">
        <w:rPr>
          <w:sz w:val="24"/>
          <w:szCs w:val="24"/>
        </w:rPr>
        <w:t xml:space="preserve">ž </w:t>
      </w:r>
      <w:r w:rsidR="00015A44">
        <w:rPr>
          <w:sz w:val="24"/>
          <w:szCs w:val="24"/>
        </w:rPr>
        <w:t>naudojimąsi</w:t>
      </w:r>
      <w:r w:rsidR="00015A44" w:rsidRPr="0070045C">
        <w:rPr>
          <w:sz w:val="24"/>
          <w:szCs w:val="24"/>
        </w:rPr>
        <w:t xml:space="preserve"> </w:t>
      </w:r>
      <w:r w:rsidRPr="0070045C">
        <w:rPr>
          <w:sz w:val="24"/>
          <w:szCs w:val="24"/>
        </w:rPr>
        <w:t xml:space="preserve">Panevėžio miesto vietinės reikšmės keliais (gatvėmis) </w:t>
      </w:r>
      <w:r w:rsidR="0083327E">
        <w:rPr>
          <w:sz w:val="24"/>
          <w:szCs w:val="24"/>
        </w:rPr>
        <w:t xml:space="preserve">važiuojant </w:t>
      </w:r>
      <w:r w:rsidR="00015A44">
        <w:rPr>
          <w:sz w:val="24"/>
          <w:szCs w:val="24"/>
        </w:rPr>
        <w:t xml:space="preserve">sunkiasvorėmis motorinėmis </w:t>
      </w:r>
      <w:r w:rsidRPr="0070045C">
        <w:rPr>
          <w:sz w:val="24"/>
          <w:szCs w:val="24"/>
        </w:rPr>
        <w:t>transp</w:t>
      </w:r>
      <w:r w:rsidR="00015A44">
        <w:rPr>
          <w:sz w:val="24"/>
          <w:szCs w:val="24"/>
        </w:rPr>
        <w:t>orto priemonėmis</w:t>
      </w:r>
      <w:r w:rsidRPr="0070045C">
        <w:rPr>
          <w:sz w:val="24"/>
          <w:szCs w:val="24"/>
        </w:rPr>
        <w:t xml:space="preserve">, </w:t>
      </w:r>
      <w:r w:rsidR="00015A44">
        <w:rPr>
          <w:sz w:val="24"/>
          <w:szCs w:val="24"/>
        </w:rPr>
        <w:t>kurių</w:t>
      </w:r>
      <w:r w:rsidRPr="00E06162">
        <w:rPr>
          <w:sz w:val="24"/>
          <w:szCs w:val="24"/>
        </w:rPr>
        <w:t xml:space="preserve"> ašies (ašių) apkrova </w:t>
      </w:r>
      <w:r w:rsidR="00015A44">
        <w:rPr>
          <w:sz w:val="24"/>
          <w:szCs w:val="24"/>
        </w:rPr>
        <w:t>su kroviniu arba be jo yra didesnė už didžiausią leidžiamą</w:t>
      </w:r>
      <w:r w:rsidR="00233E75">
        <w:rPr>
          <w:sz w:val="24"/>
          <w:szCs w:val="24"/>
        </w:rPr>
        <w:t>ją</w:t>
      </w:r>
      <w:r w:rsidRPr="00E06162">
        <w:rPr>
          <w:sz w:val="24"/>
          <w:szCs w:val="24"/>
        </w:rPr>
        <w:t xml:space="preserve"> </w:t>
      </w:r>
      <w:r w:rsidR="00015A44">
        <w:rPr>
          <w:sz w:val="24"/>
          <w:szCs w:val="24"/>
        </w:rPr>
        <w:t xml:space="preserve">naudojantis keliais transporto priemonių </w:t>
      </w:r>
      <w:r w:rsidR="00015A44">
        <w:rPr>
          <w:sz w:val="24"/>
          <w:szCs w:val="24"/>
        </w:rPr>
        <w:lastRenderedPageBreak/>
        <w:t>ar jų junginių ašies (ašių) apkrovą</w:t>
      </w:r>
      <w:r w:rsidR="00015A44" w:rsidRPr="00E06162">
        <w:rPr>
          <w:sz w:val="24"/>
          <w:szCs w:val="24"/>
        </w:rPr>
        <w:t xml:space="preserve"> </w:t>
      </w:r>
      <w:r w:rsidR="00015A44">
        <w:rPr>
          <w:sz w:val="24"/>
          <w:szCs w:val="24"/>
        </w:rPr>
        <w:t>(toliau</w:t>
      </w:r>
      <w:r w:rsidR="0083327E">
        <w:rPr>
          <w:sz w:val="24"/>
          <w:szCs w:val="24"/>
        </w:rPr>
        <w:t xml:space="preserve"> – </w:t>
      </w:r>
      <w:r w:rsidR="00015A44" w:rsidRPr="007404FE">
        <w:rPr>
          <w:sz w:val="24"/>
          <w:szCs w:val="24"/>
        </w:rPr>
        <w:t>didžiausi</w:t>
      </w:r>
      <w:r w:rsidR="0083327E" w:rsidRPr="007404FE">
        <w:rPr>
          <w:sz w:val="24"/>
          <w:szCs w:val="24"/>
        </w:rPr>
        <w:t>a</w:t>
      </w:r>
      <w:r w:rsidR="00015A44" w:rsidRPr="007404FE">
        <w:rPr>
          <w:sz w:val="24"/>
          <w:szCs w:val="24"/>
        </w:rPr>
        <w:t xml:space="preserve"> leidžiamoji ašies (ašių) apkrova</w:t>
      </w:r>
      <w:r w:rsidR="0083327E">
        <w:rPr>
          <w:sz w:val="24"/>
          <w:szCs w:val="24"/>
        </w:rPr>
        <w:t>)</w:t>
      </w:r>
      <w:r w:rsidR="008A1021">
        <w:rPr>
          <w:sz w:val="24"/>
          <w:szCs w:val="24"/>
        </w:rPr>
        <w:t xml:space="preserve"> ribiniai tarifai:</w:t>
      </w:r>
    </w:p>
    <w:tbl>
      <w:tblPr>
        <w:tblW w:w="9637" w:type="dxa"/>
        <w:tblLayout w:type="fixed"/>
        <w:tblCellMar>
          <w:left w:w="0" w:type="dxa"/>
          <w:right w:w="0" w:type="dxa"/>
        </w:tblCellMar>
        <w:tblLook w:val="0000" w:firstRow="0" w:lastRow="0" w:firstColumn="0" w:lastColumn="0" w:noHBand="0" w:noVBand="0"/>
      </w:tblPr>
      <w:tblGrid>
        <w:gridCol w:w="3034"/>
        <w:gridCol w:w="2552"/>
        <w:gridCol w:w="4051"/>
      </w:tblGrid>
      <w:tr w:rsidR="00F73078" w:rsidRPr="0070045C" w:rsidTr="005C558A">
        <w:trPr>
          <w:cantSplit/>
        </w:trPr>
        <w:tc>
          <w:tcPr>
            <w:tcW w:w="3034"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F73078" w:rsidRPr="0070045C" w:rsidRDefault="00BB0D1A" w:rsidP="0083327E">
            <w:pPr>
              <w:overflowPunct w:val="0"/>
              <w:autoSpaceDE w:val="0"/>
              <w:autoSpaceDN w:val="0"/>
              <w:adjustRightInd w:val="0"/>
              <w:jc w:val="center"/>
              <w:textAlignment w:val="baseline"/>
              <w:rPr>
                <w:sz w:val="24"/>
                <w:szCs w:val="24"/>
              </w:rPr>
            </w:pPr>
            <w:r>
              <w:rPr>
                <w:sz w:val="24"/>
                <w:szCs w:val="24"/>
              </w:rPr>
              <w:t>Didžiausi</w:t>
            </w:r>
            <w:r w:rsidR="0083327E">
              <w:rPr>
                <w:sz w:val="24"/>
                <w:szCs w:val="24"/>
              </w:rPr>
              <w:t>a</w:t>
            </w:r>
            <w:r>
              <w:rPr>
                <w:sz w:val="24"/>
                <w:szCs w:val="24"/>
              </w:rPr>
              <w:t xml:space="preserve"> leidžiamoji</w:t>
            </w:r>
            <w:r w:rsidR="00F73078" w:rsidRPr="0070045C">
              <w:rPr>
                <w:sz w:val="24"/>
                <w:szCs w:val="24"/>
              </w:rPr>
              <w:t xml:space="preserve"> ašies (ašių) apkrova viršyta</w:t>
            </w:r>
            <w:r>
              <w:rPr>
                <w:sz w:val="24"/>
                <w:szCs w:val="24"/>
              </w:rPr>
              <w:t>, t</w:t>
            </w:r>
          </w:p>
        </w:tc>
        <w:tc>
          <w:tcPr>
            <w:tcW w:w="6603" w:type="dxa"/>
            <w:gridSpan w:val="2"/>
            <w:tcBorders>
              <w:top w:val="single" w:sz="4" w:space="0" w:color="auto"/>
              <w:left w:val="nil"/>
              <w:bottom w:val="single" w:sz="4" w:space="0" w:color="auto"/>
              <w:right w:val="single" w:sz="4" w:space="0" w:color="auto"/>
            </w:tcBorders>
            <w:tcMar>
              <w:top w:w="28" w:type="dxa"/>
              <w:left w:w="57" w:type="dxa"/>
              <w:bottom w:w="28" w:type="dxa"/>
              <w:right w:w="57" w:type="dxa"/>
            </w:tcMar>
            <w:vAlign w:val="center"/>
          </w:tcPr>
          <w:p w:rsidR="00F73078" w:rsidRPr="00BB0D1A" w:rsidRDefault="00BB0D1A" w:rsidP="008A21C3">
            <w:pPr>
              <w:overflowPunct w:val="0"/>
              <w:autoSpaceDE w:val="0"/>
              <w:autoSpaceDN w:val="0"/>
              <w:adjustRightInd w:val="0"/>
              <w:jc w:val="center"/>
              <w:textAlignment w:val="baseline"/>
              <w:rPr>
                <w:sz w:val="24"/>
                <w:szCs w:val="24"/>
              </w:rPr>
            </w:pPr>
            <w:r w:rsidRPr="00BB0D1A">
              <w:rPr>
                <w:sz w:val="24"/>
                <w:szCs w:val="24"/>
                <w:lang w:eastAsia="lt-LT"/>
              </w:rPr>
              <w:t>Ribiniai tarifai, eurais</w:t>
            </w:r>
          </w:p>
        </w:tc>
      </w:tr>
      <w:tr w:rsidR="00F73078" w:rsidRPr="0070045C" w:rsidTr="005C558A">
        <w:trPr>
          <w:cantSplit/>
        </w:trPr>
        <w:tc>
          <w:tcPr>
            <w:tcW w:w="3034" w:type="dxa"/>
            <w:vMerge/>
            <w:tcBorders>
              <w:top w:val="single" w:sz="4" w:space="0" w:color="auto"/>
              <w:left w:val="single" w:sz="4" w:space="0" w:color="auto"/>
              <w:bottom w:val="single" w:sz="4" w:space="0" w:color="auto"/>
              <w:right w:val="single" w:sz="4" w:space="0" w:color="auto"/>
            </w:tcBorders>
            <w:vAlign w:val="center"/>
          </w:tcPr>
          <w:p w:rsidR="00F73078" w:rsidRPr="0070045C" w:rsidRDefault="00F73078" w:rsidP="008A21C3">
            <w:pPr>
              <w:overflowPunct w:val="0"/>
              <w:autoSpaceDE w:val="0"/>
              <w:autoSpaceDN w:val="0"/>
              <w:adjustRightInd w:val="0"/>
              <w:jc w:val="both"/>
              <w:textAlignment w:val="baseline"/>
              <w:rPr>
                <w:sz w:val="24"/>
                <w:szCs w:val="24"/>
              </w:rPr>
            </w:pPr>
          </w:p>
        </w:tc>
        <w:tc>
          <w:tcPr>
            <w:tcW w:w="2552" w:type="dxa"/>
            <w:vMerge w:val="restart"/>
            <w:tcBorders>
              <w:top w:val="nil"/>
              <w:left w:val="nil"/>
              <w:bottom w:val="single" w:sz="4" w:space="0" w:color="auto"/>
              <w:right w:val="single" w:sz="4" w:space="0" w:color="auto"/>
            </w:tcBorders>
            <w:tcMar>
              <w:top w:w="28" w:type="dxa"/>
              <w:left w:w="57" w:type="dxa"/>
              <w:bottom w:w="28" w:type="dxa"/>
              <w:right w:w="57" w:type="dxa"/>
            </w:tcMar>
            <w:vAlign w:val="center"/>
          </w:tcPr>
          <w:p w:rsidR="00F73078" w:rsidRPr="0070045C" w:rsidRDefault="00BB0D1A" w:rsidP="00BB0D1A">
            <w:pPr>
              <w:overflowPunct w:val="0"/>
              <w:autoSpaceDE w:val="0"/>
              <w:autoSpaceDN w:val="0"/>
              <w:adjustRightInd w:val="0"/>
              <w:jc w:val="center"/>
              <w:textAlignment w:val="baseline"/>
              <w:rPr>
                <w:sz w:val="24"/>
                <w:szCs w:val="24"/>
              </w:rPr>
            </w:pPr>
            <w:r>
              <w:rPr>
                <w:sz w:val="24"/>
                <w:szCs w:val="24"/>
              </w:rPr>
              <w:t>vienkartiniai, 10 km</w:t>
            </w:r>
          </w:p>
        </w:tc>
        <w:tc>
          <w:tcPr>
            <w:tcW w:w="4051" w:type="dxa"/>
            <w:tcBorders>
              <w:top w:val="nil"/>
              <w:left w:val="nil"/>
              <w:bottom w:val="single" w:sz="4" w:space="0" w:color="auto"/>
              <w:right w:val="single" w:sz="4" w:space="0" w:color="auto"/>
            </w:tcBorders>
            <w:tcMar>
              <w:top w:w="28" w:type="dxa"/>
              <w:left w:w="57" w:type="dxa"/>
              <w:bottom w:w="28" w:type="dxa"/>
              <w:right w:w="57" w:type="dxa"/>
            </w:tcMar>
            <w:vAlign w:val="center"/>
          </w:tcPr>
          <w:p w:rsidR="00F73078" w:rsidRPr="0070045C" w:rsidRDefault="00F73078" w:rsidP="008A21C3">
            <w:pPr>
              <w:overflowPunct w:val="0"/>
              <w:autoSpaceDE w:val="0"/>
              <w:autoSpaceDN w:val="0"/>
              <w:adjustRightInd w:val="0"/>
              <w:jc w:val="center"/>
              <w:textAlignment w:val="baseline"/>
              <w:rPr>
                <w:sz w:val="24"/>
                <w:szCs w:val="24"/>
              </w:rPr>
            </w:pPr>
            <w:r w:rsidRPr="0070045C">
              <w:rPr>
                <w:sz w:val="24"/>
                <w:szCs w:val="24"/>
              </w:rPr>
              <w:t xml:space="preserve">mėnesio tarifas </w:t>
            </w:r>
          </w:p>
        </w:tc>
      </w:tr>
      <w:tr w:rsidR="00F73078" w:rsidRPr="0070045C" w:rsidTr="005C558A">
        <w:trPr>
          <w:cantSplit/>
        </w:trPr>
        <w:tc>
          <w:tcPr>
            <w:tcW w:w="3034" w:type="dxa"/>
            <w:vMerge/>
            <w:tcBorders>
              <w:top w:val="single" w:sz="4" w:space="0" w:color="auto"/>
              <w:left w:val="single" w:sz="4" w:space="0" w:color="auto"/>
              <w:bottom w:val="single" w:sz="4" w:space="0" w:color="auto"/>
              <w:right w:val="single" w:sz="4" w:space="0" w:color="auto"/>
            </w:tcBorders>
            <w:vAlign w:val="center"/>
          </w:tcPr>
          <w:p w:rsidR="00F73078" w:rsidRPr="0070045C" w:rsidRDefault="00F73078" w:rsidP="008A21C3">
            <w:pPr>
              <w:overflowPunct w:val="0"/>
              <w:autoSpaceDE w:val="0"/>
              <w:autoSpaceDN w:val="0"/>
              <w:adjustRightInd w:val="0"/>
              <w:jc w:val="both"/>
              <w:textAlignment w:val="baseline"/>
              <w:rPr>
                <w:sz w:val="24"/>
                <w:szCs w:val="24"/>
              </w:rPr>
            </w:pPr>
          </w:p>
        </w:tc>
        <w:tc>
          <w:tcPr>
            <w:tcW w:w="2552" w:type="dxa"/>
            <w:vMerge/>
            <w:tcBorders>
              <w:top w:val="nil"/>
              <w:left w:val="nil"/>
              <w:bottom w:val="single" w:sz="4" w:space="0" w:color="auto"/>
              <w:right w:val="single" w:sz="4" w:space="0" w:color="auto"/>
            </w:tcBorders>
            <w:vAlign w:val="center"/>
          </w:tcPr>
          <w:p w:rsidR="00F73078" w:rsidRPr="0070045C" w:rsidRDefault="00F73078" w:rsidP="008A21C3">
            <w:pPr>
              <w:overflowPunct w:val="0"/>
              <w:autoSpaceDE w:val="0"/>
              <w:autoSpaceDN w:val="0"/>
              <w:adjustRightInd w:val="0"/>
              <w:jc w:val="both"/>
              <w:textAlignment w:val="baseline"/>
              <w:rPr>
                <w:sz w:val="24"/>
                <w:szCs w:val="24"/>
              </w:rPr>
            </w:pPr>
          </w:p>
        </w:tc>
        <w:tc>
          <w:tcPr>
            <w:tcW w:w="4051" w:type="dxa"/>
            <w:tcBorders>
              <w:top w:val="nil"/>
              <w:left w:val="nil"/>
              <w:bottom w:val="single" w:sz="4" w:space="0" w:color="auto"/>
              <w:right w:val="single" w:sz="4" w:space="0" w:color="auto"/>
            </w:tcBorders>
            <w:tcMar>
              <w:top w:w="28" w:type="dxa"/>
              <w:left w:w="57" w:type="dxa"/>
              <w:bottom w:w="28" w:type="dxa"/>
              <w:right w:w="57" w:type="dxa"/>
            </w:tcMar>
            <w:vAlign w:val="center"/>
          </w:tcPr>
          <w:p w:rsidR="00F73078" w:rsidRPr="0070045C" w:rsidRDefault="00F73078" w:rsidP="008A21C3">
            <w:pPr>
              <w:overflowPunct w:val="0"/>
              <w:autoSpaceDE w:val="0"/>
              <w:autoSpaceDN w:val="0"/>
              <w:adjustRightInd w:val="0"/>
              <w:jc w:val="center"/>
              <w:textAlignment w:val="baseline"/>
              <w:rPr>
                <w:sz w:val="24"/>
                <w:szCs w:val="24"/>
              </w:rPr>
            </w:pPr>
            <w:r w:rsidRPr="0070045C">
              <w:rPr>
                <w:sz w:val="24"/>
                <w:szCs w:val="24"/>
              </w:rPr>
              <w:t>savivaldybės teritorijoje</w:t>
            </w:r>
          </w:p>
        </w:tc>
      </w:tr>
      <w:tr w:rsidR="005C558A" w:rsidRPr="0070045C" w:rsidTr="005C558A">
        <w:trPr>
          <w:trHeight w:val="256"/>
        </w:trPr>
        <w:tc>
          <w:tcPr>
            <w:tcW w:w="3034" w:type="dxa"/>
            <w:tcBorders>
              <w:top w:val="nil"/>
              <w:left w:val="single" w:sz="4" w:space="0" w:color="auto"/>
              <w:bottom w:val="single" w:sz="4" w:space="0" w:color="auto"/>
              <w:right w:val="single" w:sz="4" w:space="0" w:color="auto"/>
            </w:tcBorders>
            <w:tcMar>
              <w:top w:w="28" w:type="dxa"/>
              <w:left w:w="57" w:type="dxa"/>
              <w:bottom w:w="28" w:type="dxa"/>
              <w:right w:w="57" w:type="dxa"/>
            </w:tcMar>
          </w:tcPr>
          <w:p w:rsidR="005C558A" w:rsidRPr="0070045C" w:rsidRDefault="005C558A" w:rsidP="008A21C3">
            <w:pPr>
              <w:overflowPunct w:val="0"/>
              <w:autoSpaceDE w:val="0"/>
              <w:autoSpaceDN w:val="0"/>
              <w:adjustRightInd w:val="0"/>
              <w:jc w:val="center"/>
              <w:textAlignment w:val="baseline"/>
              <w:rPr>
                <w:b/>
                <w:sz w:val="24"/>
                <w:szCs w:val="24"/>
              </w:rPr>
            </w:pPr>
            <w:r w:rsidRPr="0070045C">
              <w:rPr>
                <w:sz w:val="24"/>
                <w:szCs w:val="24"/>
              </w:rPr>
              <w:t>0,6–1</w:t>
            </w:r>
          </w:p>
        </w:tc>
        <w:tc>
          <w:tcPr>
            <w:tcW w:w="2552" w:type="dxa"/>
            <w:tcBorders>
              <w:top w:val="nil"/>
              <w:left w:val="nil"/>
              <w:bottom w:val="single" w:sz="4" w:space="0" w:color="auto"/>
              <w:right w:val="single" w:sz="4" w:space="0" w:color="auto"/>
            </w:tcBorders>
            <w:tcMar>
              <w:top w:w="28" w:type="dxa"/>
              <w:left w:w="57" w:type="dxa"/>
              <w:bottom w:w="28" w:type="dxa"/>
              <w:right w:w="57" w:type="dxa"/>
            </w:tcMar>
          </w:tcPr>
          <w:p w:rsidR="005C558A" w:rsidRPr="005C558A" w:rsidRDefault="005C558A" w:rsidP="002D36DC">
            <w:pPr>
              <w:jc w:val="center"/>
              <w:rPr>
                <w:sz w:val="24"/>
                <w:szCs w:val="24"/>
                <w:lang w:eastAsia="lt-LT"/>
              </w:rPr>
            </w:pPr>
            <w:r w:rsidRPr="005C558A">
              <w:rPr>
                <w:sz w:val="24"/>
                <w:szCs w:val="24"/>
                <w:lang w:eastAsia="lt-LT"/>
              </w:rPr>
              <w:t>0,69–0,97</w:t>
            </w:r>
          </w:p>
        </w:tc>
        <w:tc>
          <w:tcPr>
            <w:tcW w:w="4051" w:type="dxa"/>
            <w:tcBorders>
              <w:top w:val="nil"/>
              <w:left w:val="nil"/>
              <w:bottom w:val="single" w:sz="4" w:space="0" w:color="auto"/>
              <w:right w:val="single" w:sz="4" w:space="0" w:color="auto"/>
            </w:tcBorders>
            <w:tcMar>
              <w:top w:w="28" w:type="dxa"/>
              <w:left w:w="57" w:type="dxa"/>
              <w:bottom w:w="28" w:type="dxa"/>
              <w:right w:w="57" w:type="dxa"/>
            </w:tcMar>
          </w:tcPr>
          <w:p w:rsidR="005C558A" w:rsidRPr="005C558A" w:rsidRDefault="005C558A" w:rsidP="002D36DC">
            <w:pPr>
              <w:jc w:val="center"/>
              <w:rPr>
                <w:sz w:val="24"/>
                <w:szCs w:val="24"/>
                <w:lang w:eastAsia="lt-LT"/>
              </w:rPr>
            </w:pPr>
            <w:r w:rsidRPr="005C558A">
              <w:rPr>
                <w:sz w:val="24"/>
                <w:szCs w:val="24"/>
                <w:lang w:eastAsia="lt-LT"/>
              </w:rPr>
              <w:t>48–68</w:t>
            </w:r>
          </w:p>
        </w:tc>
      </w:tr>
      <w:tr w:rsidR="005C558A" w:rsidRPr="0070045C" w:rsidTr="005C558A">
        <w:tc>
          <w:tcPr>
            <w:tcW w:w="3034" w:type="dxa"/>
            <w:tcBorders>
              <w:top w:val="nil"/>
              <w:left w:val="single" w:sz="4" w:space="0" w:color="auto"/>
              <w:bottom w:val="single" w:sz="4" w:space="0" w:color="auto"/>
              <w:right w:val="single" w:sz="4" w:space="0" w:color="auto"/>
            </w:tcBorders>
            <w:tcMar>
              <w:top w:w="28" w:type="dxa"/>
              <w:left w:w="57" w:type="dxa"/>
              <w:bottom w:w="28" w:type="dxa"/>
              <w:right w:w="57" w:type="dxa"/>
            </w:tcMar>
          </w:tcPr>
          <w:p w:rsidR="005C558A" w:rsidRPr="0070045C" w:rsidRDefault="005C558A" w:rsidP="008A21C3">
            <w:pPr>
              <w:overflowPunct w:val="0"/>
              <w:autoSpaceDE w:val="0"/>
              <w:autoSpaceDN w:val="0"/>
              <w:adjustRightInd w:val="0"/>
              <w:jc w:val="center"/>
              <w:textAlignment w:val="baseline"/>
              <w:rPr>
                <w:sz w:val="24"/>
                <w:szCs w:val="24"/>
              </w:rPr>
            </w:pPr>
            <w:r w:rsidRPr="0070045C">
              <w:rPr>
                <w:sz w:val="24"/>
                <w:szCs w:val="24"/>
              </w:rPr>
              <w:t>1,1–1,5</w:t>
            </w:r>
          </w:p>
        </w:tc>
        <w:tc>
          <w:tcPr>
            <w:tcW w:w="2552" w:type="dxa"/>
            <w:tcBorders>
              <w:top w:val="nil"/>
              <w:left w:val="nil"/>
              <w:bottom w:val="single" w:sz="4" w:space="0" w:color="auto"/>
              <w:right w:val="single" w:sz="4" w:space="0" w:color="auto"/>
            </w:tcBorders>
            <w:tcMar>
              <w:top w:w="28" w:type="dxa"/>
              <w:left w:w="57" w:type="dxa"/>
              <w:bottom w:w="28" w:type="dxa"/>
              <w:right w:w="57" w:type="dxa"/>
            </w:tcMar>
          </w:tcPr>
          <w:p w:rsidR="005C558A" w:rsidRPr="005C558A" w:rsidRDefault="005C558A" w:rsidP="002D36DC">
            <w:pPr>
              <w:jc w:val="center"/>
              <w:rPr>
                <w:sz w:val="24"/>
                <w:szCs w:val="24"/>
                <w:lang w:eastAsia="lt-LT"/>
              </w:rPr>
            </w:pPr>
            <w:r w:rsidRPr="005C558A">
              <w:rPr>
                <w:sz w:val="24"/>
                <w:szCs w:val="24"/>
                <w:lang w:eastAsia="lt-LT"/>
              </w:rPr>
              <w:t>1,39–1,52</w:t>
            </w:r>
          </w:p>
        </w:tc>
        <w:tc>
          <w:tcPr>
            <w:tcW w:w="4051" w:type="dxa"/>
            <w:tcBorders>
              <w:top w:val="nil"/>
              <w:left w:val="nil"/>
              <w:bottom w:val="single" w:sz="4" w:space="0" w:color="auto"/>
              <w:right w:val="single" w:sz="4" w:space="0" w:color="auto"/>
            </w:tcBorders>
            <w:tcMar>
              <w:top w:w="28" w:type="dxa"/>
              <w:left w:w="57" w:type="dxa"/>
              <w:bottom w:w="28" w:type="dxa"/>
              <w:right w:w="57" w:type="dxa"/>
            </w:tcMar>
          </w:tcPr>
          <w:p w:rsidR="005C558A" w:rsidRPr="005C558A" w:rsidRDefault="005C558A" w:rsidP="002D36DC">
            <w:pPr>
              <w:jc w:val="center"/>
              <w:rPr>
                <w:sz w:val="24"/>
                <w:szCs w:val="24"/>
                <w:lang w:eastAsia="lt-LT"/>
              </w:rPr>
            </w:pPr>
            <w:r w:rsidRPr="005C558A">
              <w:rPr>
                <w:sz w:val="24"/>
                <w:szCs w:val="24"/>
                <w:lang w:eastAsia="lt-LT"/>
              </w:rPr>
              <w:t>97–107</w:t>
            </w:r>
          </w:p>
        </w:tc>
      </w:tr>
      <w:tr w:rsidR="005C558A" w:rsidRPr="0070045C" w:rsidTr="005C558A">
        <w:tc>
          <w:tcPr>
            <w:tcW w:w="3034" w:type="dxa"/>
            <w:tcBorders>
              <w:top w:val="nil"/>
              <w:left w:val="single" w:sz="4" w:space="0" w:color="auto"/>
              <w:bottom w:val="single" w:sz="4" w:space="0" w:color="auto"/>
              <w:right w:val="single" w:sz="4" w:space="0" w:color="auto"/>
            </w:tcBorders>
            <w:tcMar>
              <w:top w:w="28" w:type="dxa"/>
              <w:left w:w="57" w:type="dxa"/>
              <w:bottom w:w="28" w:type="dxa"/>
              <w:right w:w="57" w:type="dxa"/>
            </w:tcMar>
          </w:tcPr>
          <w:p w:rsidR="005C558A" w:rsidRPr="0070045C" w:rsidRDefault="005C558A" w:rsidP="008A21C3">
            <w:pPr>
              <w:overflowPunct w:val="0"/>
              <w:autoSpaceDE w:val="0"/>
              <w:autoSpaceDN w:val="0"/>
              <w:adjustRightInd w:val="0"/>
              <w:jc w:val="center"/>
              <w:textAlignment w:val="baseline"/>
              <w:rPr>
                <w:sz w:val="24"/>
                <w:szCs w:val="24"/>
              </w:rPr>
            </w:pPr>
            <w:r w:rsidRPr="0070045C">
              <w:rPr>
                <w:sz w:val="24"/>
                <w:szCs w:val="24"/>
              </w:rPr>
              <w:t>1,6–2</w:t>
            </w:r>
          </w:p>
        </w:tc>
        <w:tc>
          <w:tcPr>
            <w:tcW w:w="2552" w:type="dxa"/>
            <w:tcBorders>
              <w:top w:val="nil"/>
              <w:left w:val="nil"/>
              <w:bottom w:val="single" w:sz="4" w:space="0" w:color="auto"/>
              <w:right w:val="single" w:sz="4" w:space="0" w:color="auto"/>
            </w:tcBorders>
            <w:tcMar>
              <w:top w:w="28" w:type="dxa"/>
              <w:left w:w="57" w:type="dxa"/>
              <w:bottom w:w="28" w:type="dxa"/>
              <w:right w:w="57" w:type="dxa"/>
            </w:tcMar>
          </w:tcPr>
          <w:p w:rsidR="005C558A" w:rsidRPr="005C558A" w:rsidRDefault="005C558A" w:rsidP="002D36DC">
            <w:pPr>
              <w:jc w:val="center"/>
              <w:rPr>
                <w:sz w:val="24"/>
                <w:szCs w:val="24"/>
                <w:lang w:eastAsia="lt-LT"/>
              </w:rPr>
            </w:pPr>
            <w:r w:rsidRPr="005C558A">
              <w:rPr>
                <w:sz w:val="24"/>
                <w:szCs w:val="24"/>
                <w:lang w:eastAsia="lt-LT"/>
              </w:rPr>
              <w:t>1,94–2,22</w:t>
            </w:r>
          </w:p>
        </w:tc>
        <w:tc>
          <w:tcPr>
            <w:tcW w:w="4051" w:type="dxa"/>
            <w:tcBorders>
              <w:top w:val="nil"/>
              <w:left w:val="nil"/>
              <w:bottom w:val="single" w:sz="4" w:space="0" w:color="auto"/>
              <w:right w:val="single" w:sz="4" w:space="0" w:color="auto"/>
            </w:tcBorders>
            <w:tcMar>
              <w:top w:w="28" w:type="dxa"/>
              <w:left w:w="57" w:type="dxa"/>
              <w:bottom w:w="28" w:type="dxa"/>
              <w:right w:w="57" w:type="dxa"/>
            </w:tcMar>
          </w:tcPr>
          <w:p w:rsidR="005C558A" w:rsidRPr="005C558A" w:rsidRDefault="005C558A" w:rsidP="002D36DC">
            <w:pPr>
              <w:jc w:val="center"/>
              <w:rPr>
                <w:sz w:val="24"/>
                <w:szCs w:val="24"/>
                <w:lang w:eastAsia="lt-LT"/>
              </w:rPr>
            </w:pPr>
            <w:r w:rsidRPr="005C558A">
              <w:rPr>
                <w:sz w:val="24"/>
                <w:szCs w:val="24"/>
                <w:lang w:eastAsia="lt-LT"/>
              </w:rPr>
              <w:t>136–155</w:t>
            </w:r>
          </w:p>
        </w:tc>
      </w:tr>
      <w:tr w:rsidR="005C558A" w:rsidRPr="0070045C" w:rsidTr="005C558A">
        <w:tc>
          <w:tcPr>
            <w:tcW w:w="3034" w:type="dxa"/>
            <w:tcBorders>
              <w:top w:val="nil"/>
              <w:left w:val="single" w:sz="4" w:space="0" w:color="auto"/>
              <w:bottom w:val="single" w:sz="4" w:space="0" w:color="auto"/>
              <w:right w:val="single" w:sz="4" w:space="0" w:color="auto"/>
            </w:tcBorders>
            <w:tcMar>
              <w:top w:w="28" w:type="dxa"/>
              <w:left w:w="57" w:type="dxa"/>
              <w:bottom w:w="28" w:type="dxa"/>
              <w:right w:w="57" w:type="dxa"/>
            </w:tcMar>
          </w:tcPr>
          <w:p w:rsidR="005C558A" w:rsidRPr="0070045C" w:rsidRDefault="005C558A" w:rsidP="008A21C3">
            <w:pPr>
              <w:tabs>
                <w:tab w:val="center" w:pos="4819"/>
                <w:tab w:val="right" w:pos="9638"/>
              </w:tabs>
              <w:overflowPunct w:val="0"/>
              <w:autoSpaceDE w:val="0"/>
              <w:autoSpaceDN w:val="0"/>
              <w:adjustRightInd w:val="0"/>
              <w:jc w:val="center"/>
              <w:textAlignment w:val="baseline"/>
              <w:rPr>
                <w:sz w:val="24"/>
                <w:szCs w:val="24"/>
              </w:rPr>
            </w:pPr>
            <w:r w:rsidRPr="0070045C">
              <w:rPr>
                <w:sz w:val="24"/>
                <w:szCs w:val="24"/>
              </w:rPr>
              <w:t>2,1–3</w:t>
            </w:r>
          </w:p>
        </w:tc>
        <w:tc>
          <w:tcPr>
            <w:tcW w:w="2552" w:type="dxa"/>
            <w:tcBorders>
              <w:top w:val="nil"/>
              <w:left w:val="nil"/>
              <w:bottom w:val="single" w:sz="4" w:space="0" w:color="auto"/>
              <w:right w:val="single" w:sz="4" w:space="0" w:color="auto"/>
            </w:tcBorders>
            <w:tcMar>
              <w:top w:w="28" w:type="dxa"/>
              <w:left w:w="57" w:type="dxa"/>
              <w:bottom w:w="28" w:type="dxa"/>
              <w:right w:w="57" w:type="dxa"/>
            </w:tcMar>
          </w:tcPr>
          <w:p w:rsidR="005C558A" w:rsidRPr="005C558A" w:rsidRDefault="005C558A" w:rsidP="002D36DC">
            <w:pPr>
              <w:jc w:val="center"/>
              <w:rPr>
                <w:sz w:val="24"/>
                <w:szCs w:val="24"/>
                <w:lang w:eastAsia="lt-LT"/>
              </w:rPr>
            </w:pPr>
            <w:r w:rsidRPr="005C558A">
              <w:rPr>
                <w:sz w:val="24"/>
                <w:szCs w:val="24"/>
                <w:lang w:eastAsia="lt-LT"/>
              </w:rPr>
              <w:t>3,47–3,85</w:t>
            </w:r>
          </w:p>
        </w:tc>
        <w:tc>
          <w:tcPr>
            <w:tcW w:w="4051" w:type="dxa"/>
            <w:tcBorders>
              <w:top w:val="nil"/>
              <w:left w:val="nil"/>
              <w:bottom w:val="single" w:sz="4" w:space="0" w:color="auto"/>
              <w:right w:val="single" w:sz="4" w:space="0" w:color="auto"/>
            </w:tcBorders>
            <w:tcMar>
              <w:top w:w="28" w:type="dxa"/>
              <w:left w:w="57" w:type="dxa"/>
              <w:bottom w:w="28" w:type="dxa"/>
              <w:right w:w="57" w:type="dxa"/>
            </w:tcMar>
          </w:tcPr>
          <w:p w:rsidR="005C558A" w:rsidRPr="005C558A" w:rsidRDefault="005C558A" w:rsidP="002D36DC">
            <w:pPr>
              <w:jc w:val="center"/>
              <w:rPr>
                <w:sz w:val="24"/>
                <w:szCs w:val="24"/>
                <w:lang w:eastAsia="lt-LT"/>
              </w:rPr>
            </w:pPr>
            <w:r w:rsidRPr="005C558A">
              <w:rPr>
                <w:sz w:val="24"/>
                <w:szCs w:val="24"/>
                <w:lang w:eastAsia="lt-LT"/>
              </w:rPr>
              <w:t>243–269</w:t>
            </w:r>
          </w:p>
        </w:tc>
      </w:tr>
      <w:tr w:rsidR="005C558A" w:rsidRPr="0070045C" w:rsidTr="005C558A">
        <w:tc>
          <w:tcPr>
            <w:tcW w:w="3034" w:type="dxa"/>
            <w:tcBorders>
              <w:top w:val="nil"/>
              <w:left w:val="single" w:sz="4" w:space="0" w:color="auto"/>
              <w:bottom w:val="single" w:sz="4" w:space="0" w:color="auto"/>
              <w:right w:val="single" w:sz="4" w:space="0" w:color="auto"/>
            </w:tcBorders>
            <w:tcMar>
              <w:top w:w="28" w:type="dxa"/>
              <w:left w:w="57" w:type="dxa"/>
              <w:bottom w:w="28" w:type="dxa"/>
              <w:right w:w="57" w:type="dxa"/>
            </w:tcMar>
          </w:tcPr>
          <w:p w:rsidR="005C558A" w:rsidRPr="0070045C" w:rsidRDefault="005C558A" w:rsidP="008A21C3">
            <w:pPr>
              <w:overflowPunct w:val="0"/>
              <w:autoSpaceDE w:val="0"/>
              <w:autoSpaceDN w:val="0"/>
              <w:adjustRightInd w:val="0"/>
              <w:jc w:val="center"/>
              <w:textAlignment w:val="baseline"/>
              <w:rPr>
                <w:sz w:val="24"/>
                <w:szCs w:val="24"/>
              </w:rPr>
            </w:pPr>
            <w:r w:rsidRPr="0070045C">
              <w:rPr>
                <w:sz w:val="24"/>
                <w:szCs w:val="24"/>
              </w:rPr>
              <w:t>3,1–4</w:t>
            </w:r>
          </w:p>
        </w:tc>
        <w:tc>
          <w:tcPr>
            <w:tcW w:w="2552" w:type="dxa"/>
            <w:tcBorders>
              <w:top w:val="nil"/>
              <w:left w:val="nil"/>
              <w:bottom w:val="single" w:sz="4" w:space="0" w:color="auto"/>
              <w:right w:val="single" w:sz="4" w:space="0" w:color="auto"/>
            </w:tcBorders>
            <w:tcMar>
              <w:top w:w="28" w:type="dxa"/>
              <w:left w:w="57" w:type="dxa"/>
              <w:bottom w:w="28" w:type="dxa"/>
              <w:right w:w="57" w:type="dxa"/>
            </w:tcMar>
          </w:tcPr>
          <w:p w:rsidR="005C558A" w:rsidRPr="005C558A" w:rsidRDefault="005C558A" w:rsidP="002D36DC">
            <w:pPr>
              <w:jc w:val="center"/>
              <w:rPr>
                <w:sz w:val="24"/>
                <w:szCs w:val="24"/>
                <w:lang w:eastAsia="lt-LT"/>
              </w:rPr>
            </w:pPr>
            <w:r w:rsidRPr="005C558A">
              <w:rPr>
                <w:sz w:val="24"/>
                <w:szCs w:val="24"/>
                <w:lang w:eastAsia="lt-LT"/>
              </w:rPr>
              <w:t>5,56–6,25</w:t>
            </w:r>
          </w:p>
        </w:tc>
        <w:tc>
          <w:tcPr>
            <w:tcW w:w="4051" w:type="dxa"/>
            <w:tcBorders>
              <w:top w:val="nil"/>
              <w:left w:val="nil"/>
              <w:bottom w:val="single" w:sz="4" w:space="0" w:color="auto"/>
              <w:right w:val="single" w:sz="4" w:space="0" w:color="auto"/>
            </w:tcBorders>
            <w:tcMar>
              <w:top w:w="28" w:type="dxa"/>
              <w:left w:w="57" w:type="dxa"/>
              <w:bottom w:w="28" w:type="dxa"/>
              <w:right w:w="57" w:type="dxa"/>
            </w:tcMar>
          </w:tcPr>
          <w:p w:rsidR="005C558A" w:rsidRPr="005C558A" w:rsidRDefault="005C558A" w:rsidP="002D36DC">
            <w:pPr>
              <w:jc w:val="center"/>
              <w:rPr>
                <w:sz w:val="24"/>
                <w:szCs w:val="24"/>
                <w:lang w:eastAsia="lt-LT"/>
              </w:rPr>
            </w:pPr>
            <w:r w:rsidRPr="005C558A">
              <w:rPr>
                <w:sz w:val="24"/>
                <w:szCs w:val="24"/>
                <w:lang w:eastAsia="lt-LT"/>
              </w:rPr>
              <w:t>389–437</w:t>
            </w:r>
          </w:p>
        </w:tc>
      </w:tr>
      <w:tr w:rsidR="005C558A" w:rsidRPr="0070045C" w:rsidTr="005C558A">
        <w:tc>
          <w:tcPr>
            <w:tcW w:w="3034" w:type="dxa"/>
            <w:tcBorders>
              <w:top w:val="nil"/>
              <w:left w:val="single" w:sz="4" w:space="0" w:color="auto"/>
              <w:bottom w:val="single" w:sz="4" w:space="0" w:color="auto"/>
              <w:right w:val="single" w:sz="4" w:space="0" w:color="auto"/>
            </w:tcBorders>
            <w:tcMar>
              <w:top w:w="28" w:type="dxa"/>
              <w:left w:w="57" w:type="dxa"/>
              <w:bottom w:w="28" w:type="dxa"/>
              <w:right w:w="57" w:type="dxa"/>
            </w:tcMar>
          </w:tcPr>
          <w:p w:rsidR="005C558A" w:rsidRPr="0070045C" w:rsidRDefault="005C558A" w:rsidP="008A21C3">
            <w:pPr>
              <w:overflowPunct w:val="0"/>
              <w:autoSpaceDE w:val="0"/>
              <w:autoSpaceDN w:val="0"/>
              <w:adjustRightInd w:val="0"/>
              <w:jc w:val="center"/>
              <w:textAlignment w:val="baseline"/>
              <w:rPr>
                <w:sz w:val="24"/>
                <w:szCs w:val="24"/>
              </w:rPr>
            </w:pPr>
            <w:r w:rsidRPr="0070045C">
              <w:rPr>
                <w:sz w:val="24"/>
                <w:szCs w:val="24"/>
              </w:rPr>
              <w:t>4,1–5</w:t>
            </w:r>
          </w:p>
        </w:tc>
        <w:tc>
          <w:tcPr>
            <w:tcW w:w="2552" w:type="dxa"/>
            <w:tcBorders>
              <w:top w:val="nil"/>
              <w:left w:val="nil"/>
              <w:bottom w:val="single" w:sz="4" w:space="0" w:color="auto"/>
              <w:right w:val="single" w:sz="4" w:space="0" w:color="auto"/>
            </w:tcBorders>
            <w:tcMar>
              <w:top w:w="28" w:type="dxa"/>
              <w:left w:w="57" w:type="dxa"/>
              <w:bottom w:w="28" w:type="dxa"/>
              <w:right w:w="57" w:type="dxa"/>
            </w:tcMar>
          </w:tcPr>
          <w:p w:rsidR="005C558A" w:rsidRPr="005C558A" w:rsidRDefault="005C558A" w:rsidP="002D36DC">
            <w:pPr>
              <w:jc w:val="center"/>
              <w:rPr>
                <w:sz w:val="24"/>
                <w:szCs w:val="24"/>
                <w:lang w:eastAsia="lt-LT"/>
              </w:rPr>
            </w:pPr>
            <w:r w:rsidRPr="005C558A">
              <w:rPr>
                <w:sz w:val="24"/>
                <w:szCs w:val="24"/>
                <w:lang w:eastAsia="lt-LT"/>
              </w:rPr>
              <w:t>7,64–9,03</w:t>
            </w:r>
          </w:p>
        </w:tc>
        <w:tc>
          <w:tcPr>
            <w:tcW w:w="4051" w:type="dxa"/>
            <w:tcBorders>
              <w:top w:val="nil"/>
              <w:left w:val="nil"/>
              <w:bottom w:val="single" w:sz="4" w:space="0" w:color="auto"/>
              <w:right w:val="single" w:sz="4" w:space="0" w:color="auto"/>
            </w:tcBorders>
            <w:tcMar>
              <w:top w:w="28" w:type="dxa"/>
              <w:left w:w="57" w:type="dxa"/>
              <w:bottom w:w="28" w:type="dxa"/>
              <w:right w:w="57" w:type="dxa"/>
            </w:tcMar>
          </w:tcPr>
          <w:p w:rsidR="005C558A" w:rsidRPr="005C558A" w:rsidRDefault="005C558A" w:rsidP="002D36DC">
            <w:pPr>
              <w:jc w:val="center"/>
              <w:rPr>
                <w:sz w:val="24"/>
                <w:szCs w:val="24"/>
                <w:lang w:eastAsia="lt-LT"/>
              </w:rPr>
            </w:pPr>
            <w:r w:rsidRPr="005C558A">
              <w:rPr>
                <w:sz w:val="24"/>
                <w:szCs w:val="24"/>
                <w:lang w:eastAsia="lt-LT"/>
              </w:rPr>
              <w:t>–</w:t>
            </w:r>
          </w:p>
        </w:tc>
      </w:tr>
      <w:tr w:rsidR="005C558A" w:rsidRPr="0070045C" w:rsidTr="005C558A">
        <w:tc>
          <w:tcPr>
            <w:tcW w:w="3034" w:type="dxa"/>
            <w:tcBorders>
              <w:top w:val="nil"/>
              <w:left w:val="single" w:sz="4" w:space="0" w:color="auto"/>
              <w:bottom w:val="single" w:sz="4" w:space="0" w:color="auto"/>
              <w:right w:val="single" w:sz="4" w:space="0" w:color="auto"/>
            </w:tcBorders>
            <w:tcMar>
              <w:top w:w="28" w:type="dxa"/>
              <w:left w:w="57" w:type="dxa"/>
              <w:bottom w:w="28" w:type="dxa"/>
              <w:right w:w="57" w:type="dxa"/>
            </w:tcMar>
          </w:tcPr>
          <w:p w:rsidR="005C558A" w:rsidRPr="0070045C" w:rsidRDefault="005C558A" w:rsidP="008A21C3">
            <w:pPr>
              <w:overflowPunct w:val="0"/>
              <w:autoSpaceDE w:val="0"/>
              <w:autoSpaceDN w:val="0"/>
              <w:adjustRightInd w:val="0"/>
              <w:jc w:val="center"/>
              <w:textAlignment w:val="baseline"/>
              <w:rPr>
                <w:sz w:val="24"/>
                <w:szCs w:val="24"/>
              </w:rPr>
            </w:pPr>
            <w:r w:rsidRPr="0070045C">
              <w:rPr>
                <w:sz w:val="24"/>
                <w:szCs w:val="24"/>
              </w:rPr>
              <w:t>5,1–6</w:t>
            </w:r>
          </w:p>
        </w:tc>
        <w:tc>
          <w:tcPr>
            <w:tcW w:w="2552" w:type="dxa"/>
            <w:tcBorders>
              <w:top w:val="nil"/>
              <w:left w:val="nil"/>
              <w:bottom w:val="single" w:sz="4" w:space="0" w:color="auto"/>
              <w:right w:val="single" w:sz="4" w:space="0" w:color="auto"/>
            </w:tcBorders>
            <w:tcMar>
              <w:top w:w="28" w:type="dxa"/>
              <w:left w:w="57" w:type="dxa"/>
              <w:bottom w:w="28" w:type="dxa"/>
              <w:right w:w="57" w:type="dxa"/>
            </w:tcMar>
          </w:tcPr>
          <w:p w:rsidR="005C558A" w:rsidRPr="005C558A" w:rsidRDefault="005C558A" w:rsidP="002D36DC">
            <w:pPr>
              <w:jc w:val="center"/>
              <w:rPr>
                <w:sz w:val="24"/>
                <w:szCs w:val="24"/>
                <w:lang w:eastAsia="lt-LT"/>
              </w:rPr>
            </w:pPr>
            <w:r w:rsidRPr="005C558A">
              <w:rPr>
                <w:sz w:val="24"/>
                <w:szCs w:val="24"/>
                <w:lang w:eastAsia="lt-LT"/>
              </w:rPr>
              <w:t>9,73–11,12</w:t>
            </w:r>
          </w:p>
        </w:tc>
        <w:tc>
          <w:tcPr>
            <w:tcW w:w="4051" w:type="dxa"/>
            <w:tcBorders>
              <w:top w:val="nil"/>
              <w:left w:val="nil"/>
              <w:bottom w:val="single" w:sz="4" w:space="0" w:color="auto"/>
              <w:right w:val="single" w:sz="4" w:space="0" w:color="auto"/>
            </w:tcBorders>
            <w:tcMar>
              <w:top w:w="28" w:type="dxa"/>
              <w:left w:w="57" w:type="dxa"/>
              <w:bottom w:w="28" w:type="dxa"/>
              <w:right w:w="57" w:type="dxa"/>
            </w:tcMar>
          </w:tcPr>
          <w:p w:rsidR="005C558A" w:rsidRPr="005C558A" w:rsidRDefault="005C558A" w:rsidP="002D36DC">
            <w:pPr>
              <w:jc w:val="center"/>
              <w:rPr>
                <w:sz w:val="24"/>
                <w:szCs w:val="24"/>
                <w:lang w:eastAsia="lt-LT"/>
              </w:rPr>
            </w:pPr>
            <w:r w:rsidRPr="005C558A">
              <w:rPr>
                <w:sz w:val="24"/>
                <w:szCs w:val="24"/>
                <w:lang w:eastAsia="lt-LT"/>
              </w:rPr>
              <w:t>–</w:t>
            </w:r>
          </w:p>
        </w:tc>
      </w:tr>
      <w:tr w:rsidR="005C558A" w:rsidRPr="0070045C" w:rsidTr="005C558A">
        <w:tc>
          <w:tcPr>
            <w:tcW w:w="3034" w:type="dxa"/>
            <w:tcBorders>
              <w:top w:val="nil"/>
              <w:left w:val="single" w:sz="4" w:space="0" w:color="auto"/>
              <w:bottom w:val="single" w:sz="4" w:space="0" w:color="auto"/>
              <w:right w:val="single" w:sz="4" w:space="0" w:color="auto"/>
            </w:tcBorders>
            <w:tcMar>
              <w:top w:w="28" w:type="dxa"/>
              <w:left w:w="57" w:type="dxa"/>
              <w:bottom w:w="28" w:type="dxa"/>
              <w:right w:w="57" w:type="dxa"/>
            </w:tcMar>
          </w:tcPr>
          <w:p w:rsidR="005C558A" w:rsidRPr="0070045C" w:rsidRDefault="005C558A" w:rsidP="008A21C3">
            <w:pPr>
              <w:overflowPunct w:val="0"/>
              <w:autoSpaceDE w:val="0"/>
              <w:autoSpaceDN w:val="0"/>
              <w:adjustRightInd w:val="0"/>
              <w:jc w:val="center"/>
              <w:textAlignment w:val="baseline"/>
              <w:rPr>
                <w:sz w:val="24"/>
                <w:szCs w:val="24"/>
              </w:rPr>
            </w:pPr>
            <w:r w:rsidRPr="0070045C">
              <w:rPr>
                <w:sz w:val="24"/>
                <w:szCs w:val="24"/>
              </w:rPr>
              <w:t>6,1–7</w:t>
            </w:r>
          </w:p>
        </w:tc>
        <w:tc>
          <w:tcPr>
            <w:tcW w:w="2552" w:type="dxa"/>
            <w:tcBorders>
              <w:top w:val="nil"/>
              <w:left w:val="nil"/>
              <w:bottom w:val="single" w:sz="4" w:space="0" w:color="auto"/>
              <w:right w:val="single" w:sz="4" w:space="0" w:color="auto"/>
            </w:tcBorders>
            <w:tcMar>
              <w:top w:w="28" w:type="dxa"/>
              <w:left w:w="57" w:type="dxa"/>
              <w:bottom w:w="28" w:type="dxa"/>
              <w:right w:w="57" w:type="dxa"/>
            </w:tcMar>
          </w:tcPr>
          <w:p w:rsidR="005C558A" w:rsidRPr="005C558A" w:rsidRDefault="005C558A" w:rsidP="002D36DC">
            <w:pPr>
              <w:jc w:val="center"/>
              <w:rPr>
                <w:sz w:val="24"/>
                <w:szCs w:val="24"/>
                <w:lang w:eastAsia="lt-LT"/>
              </w:rPr>
            </w:pPr>
            <w:r w:rsidRPr="005C558A">
              <w:rPr>
                <w:sz w:val="24"/>
                <w:szCs w:val="24"/>
                <w:lang w:eastAsia="lt-LT"/>
              </w:rPr>
              <w:t>11,81–13,20</w:t>
            </w:r>
          </w:p>
        </w:tc>
        <w:tc>
          <w:tcPr>
            <w:tcW w:w="4051" w:type="dxa"/>
            <w:tcBorders>
              <w:top w:val="nil"/>
              <w:left w:val="nil"/>
              <w:bottom w:val="single" w:sz="4" w:space="0" w:color="auto"/>
              <w:right w:val="single" w:sz="4" w:space="0" w:color="auto"/>
            </w:tcBorders>
            <w:tcMar>
              <w:top w:w="28" w:type="dxa"/>
              <w:left w:w="57" w:type="dxa"/>
              <w:bottom w:w="28" w:type="dxa"/>
              <w:right w:w="57" w:type="dxa"/>
            </w:tcMar>
          </w:tcPr>
          <w:p w:rsidR="005C558A" w:rsidRPr="005C558A" w:rsidRDefault="005C558A" w:rsidP="002D36DC">
            <w:pPr>
              <w:jc w:val="center"/>
              <w:rPr>
                <w:sz w:val="24"/>
                <w:szCs w:val="24"/>
                <w:lang w:eastAsia="lt-LT"/>
              </w:rPr>
            </w:pPr>
            <w:r w:rsidRPr="005C558A">
              <w:rPr>
                <w:sz w:val="24"/>
                <w:szCs w:val="24"/>
                <w:lang w:eastAsia="lt-LT"/>
              </w:rPr>
              <w:t>–</w:t>
            </w:r>
          </w:p>
        </w:tc>
      </w:tr>
      <w:tr w:rsidR="005C558A" w:rsidRPr="0070045C" w:rsidTr="005C558A">
        <w:tc>
          <w:tcPr>
            <w:tcW w:w="3034" w:type="dxa"/>
            <w:tcBorders>
              <w:top w:val="nil"/>
              <w:left w:val="single" w:sz="4" w:space="0" w:color="auto"/>
              <w:bottom w:val="single" w:sz="4" w:space="0" w:color="auto"/>
              <w:right w:val="single" w:sz="4" w:space="0" w:color="auto"/>
            </w:tcBorders>
            <w:tcMar>
              <w:top w:w="28" w:type="dxa"/>
              <w:left w:w="57" w:type="dxa"/>
              <w:bottom w:w="28" w:type="dxa"/>
              <w:right w:w="57" w:type="dxa"/>
            </w:tcMar>
          </w:tcPr>
          <w:p w:rsidR="005C558A" w:rsidRPr="0070045C" w:rsidRDefault="005C558A" w:rsidP="008A21C3">
            <w:pPr>
              <w:tabs>
                <w:tab w:val="center" w:pos="4819"/>
                <w:tab w:val="right" w:pos="9638"/>
              </w:tabs>
              <w:overflowPunct w:val="0"/>
              <w:autoSpaceDE w:val="0"/>
              <w:autoSpaceDN w:val="0"/>
              <w:adjustRightInd w:val="0"/>
              <w:jc w:val="center"/>
              <w:textAlignment w:val="baseline"/>
              <w:rPr>
                <w:sz w:val="24"/>
                <w:szCs w:val="24"/>
              </w:rPr>
            </w:pPr>
            <w:r w:rsidRPr="0070045C">
              <w:rPr>
                <w:sz w:val="24"/>
                <w:szCs w:val="24"/>
              </w:rPr>
              <w:t>7,1–8 įskaitytinai</w:t>
            </w:r>
          </w:p>
        </w:tc>
        <w:tc>
          <w:tcPr>
            <w:tcW w:w="2552" w:type="dxa"/>
            <w:tcBorders>
              <w:top w:val="nil"/>
              <w:left w:val="nil"/>
              <w:bottom w:val="single" w:sz="4" w:space="0" w:color="auto"/>
              <w:right w:val="single" w:sz="4" w:space="0" w:color="auto"/>
            </w:tcBorders>
            <w:tcMar>
              <w:top w:w="28" w:type="dxa"/>
              <w:left w:w="57" w:type="dxa"/>
              <w:bottom w:w="28" w:type="dxa"/>
              <w:right w:w="57" w:type="dxa"/>
            </w:tcMar>
          </w:tcPr>
          <w:p w:rsidR="005C558A" w:rsidRPr="005C558A" w:rsidRDefault="005C558A" w:rsidP="002D36DC">
            <w:pPr>
              <w:jc w:val="center"/>
              <w:rPr>
                <w:sz w:val="24"/>
                <w:szCs w:val="24"/>
                <w:lang w:eastAsia="lt-LT"/>
              </w:rPr>
            </w:pPr>
            <w:r w:rsidRPr="005C558A">
              <w:rPr>
                <w:sz w:val="24"/>
                <w:szCs w:val="24"/>
                <w:lang w:eastAsia="lt-LT"/>
              </w:rPr>
              <w:t>13,90–15,98</w:t>
            </w:r>
          </w:p>
        </w:tc>
        <w:tc>
          <w:tcPr>
            <w:tcW w:w="4051" w:type="dxa"/>
            <w:tcBorders>
              <w:top w:val="nil"/>
              <w:left w:val="nil"/>
              <w:bottom w:val="single" w:sz="4" w:space="0" w:color="auto"/>
              <w:right w:val="single" w:sz="4" w:space="0" w:color="auto"/>
            </w:tcBorders>
            <w:tcMar>
              <w:top w:w="28" w:type="dxa"/>
              <w:left w:w="57" w:type="dxa"/>
              <w:bottom w:w="28" w:type="dxa"/>
              <w:right w:w="57" w:type="dxa"/>
            </w:tcMar>
          </w:tcPr>
          <w:p w:rsidR="005C558A" w:rsidRPr="005C558A" w:rsidRDefault="005C558A" w:rsidP="002D36DC">
            <w:pPr>
              <w:jc w:val="center"/>
              <w:rPr>
                <w:sz w:val="24"/>
                <w:szCs w:val="24"/>
                <w:lang w:eastAsia="lt-LT"/>
              </w:rPr>
            </w:pPr>
            <w:r w:rsidRPr="005C558A">
              <w:rPr>
                <w:sz w:val="24"/>
                <w:szCs w:val="24"/>
                <w:lang w:eastAsia="lt-LT"/>
              </w:rPr>
              <w:t>–</w:t>
            </w:r>
          </w:p>
        </w:tc>
      </w:tr>
    </w:tbl>
    <w:p w:rsidR="0083327E" w:rsidRDefault="0083327E" w:rsidP="00F91C65">
      <w:pPr>
        <w:spacing w:line="360" w:lineRule="auto"/>
        <w:ind w:right="-108" w:firstLine="720"/>
        <w:jc w:val="both"/>
        <w:rPr>
          <w:sz w:val="24"/>
          <w:szCs w:val="24"/>
          <w:lang w:eastAsia="lt-LT"/>
        </w:rPr>
      </w:pPr>
    </w:p>
    <w:p w:rsidR="00F91C65" w:rsidRDefault="00F91C65" w:rsidP="00F91C65">
      <w:pPr>
        <w:spacing w:line="360" w:lineRule="auto"/>
        <w:ind w:right="-108" w:firstLine="720"/>
        <w:jc w:val="both"/>
        <w:rPr>
          <w:sz w:val="24"/>
          <w:szCs w:val="24"/>
          <w:lang w:eastAsia="lt-LT"/>
        </w:rPr>
      </w:pPr>
      <w:r>
        <w:rPr>
          <w:sz w:val="24"/>
          <w:szCs w:val="24"/>
          <w:lang w:eastAsia="lt-LT"/>
        </w:rPr>
        <w:t xml:space="preserve">4. </w:t>
      </w:r>
      <w:r w:rsidR="000305F1" w:rsidRPr="000305F1">
        <w:rPr>
          <w:sz w:val="24"/>
          <w:szCs w:val="24"/>
          <w:lang w:eastAsia="lt-LT"/>
        </w:rPr>
        <w:t>Mokestis nustatomas sumuojant mokesčius už kiekvienos ašies (ašių) didžiausios leidžiamosios ašies (ašių) apkrovos viršijimą.</w:t>
      </w:r>
    </w:p>
    <w:p w:rsidR="00B240E2" w:rsidRDefault="00F91C65" w:rsidP="00F91C65">
      <w:pPr>
        <w:spacing w:line="360" w:lineRule="auto"/>
        <w:ind w:right="-108" w:firstLine="720"/>
        <w:jc w:val="both"/>
        <w:rPr>
          <w:sz w:val="24"/>
          <w:szCs w:val="24"/>
          <w:lang w:eastAsia="lt-LT"/>
        </w:rPr>
      </w:pPr>
      <w:r>
        <w:rPr>
          <w:sz w:val="24"/>
          <w:szCs w:val="24"/>
        </w:rPr>
        <w:t>5.</w:t>
      </w:r>
      <w:r w:rsidR="000305F1" w:rsidRPr="000305F1">
        <w:rPr>
          <w:sz w:val="24"/>
          <w:szCs w:val="24"/>
        </w:rPr>
        <w:t xml:space="preserve"> </w:t>
      </w:r>
      <w:r w:rsidR="000305F1" w:rsidRPr="0070045C">
        <w:rPr>
          <w:sz w:val="24"/>
          <w:szCs w:val="24"/>
        </w:rPr>
        <w:t xml:space="preserve">Už </w:t>
      </w:r>
      <w:r w:rsidR="000305F1">
        <w:rPr>
          <w:sz w:val="24"/>
          <w:szCs w:val="24"/>
        </w:rPr>
        <w:t>naudojimąsi</w:t>
      </w:r>
      <w:r w:rsidR="000305F1" w:rsidRPr="0070045C">
        <w:rPr>
          <w:sz w:val="24"/>
          <w:szCs w:val="24"/>
        </w:rPr>
        <w:t xml:space="preserve"> Panevėžio miesto vietinės reikšmės keliais (gatvėmis) </w:t>
      </w:r>
      <w:r w:rsidR="000305F1">
        <w:rPr>
          <w:sz w:val="24"/>
          <w:szCs w:val="24"/>
        </w:rPr>
        <w:t>važiuojant sunkiasvoriais traktoriais</w:t>
      </w:r>
      <w:r w:rsidR="00B240E2">
        <w:rPr>
          <w:sz w:val="24"/>
          <w:szCs w:val="24"/>
        </w:rPr>
        <w:t xml:space="preserve"> ir savaeigėmis mašinomis</w:t>
      </w:r>
      <w:r w:rsidR="00D73363">
        <w:rPr>
          <w:sz w:val="24"/>
          <w:szCs w:val="24"/>
        </w:rPr>
        <w:t xml:space="preserve"> ar jų junginiais</w:t>
      </w:r>
      <w:r w:rsidR="000305F1" w:rsidRPr="0070045C">
        <w:rPr>
          <w:sz w:val="24"/>
          <w:szCs w:val="24"/>
        </w:rPr>
        <w:t xml:space="preserve">, </w:t>
      </w:r>
      <w:r w:rsidR="000305F1">
        <w:rPr>
          <w:sz w:val="24"/>
          <w:szCs w:val="24"/>
        </w:rPr>
        <w:t>kurių</w:t>
      </w:r>
      <w:r w:rsidR="000305F1" w:rsidRPr="00E06162">
        <w:rPr>
          <w:sz w:val="24"/>
          <w:szCs w:val="24"/>
        </w:rPr>
        <w:t xml:space="preserve"> ašies (ašių) apkrova </w:t>
      </w:r>
      <w:r w:rsidR="000305F1">
        <w:rPr>
          <w:sz w:val="24"/>
          <w:szCs w:val="24"/>
        </w:rPr>
        <w:t>su kroviniu arba be jo yra didesnė už didžiausią leid</w:t>
      </w:r>
      <w:r w:rsidR="00B240E2">
        <w:rPr>
          <w:sz w:val="24"/>
          <w:szCs w:val="24"/>
        </w:rPr>
        <w:t>žiamą</w:t>
      </w:r>
      <w:r w:rsidR="00030355">
        <w:rPr>
          <w:sz w:val="24"/>
          <w:szCs w:val="24"/>
        </w:rPr>
        <w:t>ją</w:t>
      </w:r>
      <w:r w:rsidR="000305F1">
        <w:rPr>
          <w:sz w:val="24"/>
          <w:szCs w:val="24"/>
        </w:rPr>
        <w:t xml:space="preserve"> </w:t>
      </w:r>
      <w:r w:rsidR="00B240E2">
        <w:rPr>
          <w:sz w:val="24"/>
          <w:szCs w:val="24"/>
        </w:rPr>
        <w:t>ašies (ašių) apkrovą,</w:t>
      </w:r>
      <w:r w:rsidR="00B240E2" w:rsidRPr="00B240E2">
        <w:rPr>
          <w:sz w:val="24"/>
          <w:szCs w:val="24"/>
        </w:rPr>
        <w:t xml:space="preserve"> </w:t>
      </w:r>
      <w:r w:rsidR="00030355">
        <w:rPr>
          <w:sz w:val="24"/>
          <w:szCs w:val="24"/>
        </w:rPr>
        <w:t>ribiniai tarifai:</w:t>
      </w:r>
    </w:p>
    <w:p w:rsidR="008E5DF3" w:rsidRPr="00355F47" w:rsidRDefault="008E5DF3" w:rsidP="008E5DF3">
      <w:pPr>
        <w:tabs>
          <w:tab w:val="left" w:pos="8080"/>
        </w:tabs>
        <w:overflowPunct w:val="0"/>
        <w:autoSpaceDE w:val="0"/>
        <w:autoSpaceDN w:val="0"/>
        <w:adjustRightInd w:val="0"/>
        <w:spacing w:line="360" w:lineRule="auto"/>
        <w:jc w:val="both"/>
        <w:textAlignment w:val="baseline"/>
        <w:rPr>
          <w:sz w:val="24"/>
          <w:szCs w:val="24"/>
        </w:rPr>
      </w:pPr>
    </w:p>
    <w:tbl>
      <w:tblPr>
        <w:tblW w:w="9637" w:type="dxa"/>
        <w:tblLayout w:type="fixed"/>
        <w:tblCellMar>
          <w:left w:w="0" w:type="dxa"/>
          <w:right w:w="0" w:type="dxa"/>
        </w:tblCellMar>
        <w:tblLook w:val="0000" w:firstRow="0" w:lastRow="0" w:firstColumn="0" w:lastColumn="0" w:noHBand="0" w:noVBand="0"/>
      </w:tblPr>
      <w:tblGrid>
        <w:gridCol w:w="3034"/>
        <w:gridCol w:w="2552"/>
        <w:gridCol w:w="4051"/>
      </w:tblGrid>
      <w:tr w:rsidR="00B240E2" w:rsidRPr="0070045C" w:rsidTr="002D36DC">
        <w:trPr>
          <w:cantSplit/>
        </w:trPr>
        <w:tc>
          <w:tcPr>
            <w:tcW w:w="3034"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B240E2" w:rsidRPr="0070045C" w:rsidRDefault="00B240E2" w:rsidP="007F2938">
            <w:pPr>
              <w:overflowPunct w:val="0"/>
              <w:autoSpaceDE w:val="0"/>
              <w:autoSpaceDN w:val="0"/>
              <w:adjustRightInd w:val="0"/>
              <w:jc w:val="center"/>
              <w:textAlignment w:val="baseline"/>
              <w:rPr>
                <w:sz w:val="24"/>
                <w:szCs w:val="24"/>
              </w:rPr>
            </w:pPr>
            <w:r>
              <w:rPr>
                <w:sz w:val="24"/>
                <w:szCs w:val="24"/>
              </w:rPr>
              <w:t>Didžiausi</w:t>
            </w:r>
            <w:r w:rsidR="007F2938">
              <w:rPr>
                <w:sz w:val="24"/>
                <w:szCs w:val="24"/>
              </w:rPr>
              <w:t>a</w:t>
            </w:r>
            <w:r>
              <w:rPr>
                <w:sz w:val="24"/>
                <w:szCs w:val="24"/>
              </w:rPr>
              <w:t xml:space="preserve"> leidžiamoji</w:t>
            </w:r>
            <w:r w:rsidRPr="0070045C">
              <w:rPr>
                <w:sz w:val="24"/>
                <w:szCs w:val="24"/>
              </w:rPr>
              <w:t xml:space="preserve"> ašies (ašių) apkrova viršyta</w:t>
            </w:r>
            <w:r>
              <w:rPr>
                <w:sz w:val="24"/>
                <w:szCs w:val="24"/>
              </w:rPr>
              <w:t>, t</w:t>
            </w:r>
          </w:p>
        </w:tc>
        <w:tc>
          <w:tcPr>
            <w:tcW w:w="6603" w:type="dxa"/>
            <w:gridSpan w:val="2"/>
            <w:tcBorders>
              <w:top w:val="single" w:sz="4" w:space="0" w:color="auto"/>
              <w:left w:val="nil"/>
              <w:bottom w:val="single" w:sz="4" w:space="0" w:color="auto"/>
              <w:right w:val="single" w:sz="4" w:space="0" w:color="auto"/>
            </w:tcBorders>
            <w:tcMar>
              <w:top w:w="28" w:type="dxa"/>
              <w:left w:w="57" w:type="dxa"/>
              <w:bottom w:w="28" w:type="dxa"/>
              <w:right w:w="57" w:type="dxa"/>
            </w:tcMar>
            <w:vAlign w:val="center"/>
          </w:tcPr>
          <w:p w:rsidR="00B240E2" w:rsidRPr="00BB0D1A" w:rsidRDefault="00B240E2" w:rsidP="002D36DC">
            <w:pPr>
              <w:overflowPunct w:val="0"/>
              <w:autoSpaceDE w:val="0"/>
              <w:autoSpaceDN w:val="0"/>
              <w:adjustRightInd w:val="0"/>
              <w:jc w:val="center"/>
              <w:textAlignment w:val="baseline"/>
              <w:rPr>
                <w:sz w:val="24"/>
                <w:szCs w:val="24"/>
              </w:rPr>
            </w:pPr>
            <w:r w:rsidRPr="00BB0D1A">
              <w:rPr>
                <w:sz w:val="24"/>
                <w:szCs w:val="24"/>
                <w:lang w:eastAsia="lt-LT"/>
              </w:rPr>
              <w:t>Ribiniai tarifai, eurais</w:t>
            </w:r>
          </w:p>
        </w:tc>
      </w:tr>
      <w:tr w:rsidR="00B240E2" w:rsidRPr="0070045C" w:rsidTr="002D36DC">
        <w:trPr>
          <w:cantSplit/>
        </w:trPr>
        <w:tc>
          <w:tcPr>
            <w:tcW w:w="3034" w:type="dxa"/>
            <w:vMerge/>
            <w:tcBorders>
              <w:top w:val="single" w:sz="4" w:space="0" w:color="auto"/>
              <w:left w:val="single" w:sz="4" w:space="0" w:color="auto"/>
              <w:bottom w:val="single" w:sz="4" w:space="0" w:color="auto"/>
              <w:right w:val="single" w:sz="4" w:space="0" w:color="auto"/>
            </w:tcBorders>
            <w:vAlign w:val="center"/>
          </w:tcPr>
          <w:p w:rsidR="00B240E2" w:rsidRPr="0070045C" w:rsidRDefault="00B240E2" w:rsidP="002D36DC">
            <w:pPr>
              <w:overflowPunct w:val="0"/>
              <w:autoSpaceDE w:val="0"/>
              <w:autoSpaceDN w:val="0"/>
              <w:adjustRightInd w:val="0"/>
              <w:jc w:val="both"/>
              <w:textAlignment w:val="baseline"/>
              <w:rPr>
                <w:sz w:val="24"/>
                <w:szCs w:val="24"/>
              </w:rPr>
            </w:pPr>
          </w:p>
        </w:tc>
        <w:tc>
          <w:tcPr>
            <w:tcW w:w="2552" w:type="dxa"/>
            <w:vMerge w:val="restart"/>
            <w:tcBorders>
              <w:top w:val="nil"/>
              <w:left w:val="nil"/>
              <w:bottom w:val="single" w:sz="4" w:space="0" w:color="auto"/>
              <w:right w:val="single" w:sz="4" w:space="0" w:color="auto"/>
            </w:tcBorders>
            <w:tcMar>
              <w:top w:w="28" w:type="dxa"/>
              <w:left w:w="57" w:type="dxa"/>
              <w:bottom w:w="28" w:type="dxa"/>
              <w:right w:w="57" w:type="dxa"/>
            </w:tcMar>
            <w:vAlign w:val="center"/>
          </w:tcPr>
          <w:p w:rsidR="00B240E2" w:rsidRPr="0070045C" w:rsidRDefault="00B240E2" w:rsidP="002D36DC">
            <w:pPr>
              <w:overflowPunct w:val="0"/>
              <w:autoSpaceDE w:val="0"/>
              <w:autoSpaceDN w:val="0"/>
              <w:adjustRightInd w:val="0"/>
              <w:jc w:val="center"/>
              <w:textAlignment w:val="baseline"/>
              <w:rPr>
                <w:sz w:val="24"/>
                <w:szCs w:val="24"/>
              </w:rPr>
            </w:pPr>
            <w:r>
              <w:rPr>
                <w:sz w:val="24"/>
                <w:szCs w:val="24"/>
              </w:rPr>
              <w:t>vienkartiniai, 10 km</w:t>
            </w:r>
          </w:p>
        </w:tc>
        <w:tc>
          <w:tcPr>
            <w:tcW w:w="4051" w:type="dxa"/>
            <w:tcBorders>
              <w:top w:val="nil"/>
              <w:left w:val="nil"/>
              <w:bottom w:val="single" w:sz="4" w:space="0" w:color="auto"/>
              <w:right w:val="single" w:sz="4" w:space="0" w:color="auto"/>
            </w:tcBorders>
            <w:tcMar>
              <w:top w:w="28" w:type="dxa"/>
              <w:left w:w="57" w:type="dxa"/>
              <w:bottom w:w="28" w:type="dxa"/>
              <w:right w:w="57" w:type="dxa"/>
            </w:tcMar>
            <w:vAlign w:val="center"/>
          </w:tcPr>
          <w:p w:rsidR="00B240E2" w:rsidRPr="0070045C" w:rsidRDefault="00B240E2" w:rsidP="002D36DC">
            <w:pPr>
              <w:overflowPunct w:val="0"/>
              <w:autoSpaceDE w:val="0"/>
              <w:autoSpaceDN w:val="0"/>
              <w:adjustRightInd w:val="0"/>
              <w:jc w:val="center"/>
              <w:textAlignment w:val="baseline"/>
              <w:rPr>
                <w:sz w:val="24"/>
                <w:szCs w:val="24"/>
              </w:rPr>
            </w:pPr>
            <w:r w:rsidRPr="0070045C">
              <w:rPr>
                <w:sz w:val="24"/>
                <w:szCs w:val="24"/>
              </w:rPr>
              <w:t xml:space="preserve">mėnesio tarifas </w:t>
            </w:r>
          </w:p>
        </w:tc>
      </w:tr>
      <w:tr w:rsidR="00B240E2" w:rsidRPr="0070045C" w:rsidTr="002D36DC">
        <w:trPr>
          <w:cantSplit/>
        </w:trPr>
        <w:tc>
          <w:tcPr>
            <w:tcW w:w="3034" w:type="dxa"/>
            <w:vMerge/>
            <w:tcBorders>
              <w:top w:val="single" w:sz="4" w:space="0" w:color="auto"/>
              <w:left w:val="single" w:sz="4" w:space="0" w:color="auto"/>
              <w:bottom w:val="single" w:sz="4" w:space="0" w:color="auto"/>
              <w:right w:val="single" w:sz="4" w:space="0" w:color="auto"/>
            </w:tcBorders>
            <w:vAlign w:val="center"/>
          </w:tcPr>
          <w:p w:rsidR="00B240E2" w:rsidRPr="0070045C" w:rsidRDefault="00B240E2" w:rsidP="002D36DC">
            <w:pPr>
              <w:overflowPunct w:val="0"/>
              <w:autoSpaceDE w:val="0"/>
              <w:autoSpaceDN w:val="0"/>
              <w:adjustRightInd w:val="0"/>
              <w:jc w:val="both"/>
              <w:textAlignment w:val="baseline"/>
              <w:rPr>
                <w:sz w:val="24"/>
                <w:szCs w:val="24"/>
              </w:rPr>
            </w:pPr>
          </w:p>
        </w:tc>
        <w:tc>
          <w:tcPr>
            <w:tcW w:w="2552" w:type="dxa"/>
            <w:vMerge/>
            <w:tcBorders>
              <w:top w:val="nil"/>
              <w:left w:val="nil"/>
              <w:bottom w:val="single" w:sz="4" w:space="0" w:color="auto"/>
              <w:right w:val="single" w:sz="4" w:space="0" w:color="auto"/>
            </w:tcBorders>
            <w:vAlign w:val="center"/>
          </w:tcPr>
          <w:p w:rsidR="00B240E2" w:rsidRPr="0070045C" w:rsidRDefault="00B240E2" w:rsidP="002D36DC">
            <w:pPr>
              <w:overflowPunct w:val="0"/>
              <w:autoSpaceDE w:val="0"/>
              <w:autoSpaceDN w:val="0"/>
              <w:adjustRightInd w:val="0"/>
              <w:jc w:val="both"/>
              <w:textAlignment w:val="baseline"/>
              <w:rPr>
                <w:sz w:val="24"/>
                <w:szCs w:val="24"/>
              </w:rPr>
            </w:pPr>
          </w:p>
        </w:tc>
        <w:tc>
          <w:tcPr>
            <w:tcW w:w="4051" w:type="dxa"/>
            <w:tcBorders>
              <w:top w:val="nil"/>
              <w:left w:val="nil"/>
              <w:bottom w:val="single" w:sz="4" w:space="0" w:color="auto"/>
              <w:right w:val="single" w:sz="4" w:space="0" w:color="auto"/>
            </w:tcBorders>
            <w:tcMar>
              <w:top w:w="28" w:type="dxa"/>
              <w:left w:w="57" w:type="dxa"/>
              <w:bottom w:w="28" w:type="dxa"/>
              <w:right w:w="57" w:type="dxa"/>
            </w:tcMar>
            <w:vAlign w:val="center"/>
          </w:tcPr>
          <w:p w:rsidR="00B240E2" w:rsidRPr="0070045C" w:rsidRDefault="00B240E2" w:rsidP="002D36DC">
            <w:pPr>
              <w:overflowPunct w:val="0"/>
              <w:autoSpaceDE w:val="0"/>
              <w:autoSpaceDN w:val="0"/>
              <w:adjustRightInd w:val="0"/>
              <w:jc w:val="center"/>
              <w:textAlignment w:val="baseline"/>
              <w:rPr>
                <w:sz w:val="24"/>
                <w:szCs w:val="24"/>
              </w:rPr>
            </w:pPr>
            <w:r w:rsidRPr="0070045C">
              <w:rPr>
                <w:sz w:val="24"/>
                <w:szCs w:val="24"/>
              </w:rPr>
              <w:t>savivaldybės teritorijoje</w:t>
            </w:r>
          </w:p>
        </w:tc>
      </w:tr>
      <w:tr w:rsidR="008E5DF3" w:rsidRPr="0070045C" w:rsidTr="002D36DC">
        <w:trPr>
          <w:trHeight w:val="256"/>
        </w:trPr>
        <w:tc>
          <w:tcPr>
            <w:tcW w:w="3034" w:type="dxa"/>
            <w:tcBorders>
              <w:top w:val="nil"/>
              <w:left w:val="single" w:sz="4" w:space="0" w:color="auto"/>
              <w:bottom w:val="single" w:sz="4" w:space="0" w:color="auto"/>
              <w:right w:val="single" w:sz="4" w:space="0" w:color="auto"/>
            </w:tcBorders>
            <w:tcMar>
              <w:top w:w="28" w:type="dxa"/>
              <w:left w:w="57" w:type="dxa"/>
              <w:bottom w:w="28" w:type="dxa"/>
              <w:right w:w="57" w:type="dxa"/>
            </w:tcMar>
          </w:tcPr>
          <w:p w:rsidR="008E5DF3" w:rsidRPr="0070045C" w:rsidRDefault="008E5DF3" w:rsidP="002D36DC">
            <w:pPr>
              <w:overflowPunct w:val="0"/>
              <w:autoSpaceDE w:val="0"/>
              <w:autoSpaceDN w:val="0"/>
              <w:adjustRightInd w:val="0"/>
              <w:jc w:val="center"/>
              <w:textAlignment w:val="baseline"/>
              <w:rPr>
                <w:b/>
                <w:sz w:val="24"/>
                <w:szCs w:val="24"/>
              </w:rPr>
            </w:pPr>
            <w:r w:rsidRPr="0070045C">
              <w:rPr>
                <w:sz w:val="24"/>
                <w:szCs w:val="24"/>
              </w:rPr>
              <w:t>0,6–1</w:t>
            </w:r>
          </w:p>
        </w:tc>
        <w:tc>
          <w:tcPr>
            <w:tcW w:w="2552" w:type="dxa"/>
            <w:tcBorders>
              <w:top w:val="nil"/>
              <w:left w:val="nil"/>
              <w:bottom w:val="single" w:sz="4" w:space="0" w:color="auto"/>
              <w:right w:val="single" w:sz="4" w:space="0" w:color="auto"/>
            </w:tcBorders>
            <w:tcMar>
              <w:top w:w="28" w:type="dxa"/>
              <w:left w:w="57" w:type="dxa"/>
              <w:bottom w:w="28" w:type="dxa"/>
              <w:right w:w="57" w:type="dxa"/>
            </w:tcMar>
          </w:tcPr>
          <w:p w:rsidR="008E5DF3" w:rsidRPr="008E5DF3" w:rsidRDefault="008E5DF3" w:rsidP="002D36DC">
            <w:pPr>
              <w:jc w:val="center"/>
              <w:rPr>
                <w:sz w:val="24"/>
                <w:szCs w:val="24"/>
                <w:lang w:eastAsia="lt-LT"/>
              </w:rPr>
            </w:pPr>
            <w:r w:rsidRPr="008E5DF3">
              <w:rPr>
                <w:sz w:val="24"/>
                <w:szCs w:val="24"/>
                <w:lang w:eastAsia="lt-LT"/>
              </w:rPr>
              <w:t>0,23–0,32</w:t>
            </w:r>
          </w:p>
        </w:tc>
        <w:tc>
          <w:tcPr>
            <w:tcW w:w="4051" w:type="dxa"/>
            <w:tcBorders>
              <w:top w:val="nil"/>
              <w:left w:val="nil"/>
              <w:bottom w:val="single" w:sz="4" w:space="0" w:color="auto"/>
              <w:right w:val="single" w:sz="4" w:space="0" w:color="auto"/>
            </w:tcBorders>
            <w:tcMar>
              <w:top w:w="28" w:type="dxa"/>
              <w:left w:w="57" w:type="dxa"/>
              <w:bottom w:w="28" w:type="dxa"/>
              <w:right w:w="57" w:type="dxa"/>
            </w:tcMar>
          </w:tcPr>
          <w:p w:rsidR="008E5DF3" w:rsidRPr="008E5DF3" w:rsidRDefault="008E5DF3" w:rsidP="002D36DC">
            <w:pPr>
              <w:jc w:val="center"/>
              <w:rPr>
                <w:sz w:val="24"/>
                <w:szCs w:val="24"/>
                <w:lang w:eastAsia="lt-LT"/>
              </w:rPr>
            </w:pPr>
            <w:r w:rsidRPr="008E5DF3">
              <w:rPr>
                <w:sz w:val="24"/>
                <w:szCs w:val="24"/>
                <w:lang w:eastAsia="lt-LT"/>
              </w:rPr>
              <w:t>16–22</w:t>
            </w:r>
          </w:p>
        </w:tc>
      </w:tr>
      <w:tr w:rsidR="008E5DF3" w:rsidRPr="0070045C" w:rsidTr="002D36DC">
        <w:tc>
          <w:tcPr>
            <w:tcW w:w="3034" w:type="dxa"/>
            <w:tcBorders>
              <w:top w:val="nil"/>
              <w:left w:val="single" w:sz="4" w:space="0" w:color="auto"/>
              <w:bottom w:val="single" w:sz="4" w:space="0" w:color="auto"/>
              <w:right w:val="single" w:sz="4" w:space="0" w:color="auto"/>
            </w:tcBorders>
            <w:tcMar>
              <w:top w:w="28" w:type="dxa"/>
              <w:left w:w="57" w:type="dxa"/>
              <w:bottom w:w="28" w:type="dxa"/>
              <w:right w:w="57" w:type="dxa"/>
            </w:tcMar>
          </w:tcPr>
          <w:p w:rsidR="008E5DF3" w:rsidRPr="0070045C" w:rsidRDefault="008E5DF3" w:rsidP="002D36DC">
            <w:pPr>
              <w:overflowPunct w:val="0"/>
              <w:autoSpaceDE w:val="0"/>
              <w:autoSpaceDN w:val="0"/>
              <w:adjustRightInd w:val="0"/>
              <w:jc w:val="center"/>
              <w:textAlignment w:val="baseline"/>
              <w:rPr>
                <w:sz w:val="24"/>
                <w:szCs w:val="24"/>
              </w:rPr>
            </w:pPr>
            <w:r w:rsidRPr="0070045C">
              <w:rPr>
                <w:sz w:val="24"/>
                <w:szCs w:val="24"/>
              </w:rPr>
              <w:t>1,1–1,5</w:t>
            </w:r>
          </w:p>
        </w:tc>
        <w:tc>
          <w:tcPr>
            <w:tcW w:w="2552" w:type="dxa"/>
            <w:tcBorders>
              <w:top w:val="nil"/>
              <w:left w:val="nil"/>
              <w:bottom w:val="single" w:sz="4" w:space="0" w:color="auto"/>
              <w:right w:val="single" w:sz="4" w:space="0" w:color="auto"/>
            </w:tcBorders>
            <w:tcMar>
              <w:top w:w="28" w:type="dxa"/>
              <w:left w:w="57" w:type="dxa"/>
              <w:bottom w:w="28" w:type="dxa"/>
              <w:right w:w="57" w:type="dxa"/>
            </w:tcMar>
          </w:tcPr>
          <w:p w:rsidR="008E5DF3" w:rsidRPr="008E5DF3" w:rsidRDefault="008E5DF3" w:rsidP="002D36DC">
            <w:pPr>
              <w:jc w:val="center"/>
              <w:rPr>
                <w:sz w:val="24"/>
                <w:szCs w:val="24"/>
                <w:lang w:eastAsia="lt-LT"/>
              </w:rPr>
            </w:pPr>
            <w:r w:rsidRPr="008E5DF3">
              <w:rPr>
                <w:sz w:val="24"/>
                <w:szCs w:val="24"/>
                <w:lang w:eastAsia="lt-LT"/>
              </w:rPr>
              <w:t>0,46–0,51</w:t>
            </w:r>
          </w:p>
        </w:tc>
        <w:tc>
          <w:tcPr>
            <w:tcW w:w="4051" w:type="dxa"/>
            <w:tcBorders>
              <w:top w:val="nil"/>
              <w:left w:val="nil"/>
              <w:bottom w:val="single" w:sz="4" w:space="0" w:color="auto"/>
              <w:right w:val="single" w:sz="4" w:space="0" w:color="auto"/>
            </w:tcBorders>
            <w:tcMar>
              <w:top w:w="28" w:type="dxa"/>
              <w:left w:w="57" w:type="dxa"/>
              <w:bottom w:w="28" w:type="dxa"/>
              <w:right w:w="57" w:type="dxa"/>
            </w:tcMar>
          </w:tcPr>
          <w:p w:rsidR="008E5DF3" w:rsidRPr="008E5DF3" w:rsidRDefault="008E5DF3" w:rsidP="002D36DC">
            <w:pPr>
              <w:jc w:val="center"/>
              <w:rPr>
                <w:sz w:val="24"/>
                <w:szCs w:val="24"/>
                <w:lang w:eastAsia="lt-LT"/>
              </w:rPr>
            </w:pPr>
            <w:r w:rsidRPr="008E5DF3">
              <w:rPr>
                <w:sz w:val="24"/>
                <w:szCs w:val="24"/>
                <w:lang w:eastAsia="lt-LT"/>
              </w:rPr>
              <w:t>32–35</w:t>
            </w:r>
          </w:p>
        </w:tc>
      </w:tr>
      <w:tr w:rsidR="008E5DF3" w:rsidRPr="0070045C" w:rsidTr="002D36DC">
        <w:tc>
          <w:tcPr>
            <w:tcW w:w="3034" w:type="dxa"/>
            <w:tcBorders>
              <w:top w:val="nil"/>
              <w:left w:val="single" w:sz="4" w:space="0" w:color="auto"/>
              <w:bottom w:val="single" w:sz="4" w:space="0" w:color="auto"/>
              <w:right w:val="single" w:sz="4" w:space="0" w:color="auto"/>
            </w:tcBorders>
            <w:tcMar>
              <w:top w:w="28" w:type="dxa"/>
              <w:left w:w="57" w:type="dxa"/>
              <w:bottom w:w="28" w:type="dxa"/>
              <w:right w:w="57" w:type="dxa"/>
            </w:tcMar>
          </w:tcPr>
          <w:p w:rsidR="008E5DF3" w:rsidRPr="0070045C" w:rsidRDefault="008E5DF3" w:rsidP="002D36DC">
            <w:pPr>
              <w:overflowPunct w:val="0"/>
              <w:autoSpaceDE w:val="0"/>
              <w:autoSpaceDN w:val="0"/>
              <w:adjustRightInd w:val="0"/>
              <w:jc w:val="center"/>
              <w:textAlignment w:val="baseline"/>
              <w:rPr>
                <w:sz w:val="24"/>
                <w:szCs w:val="24"/>
              </w:rPr>
            </w:pPr>
            <w:r w:rsidRPr="0070045C">
              <w:rPr>
                <w:sz w:val="24"/>
                <w:szCs w:val="24"/>
              </w:rPr>
              <w:t>1,6–2</w:t>
            </w:r>
          </w:p>
        </w:tc>
        <w:tc>
          <w:tcPr>
            <w:tcW w:w="2552" w:type="dxa"/>
            <w:tcBorders>
              <w:top w:val="nil"/>
              <w:left w:val="nil"/>
              <w:bottom w:val="single" w:sz="4" w:space="0" w:color="auto"/>
              <w:right w:val="single" w:sz="4" w:space="0" w:color="auto"/>
            </w:tcBorders>
            <w:tcMar>
              <w:top w:w="28" w:type="dxa"/>
              <w:left w:w="57" w:type="dxa"/>
              <w:bottom w:w="28" w:type="dxa"/>
              <w:right w:w="57" w:type="dxa"/>
            </w:tcMar>
          </w:tcPr>
          <w:p w:rsidR="008E5DF3" w:rsidRPr="008E5DF3" w:rsidRDefault="008E5DF3" w:rsidP="002D36DC">
            <w:pPr>
              <w:jc w:val="center"/>
              <w:rPr>
                <w:sz w:val="24"/>
                <w:szCs w:val="24"/>
                <w:lang w:eastAsia="lt-LT"/>
              </w:rPr>
            </w:pPr>
            <w:r w:rsidRPr="008E5DF3">
              <w:rPr>
                <w:sz w:val="24"/>
                <w:szCs w:val="24"/>
                <w:lang w:eastAsia="lt-LT"/>
              </w:rPr>
              <w:t>0,64–0,74</w:t>
            </w:r>
          </w:p>
        </w:tc>
        <w:tc>
          <w:tcPr>
            <w:tcW w:w="4051" w:type="dxa"/>
            <w:tcBorders>
              <w:top w:val="nil"/>
              <w:left w:val="nil"/>
              <w:bottom w:val="single" w:sz="4" w:space="0" w:color="auto"/>
              <w:right w:val="single" w:sz="4" w:space="0" w:color="auto"/>
            </w:tcBorders>
            <w:tcMar>
              <w:top w:w="28" w:type="dxa"/>
              <w:left w:w="57" w:type="dxa"/>
              <w:bottom w:w="28" w:type="dxa"/>
              <w:right w:w="57" w:type="dxa"/>
            </w:tcMar>
          </w:tcPr>
          <w:p w:rsidR="008E5DF3" w:rsidRPr="008E5DF3" w:rsidRDefault="008E5DF3" w:rsidP="002D36DC">
            <w:pPr>
              <w:jc w:val="center"/>
              <w:rPr>
                <w:sz w:val="24"/>
                <w:szCs w:val="24"/>
                <w:lang w:eastAsia="lt-LT"/>
              </w:rPr>
            </w:pPr>
            <w:r w:rsidRPr="008E5DF3">
              <w:rPr>
                <w:sz w:val="24"/>
                <w:szCs w:val="24"/>
                <w:lang w:eastAsia="lt-LT"/>
              </w:rPr>
              <w:t>45–51</w:t>
            </w:r>
          </w:p>
        </w:tc>
      </w:tr>
      <w:tr w:rsidR="008E5DF3" w:rsidRPr="0070045C" w:rsidTr="002D36DC">
        <w:tc>
          <w:tcPr>
            <w:tcW w:w="3034" w:type="dxa"/>
            <w:tcBorders>
              <w:top w:val="nil"/>
              <w:left w:val="single" w:sz="4" w:space="0" w:color="auto"/>
              <w:bottom w:val="single" w:sz="4" w:space="0" w:color="auto"/>
              <w:right w:val="single" w:sz="4" w:space="0" w:color="auto"/>
            </w:tcBorders>
            <w:tcMar>
              <w:top w:w="28" w:type="dxa"/>
              <w:left w:w="57" w:type="dxa"/>
              <w:bottom w:w="28" w:type="dxa"/>
              <w:right w:w="57" w:type="dxa"/>
            </w:tcMar>
          </w:tcPr>
          <w:p w:rsidR="008E5DF3" w:rsidRPr="0070045C" w:rsidRDefault="008E5DF3" w:rsidP="002D36DC">
            <w:pPr>
              <w:tabs>
                <w:tab w:val="center" w:pos="4819"/>
                <w:tab w:val="right" w:pos="9638"/>
              </w:tabs>
              <w:overflowPunct w:val="0"/>
              <w:autoSpaceDE w:val="0"/>
              <w:autoSpaceDN w:val="0"/>
              <w:adjustRightInd w:val="0"/>
              <w:jc w:val="center"/>
              <w:textAlignment w:val="baseline"/>
              <w:rPr>
                <w:sz w:val="24"/>
                <w:szCs w:val="24"/>
              </w:rPr>
            </w:pPr>
            <w:r w:rsidRPr="0070045C">
              <w:rPr>
                <w:sz w:val="24"/>
                <w:szCs w:val="24"/>
              </w:rPr>
              <w:t>2,1–3</w:t>
            </w:r>
          </w:p>
        </w:tc>
        <w:tc>
          <w:tcPr>
            <w:tcW w:w="2552" w:type="dxa"/>
            <w:tcBorders>
              <w:top w:val="nil"/>
              <w:left w:val="nil"/>
              <w:bottom w:val="single" w:sz="4" w:space="0" w:color="auto"/>
              <w:right w:val="single" w:sz="4" w:space="0" w:color="auto"/>
            </w:tcBorders>
            <w:tcMar>
              <w:top w:w="28" w:type="dxa"/>
              <w:left w:w="57" w:type="dxa"/>
              <w:bottom w:w="28" w:type="dxa"/>
              <w:right w:w="57" w:type="dxa"/>
            </w:tcMar>
          </w:tcPr>
          <w:p w:rsidR="008E5DF3" w:rsidRPr="008E5DF3" w:rsidRDefault="008E5DF3" w:rsidP="002D36DC">
            <w:pPr>
              <w:jc w:val="center"/>
              <w:rPr>
                <w:sz w:val="24"/>
                <w:szCs w:val="24"/>
                <w:lang w:eastAsia="lt-LT"/>
              </w:rPr>
            </w:pPr>
            <w:r w:rsidRPr="008E5DF3">
              <w:rPr>
                <w:sz w:val="24"/>
                <w:szCs w:val="24"/>
                <w:lang w:eastAsia="lt-LT"/>
              </w:rPr>
              <w:t>1,15–1,28</w:t>
            </w:r>
          </w:p>
        </w:tc>
        <w:tc>
          <w:tcPr>
            <w:tcW w:w="4051" w:type="dxa"/>
            <w:tcBorders>
              <w:top w:val="nil"/>
              <w:left w:val="nil"/>
              <w:bottom w:val="single" w:sz="4" w:space="0" w:color="auto"/>
              <w:right w:val="single" w:sz="4" w:space="0" w:color="auto"/>
            </w:tcBorders>
            <w:tcMar>
              <w:top w:w="28" w:type="dxa"/>
              <w:left w:w="57" w:type="dxa"/>
              <w:bottom w:w="28" w:type="dxa"/>
              <w:right w:w="57" w:type="dxa"/>
            </w:tcMar>
          </w:tcPr>
          <w:p w:rsidR="008E5DF3" w:rsidRPr="008E5DF3" w:rsidRDefault="008E5DF3" w:rsidP="002D36DC">
            <w:pPr>
              <w:jc w:val="center"/>
              <w:rPr>
                <w:sz w:val="24"/>
                <w:szCs w:val="24"/>
                <w:lang w:eastAsia="lt-LT"/>
              </w:rPr>
            </w:pPr>
            <w:r w:rsidRPr="008E5DF3">
              <w:rPr>
                <w:sz w:val="24"/>
                <w:szCs w:val="24"/>
                <w:lang w:eastAsia="lt-LT"/>
              </w:rPr>
              <w:t>81–90</w:t>
            </w:r>
          </w:p>
        </w:tc>
      </w:tr>
      <w:tr w:rsidR="008E5DF3" w:rsidRPr="0070045C" w:rsidTr="002D36DC">
        <w:tc>
          <w:tcPr>
            <w:tcW w:w="3034" w:type="dxa"/>
            <w:tcBorders>
              <w:top w:val="nil"/>
              <w:left w:val="single" w:sz="4" w:space="0" w:color="auto"/>
              <w:bottom w:val="single" w:sz="4" w:space="0" w:color="auto"/>
              <w:right w:val="single" w:sz="4" w:space="0" w:color="auto"/>
            </w:tcBorders>
            <w:tcMar>
              <w:top w:w="28" w:type="dxa"/>
              <w:left w:w="57" w:type="dxa"/>
              <w:bottom w:w="28" w:type="dxa"/>
              <w:right w:w="57" w:type="dxa"/>
            </w:tcMar>
          </w:tcPr>
          <w:p w:rsidR="008E5DF3" w:rsidRPr="0070045C" w:rsidRDefault="008E5DF3" w:rsidP="002D36DC">
            <w:pPr>
              <w:overflowPunct w:val="0"/>
              <w:autoSpaceDE w:val="0"/>
              <w:autoSpaceDN w:val="0"/>
              <w:adjustRightInd w:val="0"/>
              <w:jc w:val="center"/>
              <w:textAlignment w:val="baseline"/>
              <w:rPr>
                <w:sz w:val="24"/>
                <w:szCs w:val="24"/>
              </w:rPr>
            </w:pPr>
            <w:r w:rsidRPr="0070045C">
              <w:rPr>
                <w:sz w:val="24"/>
                <w:szCs w:val="24"/>
              </w:rPr>
              <w:t>3,1–4</w:t>
            </w:r>
          </w:p>
        </w:tc>
        <w:tc>
          <w:tcPr>
            <w:tcW w:w="2552" w:type="dxa"/>
            <w:tcBorders>
              <w:top w:val="nil"/>
              <w:left w:val="nil"/>
              <w:bottom w:val="single" w:sz="4" w:space="0" w:color="auto"/>
              <w:right w:val="single" w:sz="4" w:space="0" w:color="auto"/>
            </w:tcBorders>
            <w:tcMar>
              <w:top w:w="28" w:type="dxa"/>
              <w:left w:w="57" w:type="dxa"/>
              <w:bottom w:w="28" w:type="dxa"/>
              <w:right w:w="57" w:type="dxa"/>
            </w:tcMar>
          </w:tcPr>
          <w:p w:rsidR="008E5DF3" w:rsidRPr="008E5DF3" w:rsidRDefault="008E5DF3" w:rsidP="002D36DC">
            <w:pPr>
              <w:jc w:val="center"/>
              <w:rPr>
                <w:sz w:val="24"/>
                <w:szCs w:val="24"/>
                <w:lang w:eastAsia="lt-LT"/>
              </w:rPr>
            </w:pPr>
            <w:r w:rsidRPr="008E5DF3">
              <w:rPr>
                <w:sz w:val="24"/>
                <w:szCs w:val="24"/>
                <w:lang w:eastAsia="lt-LT"/>
              </w:rPr>
              <w:t>1,85–2,08</w:t>
            </w:r>
          </w:p>
        </w:tc>
        <w:tc>
          <w:tcPr>
            <w:tcW w:w="4051" w:type="dxa"/>
            <w:tcBorders>
              <w:top w:val="nil"/>
              <w:left w:val="nil"/>
              <w:bottom w:val="single" w:sz="4" w:space="0" w:color="auto"/>
              <w:right w:val="single" w:sz="4" w:space="0" w:color="auto"/>
            </w:tcBorders>
            <w:tcMar>
              <w:top w:w="28" w:type="dxa"/>
              <w:left w:w="57" w:type="dxa"/>
              <w:bottom w:w="28" w:type="dxa"/>
              <w:right w:w="57" w:type="dxa"/>
            </w:tcMar>
          </w:tcPr>
          <w:p w:rsidR="008E5DF3" w:rsidRPr="008E5DF3" w:rsidRDefault="008E5DF3" w:rsidP="002D36DC">
            <w:pPr>
              <w:jc w:val="center"/>
              <w:rPr>
                <w:sz w:val="24"/>
                <w:szCs w:val="24"/>
                <w:lang w:eastAsia="lt-LT"/>
              </w:rPr>
            </w:pPr>
            <w:r w:rsidRPr="008E5DF3">
              <w:rPr>
                <w:sz w:val="24"/>
                <w:szCs w:val="24"/>
                <w:lang w:eastAsia="lt-LT"/>
              </w:rPr>
              <w:t>129–145</w:t>
            </w:r>
          </w:p>
        </w:tc>
      </w:tr>
      <w:tr w:rsidR="008E5DF3" w:rsidRPr="0070045C" w:rsidTr="002D36DC">
        <w:tc>
          <w:tcPr>
            <w:tcW w:w="3034" w:type="dxa"/>
            <w:tcBorders>
              <w:top w:val="nil"/>
              <w:left w:val="single" w:sz="4" w:space="0" w:color="auto"/>
              <w:bottom w:val="single" w:sz="4" w:space="0" w:color="auto"/>
              <w:right w:val="single" w:sz="4" w:space="0" w:color="auto"/>
            </w:tcBorders>
            <w:tcMar>
              <w:top w:w="28" w:type="dxa"/>
              <w:left w:w="57" w:type="dxa"/>
              <w:bottom w:w="28" w:type="dxa"/>
              <w:right w:w="57" w:type="dxa"/>
            </w:tcMar>
          </w:tcPr>
          <w:p w:rsidR="008E5DF3" w:rsidRPr="0070045C" w:rsidRDefault="008E5DF3" w:rsidP="002D36DC">
            <w:pPr>
              <w:overflowPunct w:val="0"/>
              <w:autoSpaceDE w:val="0"/>
              <w:autoSpaceDN w:val="0"/>
              <w:adjustRightInd w:val="0"/>
              <w:jc w:val="center"/>
              <w:textAlignment w:val="baseline"/>
              <w:rPr>
                <w:sz w:val="24"/>
                <w:szCs w:val="24"/>
              </w:rPr>
            </w:pPr>
            <w:r w:rsidRPr="0070045C">
              <w:rPr>
                <w:sz w:val="24"/>
                <w:szCs w:val="24"/>
              </w:rPr>
              <w:t>4,1–5</w:t>
            </w:r>
          </w:p>
        </w:tc>
        <w:tc>
          <w:tcPr>
            <w:tcW w:w="2552" w:type="dxa"/>
            <w:tcBorders>
              <w:top w:val="nil"/>
              <w:left w:val="nil"/>
              <w:bottom w:val="single" w:sz="4" w:space="0" w:color="auto"/>
              <w:right w:val="single" w:sz="4" w:space="0" w:color="auto"/>
            </w:tcBorders>
            <w:tcMar>
              <w:top w:w="28" w:type="dxa"/>
              <w:left w:w="57" w:type="dxa"/>
              <w:bottom w:w="28" w:type="dxa"/>
              <w:right w:w="57" w:type="dxa"/>
            </w:tcMar>
          </w:tcPr>
          <w:p w:rsidR="008E5DF3" w:rsidRPr="008E5DF3" w:rsidRDefault="008E5DF3" w:rsidP="002D36DC">
            <w:pPr>
              <w:jc w:val="center"/>
              <w:rPr>
                <w:sz w:val="24"/>
                <w:szCs w:val="24"/>
                <w:lang w:eastAsia="lt-LT"/>
              </w:rPr>
            </w:pPr>
            <w:r w:rsidRPr="008E5DF3">
              <w:rPr>
                <w:sz w:val="24"/>
                <w:szCs w:val="24"/>
                <w:lang w:eastAsia="lt-LT"/>
              </w:rPr>
              <w:t>2,54–3,01</w:t>
            </w:r>
          </w:p>
        </w:tc>
        <w:tc>
          <w:tcPr>
            <w:tcW w:w="4051" w:type="dxa"/>
            <w:tcBorders>
              <w:top w:val="nil"/>
              <w:left w:val="nil"/>
              <w:bottom w:val="single" w:sz="4" w:space="0" w:color="auto"/>
              <w:right w:val="single" w:sz="4" w:space="0" w:color="auto"/>
            </w:tcBorders>
            <w:tcMar>
              <w:top w:w="28" w:type="dxa"/>
              <w:left w:w="57" w:type="dxa"/>
              <w:bottom w:w="28" w:type="dxa"/>
              <w:right w:w="57" w:type="dxa"/>
            </w:tcMar>
          </w:tcPr>
          <w:p w:rsidR="008E5DF3" w:rsidRPr="008E5DF3" w:rsidRDefault="008E5DF3" w:rsidP="002D36DC">
            <w:pPr>
              <w:jc w:val="center"/>
              <w:rPr>
                <w:sz w:val="24"/>
                <w:szCs w:val="24"/>
                <w:lang w:eastAsia="lt-LT"/>
              </w:rPr>
            </w:pPr>
            <w:r w:rsidRPr="008E5DF3">
              <w:rPr>
                <w:sz w:val="24"/>
                <w:szCs w:val="24"/>
                <w:lang w:eastAsia="lt-LT"/>
              </w:rPr>
              <w:t>–</w:t>
            </w:r>
          </w:p>
        </w:tc>
      </w:tr>
      <w:tr w:rsidR="008E5DF3" w:rsidRPr="0070045C" w:rsidTr="002D36DC">
        <w:tc>
          <w:tcPr>
            <w:tcW w:w="3034" w:type="dxa"/>
            <w:tcBorders>
              <w:top w:val="nil"/>
              <w:left w:val="single" w:sz="4" w:space="0" w:color="auto"/>
              <w:bottom w:val="single" w:sz="4" w:space="0" w:color="auto"/>
              <w:right w:val="single" w:sz="4" w:space="0" w:color="auto"/>
            </w:tcBorders>
            <w:tcMar>
              <w:top w:w="28" w:type="dxa"/>
              <w:left w:w="57" w:type="dxa"/>
              <w:bottom w:w="28" w:type="dxa"/>
              <w:right w:w="57" w:type="dxa"/>
            </w:tcMar>
          </w:tcPr>
          <w:p w:rsidR="008E5DF3" w:rsidRPr="0070045C" w:rsidRDefault="008E5DF3" w:rsidP="002D36DC">
            <w:pPr>
              <w:overflowPunct w:val="0"/>
              <w:autoSpaceDE w:val="0"/>
              <w:autoSpaceDN w:val="0"/>
              <w:adjustRightInd w:val="0"/>
              <w:jc w:val="center"/>
              <w:textAlignment w:val="baseline"/>
              <w:rPr>
                <w:sz w:val="24"/>
                <w:szCs w:val="24"/>
              </w:rPr>
            </w:pPr>
            <w:r w:rsidRPr="0070045C">
              <w:rPr>
                <w:sz w:val="24"/>
                <w:szCs w:val="24"/>
              </w:rPr>
              <w:t>5,1–6</w:t>
            </w:r>
          </w:p>
        </w:tc>
        <w:tc>
          <w:tcPr>
            <w:tcW w:w="2552" w:type="dxa"/>
            <w:tcBorders>
              <w:top w:val="nil"/>
              <w:left w:val="nil"/>
              <w:bottom w:val="single" w:sz="4" w:space="0" w:color="auto"/>
              <w:right w:val="single" w:sz="4" w:space="0" w:color="auto"/>
            </w:tcBorders>
            <w:tcMar>
              <w:top w:w="28" w:type="dxa"/>
              <w:left w:w="57" w:type="dxa"/>
              <w:bottom w:w="28" w:type="dxa"/>
              <w:right w:w="57" w:type="dxa"/>
            </w:tcMar>
          </w:tcPr>
          <w:p w:rsidR="008E5DF3" w:rsidRPr="008E5DF3" w:rsidRDefault="008E5DF3" w:rsidP="002D36DC">
            <w:pPr>
              <w:jc w:val="center"/>
              <w:rPr>
                <w:sz w:val="24"/>
                <w:szCs w:val="24"/>
                <w:lang w:eastAsia="lt-LT"/>
              </w:rPr>
            </w:pPr>
            <w:r w:rsidRPr="008E5DF3">
              <w:rPr>
                <w:sz w:val="24"/>
                <w:szCs w:val="24"/>
                <w:lang w:eastAsia="lt-LT"/>
              </w:rPr>
              <w:t>3,24–3,70</w:t>
            </w:r>
          </w:p>
        </w:tc>
        <w:tc>
          <w:tcPr>
            <w:tcW w:w="4051" w:type="dxa"/>
            <w:tcBorders>
              <w:top w:val="nil"/>
              <w:left w:val="nil"/>
              <w:bottom w:val="single" w:sz="4" w:space="0" w:color="auto"/>
              <w:right w:val="single" w:sz="4" w:space="0" w:color="auto"/>
            </w:tcBorders>
            <w:tcMar>
              <w:top w:w="28" w:type="dxa"/>
              <w:left w:w="57" w:type="dxa"/>
              <w:bottom w:w="28" w:type="dxa"/>
              <w:right w:w="57" w:type="dxa"/>
            </w:tcMar>
          </w:tcPr>
          <w:p w:rsidR="008E5DF3" w:rsidRPr="008E5DF3" w:rsidRDefault="008E5DF3" w:rsidP="002D36DC">
            <w:pPr>
              <w:jc w:val="center"/>
              <w:rPr>
                <w:sz w:val="24"/>
                <w:szCs w:val="24"/>
                <w:lang w:eastAsia="lt-LT"/>
              </w:rPr>
            </w:pPr>
            <w:r w:rsidRPr="008E5DF3">
              <w:rPr>
                <w:sz w:val="24"/>
                <w:szCs w:val="24"/>
                <w:lang w:eastAsia="lt-LT"/>
              </w:rPr>
              <w:t>–</w:t>
            </w:r>
          </w:p>
        </w:tc>
      </w:tr>
      <w:tr w:rsidR="008E5DF3" w:rsidRPr="0070045C" w:rsidTr="002D36DC">
        <w:tc>
          <w:tcPr>
            <w:tcW w:w="3034" w:type="dxa"/>
            <w:tcBorders>
              <w:top w:val="nil"/>
              <w:left w:val="single" w:sz="4" w:space="0" w:color="auto"/>
              <w:bottom w:val="single" w:sz="4" w:space="0" w:color="auto"/>
              <w:right w:val="single" w:sz="4" w:space="0" w:color="auto"/>
            </w:tcBorders>
            <w:tcMar>
              <w:top w:w="28" w:type="dxa"/>
              <w:left w:w="57" w:type="dxa"/>
              <w:bottom w:w="28" w:type="dxa"/>
              <w:right w:w="57" w:type="dxa"/>
            </w:tcMar>
          </w:tcPr>
          <w:p w:rsidR="008E5DF3" w:rsidRPr="0070045C" w:rsidRDefault="008E5DF3" w:rsidP="002D36DC">
            <w:pPr>
              <w:overflowPunct w:val="0"/>
              <w:autoSpaceDE w:val="0"/>
              <w:autoSpaceDN w:val="0"/>
              <w:adjustRightInd w:val="0"/>
              <w:jc w:val="center"/>
              <w:textAlignment w:val="baseline"/>
              <w:rPr>
                <w:sz w:val="24"/>
                <w:szCs w:val="24"/>
              </w:rPr>
            </w:pPr>
            <w:r w:rsidRPr="0070045C">
              <w:rPr>
                <w:sz w:val="24"/>
                <w:szCs w:val="24"/>
              </w:rPr>
              <w:t>6,1–7</w:t>
            </w:r>
          </w:p>
        </w:tc>
        <w:tc>
          <w:tcPr>
            <w:tcW w:w="2552" w:type="dxa"/>
            <w:tcBorders>
              <w:top w:val="nil"/>
              <w:left w:val="nil"/>
              <w:bottom w:val="single" w:sz="4" w:space="0" w:color="auto"/>
              <w:right w:val="single" w:sz="4" w:space="0" w:color="auto"/>
            </w:tcBorders>
            <w:tcMar>
              <w:top w:w="28" w:type="dxa"/>
              <w:left w:w="57" w:type="dxa"/>
              <w:bottom w:w="28" w:type="dxa"/>
              <w:right w:w="57" w:type="dxa"/>
            </w:tcMar>
          </w:tcPr>
          <w:p w:rsidR="008E5DF3" w:rsidRPr="008E5DF3" w:rsidRDefault="008E5DF3" w:rsidP="002D36DC">
            <w:pPr>
              <w:jc w:val="center"/>
              <w:rPr>
                <w:sz w:val="24"/>
                <w:szCs w:val="24"/>
                <w:lang w:eastAsia="lt-LT"/>
              </w:rPr>
            </w:pPr>
            <w:r w:rsidRPr="008E5DF3">
              <w:rPr>
                <w:sz w:val="24"/>
                <w:szCs w:val="24"/>
                <w:lang w:eastAsia="lt-LT"/>
              </w:rPr>
              <w:t>3,93–4,40</w:t>
            </w:r>
          </w:p>
        </w:tc>
        <w:tc>
          <w:tcPr>
            <w:tcW w:w="4051" w:type="dxa"/>
            <w:tcBorders>
              <w:top w:val="nil"/>
              <w:left w:val="nil"/>
              <w:bottom w:val="single" w:sz="4" w:space="0" w:color="auto"/>
              <w:right w:val="single" w:sz="4" w:space="0" w:color="auto"/>
            </w:tcBorders>
            <w:tcMar>
              <w:top w:w="28" w:type="dxa"/>
              <w:left w:w="57" w:type="dxa"/>
              <w:bottom w:w="28" w:type="dxa"/>
              <w:right w:w="57" w:type="dxa"/>
            </w:tcMar>
          </w:tcPr>
          <w:p w:rsidR="008E5DF3" w:rsidRPr="008E5DF3" w:rsidRDefault="008E5DF3" w:rsidP="002D36DC">
            <w:pPr>
              <w:jc w:val="center"/>
              <w:rPr>
                <w:sz w:val="24"/>
                <w:szCs w:val="24"/>
                <w:lang w:eastAsia="lt-LT"/>
              </w:rPr>
            </w:pPr>
            <w:r w:rsidRPr="008E5DF3">
              <w:rPr>
                <w:sz w:val="24"/>
                <w:szCs w:val="24"/>
                <w:lang w:eastAsia="lt-LT"/>
              </w:rPr>
              <w:t>–</w:t>
            </w:r>
          </w:p>
        </w:tc>
      </w:tr>
      <w:tr w:rsidR="008E5DF3" w:rsidRPr="0070045C" w:rsidTr="002D36DC">
        <w:tc>
          <w:tcPr>
            <w:tcW w:w="3034" w:type="dxa"/>
            <w:tcBorders>
              <w:top w:val="nil"/>
              <w:left w:val="single" w:sz="4" w:space="0" w:color="auto"/>
              <w:bottom w:val="single" w:sz="4" w:space="0" w:color="auto"/>
              <w:right w:val="single" w:sz="4" w:space="0" w:color="auto"/>
            </w:tcBorders>
            <w:tcMar>
              <w:top w:w="28" w:type="dxa"/>
              <w:left w:w="57" w:type="dxa"/>
              <w:bottom w:w="28" w:type="dxa"/>
              <w:right w:w="57" w:type="dxa"/>
            </w:tcMar>
          </w:tcPr>
          <w:p w:rsidR="008E5DF3" w:rsidRPr="0070045C" w:rsidRDefault="008E5DF3" w:rsidP="002D36DC">
            <w:pPr>
              <w:tabs>
                <w:tab w:val="center" w:pos="4819"/>
                <w:tab w:val="right" w:pos="9638"/>
              </w:tabs>
              <w:overflowPunct w:val="0"/>
              <w:autoSpaceDE w:val="0"/>
              <w:autoSpaceDN w:val="0"/>
              <w:adjustRightInd w:val="0"/>
              <w:jc w:val="center"/>
              <w:textAlignment w:val="baseline"/>
              <w:rPr>
                <w:sz w:val="24"/>
                <w:szCs w:val="24"/>
              </w:rPr>
            </w:pPr>
            <w:r w:rsidRPr="0070045C">
              <w:rPr>
                <w:sz w:val="24"/>
                <w:szCs w:val="24"/>
              </w:rPr>
              <w:t>7,1–8 įskaitytinai</w:t>
            </w:r>
          </w:p>
        </w:tc>
        <w:tc>
          <w:tcPr>
            <w:tcW w:w="2552" w:type="dxa"/>
            <w:tcBorders>
              <w:top w:val="nil"/>
              <w:left w:val="nil"/>
              <w:bottom w:val="single" w:sz="4" w:space="0" w:color="auto"/>
              <w:right w:val="single" w:sz="4" w:space="0" w:color="auto"/>
            </w:tcBorders>
            <w:tcMar>
              <w:top w:w="28" w:type="dxa"/>
              <w:left w:w="57" w:type="dxa"/>
              <w:bottom w:w="28" w:type="dxa"/>
              <w:right w:w="57" w:type="dxa"/>
            </w:tcMar>
          </w:tcPr>
          <w:p w:rsidR="008E5DF3" w:rsidRPr="008E5DF3" w:rsidRDefault="008E5DF3" w:rsidP="002D36DC">
            <w:pPr>
              <w:jc w:val="center"/>
              <w:rPr>
                <w:sz w:val="24"/>
                <w:szCs w:val="24"/>
                <w:lang w:eastAsia="lt-LT"/>
              </w:rPr>
            </w:pPr>
            <w:r w:rsidRPr="008E5DF3">
              <w:rPr>
                <w:sz w:val="24"/>
                <w:szCs w:val="24"/>
                <w:lang w:eastAsia="lt-LT"/>
              </w:rPr>
              <w:t>4,63–5,32</w:t>
            </w:r>
          </w:p>
        </w:tc>
        <w:tc>
          <w:tcPr>
            <w:tcW w:w="4051" w:type="dxa"/>
            <w:tcBorders>
              <w:top w:val="nil"/>
              <w:left w:val="nil"/>
              <w:bottom w:val="single" w:sz="4" w:space="0" w:color="auto"/>
              <w:right w:val="single" w:sz="4" w:space="0" w:color="auto"/>
            </w:tcBorders>
            <w:tcMar>
              <w:top w:w="28" w:type="dxa"/>
              <w:left w:w="57" w:type="dxa"/>
              <w:bottom w:w="28" w:type="dxa"/>
              <w:right w:w="57" w:type="dxa"/>
            </w:tcMar>
          </w:tcPr>
          <w:p w:rsidR="008E5DF3" w:rsidRPr="008E5DF3" w:rsidRDefault="008E5DF3" w:rsidP="002D36DC">
            <w:pPr>
              <w:jc w:val="center"/>
              <w:rPr>
                <w:sz w:val="24"/>
                <w:szCs w:val="24"/>
                <w:lang w:eastAsia="lt-LT"/>
              </w:rPr>
            </w:pPr>
            <w:r w:rsidRPr="008E5DF3">
              <w:rPr>
                <w:sz w:val="24"/>
                <w:szCs w:val="24"/>
                <w:lang w:eastAsia="lt-LT"/>
              </w:rPr>
              <w:t>–</w:t>
            </w:r>
          </w:p>
        </w:tc>
      </w:tr>
    </w:tbl>
    <w:p w:rsidR="007F2938" w:rsidRDefault="007F2938" w:rsidP="00030355">
      <w:pPr>
        <w:spacing w:line="360" w:lineRule="auto"/>
        <w:ind w:right="-108" w:firstLine="720"/>
        <w:jc w:val="both"/>
        <w:rPr>
          <w:sz w:val="24"/>
          <w:szCs w:val="24"/>
          <w:lang w:eastAsia="lt-LT"/>
        </w:rPr>
      </w:pPr>
    </w:p>
    <w:p w:rsidR="008E5DF3" w:rsidRPr="008E5DF3" w:rsidRDefault="00030355" w:rsidP="00030355">
      <w:pPr>
        <w:spacing w:line="360" w:lineRule="auto"/>
        <w:ind w:right="-108" w:firstLine="720"/>
        <w:jc w:val="both"/>
        <w:rPr>
          <w:sz w:val="24"/>
          <w:szCs w:val="24"/>
          <w:lang w:eastAsia="lt-LT"/>
        </w:rPr>
      </w:pPr>
      <w:r>
        <w:rPr>
          <w:sz w:val="24"/>
          <w:szCs w:val="24"/>
          <w:lang w:eastAsia="lt-LT"/>
        </w:rPr>
        <w:t xml:space="preserve">6. </w:t>
      </w:r>
      <w:r w:rsidR="008E5DF3" w:rsidRPr="008E5DF3">
        <w:rPr>
          <w:sz w:val="24"/>
          <w:szCs w:val="24"/>
          <w:lang w:eastAsia="lt-LT"/>
        </w:rPr>
        <w:t>Mokestis nustatomas sumuojant moke</w:t>
      </w:r>
      <w:r>
        <w:rPr>
          <w:sz w:val="24"/>
          <w:szCs w:val="24"/>
          <w:lang w:eastAsia="lt-LT"/>
        </w:rPr>
        <w:t xml:space="preserve">sčius už kiekvienos ašies </w:t>
      </w:r>
      <w:r w:rsidR="008E5DF3" w:rsidRPr="008E5DF3">
        <w:rPr>
          <w:sz w:val="24"/>
          <w:szCs w:val="24"/>
          <w:lang w:eastAsia="lt-LT"/>
        </w:rPr>
        <w:t>didžiausios leidžiamosios ašies (ašių) apkrovos viršijimą.</w:t>
      </w:r>
    </w:p>
    <w:p w:rsidR="008E5DF3" w:rsidRPr="008E5DF3" w:rsidRDefault="00030355" w:rsidP="008E5DF3">
      <w:pPr>
        <w:spacing w:line="360" w:lineRule="auto"/>
        <w:ind w:right="-108" w:firstLine="720"/>
        <w:jc w:val="both"/>
        <w:rPr>
          <w:sz w:val="24"/>
          <w:szCs w:val="24"/>
          <w:lang w:eastAsia="lt-LT"/>
        </w:rPr>
      </w:pPr>
      <w:r>
        <w:rPr>
          <w:sz w:val="24"/>
          <w:szCs w:val="24"/>
          <w:lang w:eastAsia="lt-LT"/>
        </w:rPr>
        <w:lastRenderedPageBreak/>
        <w:t xml:space="preserve">7. </w:t>
      </w:r>
      <w:r w:rsidR="008E5DF3" w:rsidRPr="008E5DF3">
        <w:rPr>
          <w:sz w:val="24"/>
          <w:szCs w:val="24"/>
          <w:lang w:eastAsia="lt-LT"/>
        </w:rPr>
        <w:t>Kai viršijama didžiausi</w:t>
      </w:r>
      <w:r w:rsidR="007F2938">
        <w:rPr>
          <w:sz w:val="24"/>
          <w:szCs w:val="24"/>
          <w:lang w:eastAsia="lt-LT"/>
        </w:rPr>
        <w:t>a</w:t>
      </w:r>
      <w:r w:rsidR="008E5DF3" w:rsidRPr="008E5DF3">
        <w:rPr>
          <w:sz w:val="24"/>
          <w:szCs w:val="24"/>
          <w:lang w:eastAsia="lt-LT"/>
        </w:rPr>
        <w:t xml:space="preserve"> leidžiamoji ašies (ašių) apkrova ir masė, nustatomas tas mokesčio dydis, kuris yra didesnis. </w:t>
      </w:r>
    </w:p>
    <w:p w:rsidR="00645DFE" w:rsidRPr="00645DFE" w:rsidRDefault="004E3731" w:rsidP="00645DFE">
      <w:pPr>
        <w:spacing w:line="360" w:lineRule="auto"/>
        <w:ind w:firstLine="720"/>
        <w:jc w:val="both"/>
        <w:rPr>
          <w:sz w:val="24"/>
          <w:szCs w:val="24"/>
          <w:lang w:eastAsia="lt-LT"/>
        </w:rPr>
      </w:pPr>
      <w:sdt>
        <w:sdtPr>
          <w:rPr>
            <w:sz w:val="24"/>
          </w:rPr>
          <w:alias w:val="Numeris"/>
          <w:tag w:val="nr_ab6051ac4d2a462687a91c9401d2a87c"/>
          <w:id w:val="204380942"/>
        </w:sdtPr>
        <w:sdtEndPr/>
        <w:sdtContent>
          <w:r w:rsidR="00645DFE" w:rsidRPr="00645DFE">
            <w:rPr>
              <w:sz w:val="24"/>
              <w:szCs w:val="24"/>
              <w:lang w:eastAsia="lt-LT"/>
            </w:rPr>
            <w:t>8</w:t>
          </w:r>
        </w:sdtContent>
      </w:sdt>
      <w:r w:rsidR="00645DFE" w:rsidRPr="00645DFE">
        <w:rPr>
          <w:sz w:val="24"/>
          <w:szCs w:val="24"/>
          <w:lang w:eastAsia="lt-LT"/>
        </w:rPr>
        <w:t xml:space="preserve">. Mokesčio už naudojimąsi keliais važiuojant sunkiasvorėmis motorinėmis transporto priemonėmis, kurių masė su kroviniu ar be jo yra didesnė už didžiausią </w:t>
      </w:r>
      <w:r w:rsidR="00645DFE" w:rsidRPr="00A84E49">
        <w:rPr>
          <w:sz w:val="24"/>
          <w:szCs w:val="24"/>
          <w:lang w:eastAsia="lt-LT"/>
        </w:rPr>
        <w:t>leidžiamą</w:t>
      </w:r>
      <w:r w:rsidR="001A161D" w:rsidRPr="00A84E49">
        <w:rPr>
          <w:sz w:val="24"/>
          <w:szCs w:val="24"/>
          <w:lang w:eastAsia="lt-LT"/>
        </w:rPr>
        <w:t>ją</w:t>
      </w:r>
      <w:r w:rsidR="00645DFE" w:rsidRPr="00A84E49">
        <w:rPr>
          <w:sz w:val="24"/>
          <w:szCs w:val="24"/>
          <w:lang w:eastAsia="lt-LT"/>
        </w:rPr>
        <w:t xml:space="preserve"> </w:t>
      </w:r>
      <w:r w:rsidR="00645DFE" w:rsidRPr="00645DFE">
        <w:rPr>
          <w:sz w:val="24"/>
          <w:szCs w:val="24"/>
          <w:lang w:eastAsia="lt-LT"/>
        </w:rPr>
        <w:t xml:space="preserve">naudojantis keliais transporto priemonės ar jų junginių masę </w:t>
      </w:r>
      <w:r w:rsidR="00645DFE" w:rsidRPr="00645DFE">
        <w:rPr>
          <w:color w:val="000000"/>
          <w:sz w:val="24"/>
          <w:szCs w:val="24"/>
          <w:lang w:eastAsia="lt-LT"/>
        </w:rPr>
        <w:t>(40 t, o vežant 20, 30, 40, 45 pėdų konteinerius, pagamintus pagal ISO standartus, – 44 t)</w:t>
      </w:r>
      <w:r w:rsidR="00645DFE" w:rsidRPr="00645DFE">
        <w:rPr>
          <w:sz w:val="24"/>
          <w:szCs w:val="24"/>
          <w:lang w:eastAsia="lt-LT"/>
        </w:rPr>
        <w:t xml:space="preserve"> (toliau – didžiausi</w:t>
      </w:r>
      <w:r w:rsidR="00A84E49">
        <w:rPr>
          <w:sz w:val="24"/>
          <w:szCs w:val="24"/>
          <w:lang w:eastAsia="lt-LT"/>
        </w:rPr>
        <w:t>a</w:t>
      </w:r>
      <w:r w:rsidR="00645DFE" w:rsidRPr="00645DFE">
        <w:rPr>
          <w:sz w:val="24"/>
          <w:szCs w:val="24"/>
          <w:lang w:eastAsia="lt-LT"/>
        </w:rPr>
        <w:t xml:space="preserve"> leidžiamoji masė), ribiniai tarifai:</w:t>
      </w:r>
    </w:p>
    <w:p w:rsidR="004F552D" w:rsidRPr="00645DFE" w:rsidRDefault="004F552D" w:rsidP="00645DFE">
      <w:pPr>
        <w:spacing w:line="360" w:lineRule="auto"/>
        <w:ind w:firstLine="720"/>
        <w:jc w:val="both"/>
        <w:rPr>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77"/>
        <w:gridCol w:w="3219"/>
        <w:gridCol w:w="3543"/>
      </w:tblGrid>
      <w:tr w:rsidR="00645DFE" w:rsidRPr="00645DFE" w:rsidTr="00DA4BC7">
        <w:tc>
          <w:tcPr>
            <w:tcW w:w="2877" w:type="dxa"/>
            <w:tcMar>
              <w:top w:w="0" w:type="dxa"/>
              <w:left w:w="108" w:type="dxa"/>
              <w:bottom w:w="0" w:type="dxa"/>
              <w:right w:w="108" w:type="dxa"/>
            </w:tcMar>
            <w:vAlign w:val="center"/>
            <w:hideMark/>
          </w:tcPr>
          <w:p w:rsidR="00645DFE" w:rsidRPr="00645DFE" w:rsidRDefault="00A84E49" w:rsidP="00A84E49">
            <w:pPr>
              <w:jc w:val="center"/>
              <w:rPr>
                <w:sz w:val="24"/>
                <w:szCs w:val="24"/>
                <w:lang w:eastAsia="lt-LT"/>
              </w:rPr>
            </w:pPr>
            <w:r>
              <w:rPr>
                <w:sz w:val="24"/>
                <w:szCs w:val="24"/>
                <w:lang w:eastAsia="lt-LT"/>
              </w:rPr>
              <w:t>Didžiausia</w:t>
            </w:r>
            <w:r w:rsidR="00645DFE" w:rsidRPr="00645DFE">
              <w:rPr>
                <w:sz w:val="24"/>
                <w:szCs w:val="24"/>
                <w:lang w:eastAsia="lt-LT"/>
              </w:rPr>
              <w:t xml:space="preserve"> leidžiamoji masė viršyta, t</w:t>
            </w:r>
          </w:p>
        </w:tc>
        <w:tc>
          <w:tcPr>
            <w:tcW w:w="3219" w:type="dxa"/>
            <w:tcMar>
              <w:top w:w="0" w:type="dxa"/>
              <w:left w:w="108" w:type="dxa"/>
              <w:bottom w:w="0" w:type="dxa"/>
              <w:right w:w="108" w:type="dxa"/>
            </w:tcMar>
            <w:vAlign w:val="center"/>
            <w:hideMark/>
          </w:tcPr>
          <w:p w:rsidR="00645DFE" w:rsidRPr="00645DFE" w:rsidRDefault="00645DFE" w:rsidP="00645DFE">
            <w:pPr>
              <w:jc w:val="center"/>
              <w:rPr>
                <w:sz w:val="24"/>
                <w:szCs w:val="24"/>
                <w:lang w:eastAsia="lt-LT"/>
              </w:rPr>
            </w:pPr>
            <w:r w:rsidRPr="00645DFE">
              <w:rPr>
                <w:sz w:val="24"/>
                <w:szCs w:val="24"/>
                <w:lang w:eastAsia="lt-LT"/>
              </w:rPr>
              <w:t>Vienkartiniai ribiniai tarifai už kiekvieną viršytą toną,</w:t>
            </w:r>
            <w:r w:rsidR="00A84E49">
              <w:rPr>
                <w:sz w:val="24"/>
                <w:szCs w:val="24"/>
                <w:lang w:eastAsia="lt-LT"/>
              </w:rPr>
              <w:t xml:space="preserve"> </w:t>
            </w:r>
            <w:r w:rsidRPr="00645DFE">
              <w:rPr>
                <w:sz w:val="24"/>
                <w:szCs w:val="24"/>
                <w:lang w:eastAsia="lt-LT"/>
              </w:rPr>
              <w:br/>
              <w:t>eurais</w:t>
            </w:r>
            <w:r w:rsidRPr="00645DFE">
              <w:rPr>
                <w:b/>
                <w:sz w:val="24"/>
                <w:szCs w:val="24"/>
                <w:lang w:eastAsia="lt-LT"/>
              </w:rPr>
              <w:t xml:space="preserve"> </w:t>
            </w:r>
            <w:r w:rsidRPr="00645DFE">
              <w:rPr>
                <w:sz w:val="24"/>
                <w:szCs w:val="24"/>
                <w:lang w:eastAsia="lt-LT"/>
              </w:rPr>
              <w:t>už 10 km</w:t>
            </w:r>
          </w:p>
        </w:tc>
        <w:tc>
          <w:tcPr>
            <w:tcW w:w="3543" w:type="dxa"/>
            <w:tcMar>
              <w:top w:w="0" w:type="dxa"/>
              <w:left w:w="108" w:type="dxa"/>
              <w:bottom w:w="0" w:type="dxa"/>
              <w:right w:w="108" w:type="dxa"/>
            </w:tcMar>
            <w:vAlign w:val="center"/>
            <w:hideMark/>
          </w:tcPr>
          <w:p w:rsidR="00645DFE" w:rsidRPr="00645DFE" w:rsidRDefault="00645DFE" w:rsidP="00645DFE">
            <w:pPr>
              <w:jc w:val="center"/>
              <w:rPr>
                <w:sz w:val="24"/>
                <w:szCs w:val="24"/>
                <w:lang w:eastAsia="lt-LT"/>
              </w:rPr>
            </w:pPr>
            <w:r w:rsidRPr="00645DFE">
              <w:rPr>
                <w:sz w:val="24"/>
                <w:szCs w:val="24"/>
                <w:lang w:eastAsia="lt-LT"/>
              </w:rPr>
              <w:t>Mėnesio ribiniai tarifai,</w:t>
            </w:r>
            <w:r w:rsidRPr="00645DFE">
              <w:rPr>
                <w:sz w:val="24"/>
                <w:szCs w:val="24"/>
                <w:lang w:eastAsia="lt-LT"/>
              </w:rPr>
              <w:br/>
              <w:t>eurais</w:t>
            </w:r>
            <w:r w:rsidRPr="00645DFE">
              <w:rPr>
                <w:b/>
                <w:sz w:val="24"/>
                <w:szCs w:val="24"/>
                <w:lang w:eastAsia="lt-LT"/>
              </w:rPr>
              <w:t xml:space="preserve"> </w:t>
            </w:r>
            <w:r w:rsidRPr="00645DFE">
              <w:rPr>
                <w:sz w:val="24"/>
                <w:szCs w:val="24"/>
                <w:lang w:eastAsia="lt-LT"/>
              </w:rPr>
              <w:t>(šalies teritorijoje)*</w:t>
            </w:r>
          </w:p>
        </w:tc>
      </w:tr>
      <w:tr w:rsidR="00645DFE" w:rsidRPr="00645DFE" w:rsidTr="00DA4BC7">
        <w:tc>
          <w:tcPr>
            <w:tcW w:w="2877" w:type="dxa"/>
            <w:tcMar>
              <w:top w:w="0" w:type="dxa"/>
              <w:left w:w="108" w:type="dxa"/>
              <w:bottom w:w="0" w:type="dxa"/>
              <w:right w:w="108" w:type="dxa"/>
            </w:tcMar>
            <w:hideMark/>
          </w:tcPr>
          <w:p w:rsidR="00645DFE" w:rsidRPr="00645DFE" w:rsidRDefault="00645DFE" w:rsidP="00645DFE">
            <w:pPr>
              <w:jc w:val="center"/>
              <w:rPr>
                <w:sz w:val="24"/>
                <w:szCs w:val="24"/>
                <w:lang w:eastAsia="lt-LT"/>
              </w:rPr>
            </w:pPr>
            <w:r w:rsidRPr="00645DFE">
              <w:rPr>
                <w:sz w:val="24"/>
                <w:szCs w:val="24"/>
                <w:lang w:eastAsia="lt-LT"/>
              </w:rPr>
              <w:t>1,0–20,0</w:t>
            </w:r>
          </w:p>
        </w:tc>
        <w:tc>
          <w:tcPr>
            <w:tcW w:w="3219" w:type="dxa"/>
            <w:tcMar>
              <w:top w:w="0" w:type="dxa"/>
              <w:left w:w="108" w:type="dxa"/>
              <w:bottom w:w="0" w:type="dxa"/>
              <w:right w:w="108" w:type="dxa"/>
            </w:tcMar>
            <w:hideMark/>
          </w:tcPr>
          <w:p w:rsidR="00645DFE" w:rsidRPr="00645DFE" w:rsidRDefault="00645DFE" w:rsidP="00645DFE">
            <w:pPr>
              <w:jc w:val="center"/>
              <w:rPr>
                <w:sz w:val="24"/>
                <w:szCs w:val="24"/>
                <w:lang w:eastAsia="lt-LT"/>
              </w:rPr>
            </w:pPr>
            <w:r w:rsidRPr="00645DFE">
              <w:rPr>
                <w:sz w:val="24"/>
                <w:szCs w:val="24"/>
                <w:lang w:eastAsia="lt-LT"/>
              </w:rPr>
              <w:t>1,01–1,30</w:t>
            </w:r>
          </w:p>
        </w:tc>
        <w:tc>
          <w:tcPr>
            <w:tcW w:w="3543" w:type="dxa"/>
            <w:tcMar>
              <w:top w:w="0" w:type="dxa"/>
              <w:left w:w="108" w:type="dxa"/>
              <w:bottom w:w="0" w:type="dxa"/>
              <w:right w:w="108" w:type="dxa"/>
            </w:tcMar>
            <w:hideMark/>
          </w:tcPr>
          <w:p w:rsidR="00645DFE" w:rsidRPr="00645DFE" w:rsidRDefault="00645DFE" w:rsidP="00645DFE">
            <w:pPr>
              <w:jc w:val="center"/>
              <w:rPr>
                <w:sz w:val="24"/>
                <w:szCs w:val="24"/>
                <w:lang w:eastAsia="lt-LT"/>
              </w:rPr>
            </w:pPr>
            <w:r w:rsidRPr="00645DFE">
              <w:rPr>
                <w:sz w:val="24"/>
                <w:szCs w:val="24"/>
                <w:lang w:eastAsia="lt-LT"/>
              </w:rPr>
              <w:t>115–173</w:t>
            </w:r>
          </w:p>
        </w:tc>
      </w:tr>
      <w:tr w:rsidR="00645DFE" w:rsidRPr="00645DFE" w:rsidTr="00DA4BC7">
        <w:tc>
          <w:tcPr>
            <w:tcW w:w="2877" w:type="dxa"/>
            <w:tcMar>
              <w:top w:w="0" w:type="dxa"/>
              <w:left w:w="108" w:type="dxa"/>
              <w:bottom w:w="0" w:type="dxa"/>
              <w:right w:w="108" w:type="dxa"/>
            </w:tcMar>
            <w:hideMark/>
          </w:tcPr>
          <w:p w:rsidR="00645DFE" w:rsidRPr="00645DFE" w:rsidRDefault="00645DFE" w:rsidP="00645DFE">
            <w:pPr>
              <w:jc w:val="center"/>
              <w:rPr>
                <w:sz w:val="24"/>
                <w:szCs w:val="24"/>
                <w:lang w:eastAsia="lt-LT"/>
              </w:rPr>
            </w:pPr>
            <w:r w:rsidRPr="00645DFE">
              <w:rPr>
                <w:sz w:val="24"/>
                <w:szCs w:val="24"/>
                <w:lang w:eastAsia="lt-LT"/>
              </w:rPr>
              <w:t>21,0–40,0</w:t>
            </w:r>
          </w:p>
        </w:tc>
        <w:tc>
          <w:tcPr>
            <w:tcW w:w="3219" w:type="dxa"/>
            <w:tcMar>
              <w:top w:w="0" w:type="dxa"/>
              <w:left w:w="108" w:type="dxa"/>
              <w:bottom w:w="0" w:type="dxa"/>
              <w:right w:w="108" w:type="dxa"/>
            </w:tcMar>
            <w:hideMark/>
          </w:tcPr>
          <w:p w:rsidR="00645DFE" w:rsidRPr="00645DFE" w:rsidRDefault="00645DFE" w:rsidP="00645DFE">
            <w:pPr>
              <w:jc w:val="center"/>
              <w:rPr>
                <w:sz w:val="24"/>
                <w:szCs w:val="24"/>
                <w:lang w:eastAsia="lt-LT"/>
              </w:rPr>
            </w:pPr>
            <w:r w:rsidRPr="00645DFE">
              <w:rPr>
                <w:sz w:val="24"/>
                <w:szCs w:val="24"/>
                <w:lang w:eastAsia="lt-LT"/>
              </w:rPr>
              <w:t>1,30–1,44</w:t>
            </w:r>
          </w:p>
        </w:tc>
        <w:tc>
          <w:tcPr>
            <w:tcW w:w="3543" w:type="dxa"/>
            <w:tcMar>
              <w:top w:w="0" w:type="dxa"/>
              <w:left w:w="108" w:type="dxa"/>
              <w:bottom w:w="0" w:type="dxa"/>
              <w:right w:w="108" w:type="dxa"/>
            </w:tcMar>
            <w:hideMark/>
          </w:tcPr>
          <w:p w:rsidR="00645DFE" w:rsidRPr="00645DFE" w:rsidRDefault="00645DFE" w:rsidP="00645DFE">
            <w:pPr>
              <w:jc w:val="center"/>
              <w:rPr>
                <w:sz w:val="24"/>
                <w:szCs w:val="24"/>
                <w:lang w:eastAsia="lt-LT"/>
              </w:rPr>
            </w:pPr>
            <w:r w:rsidRPr="00645DFE">
              <w:rPr>
                <w:sz w:val="24"/>
                <w:szCs w:val="24"/>
                <w:lang w:eastAsia="lt-LT"/>
              </w:rPr>
              <w:t>–</w:t>
            </w:r>
          </w:p>
        </w:tc>
      </w:tr>
      <w:tr w:rsidR="00645DFE" w:rsidRPr="00645DFE" w:rsidTr="00DA4BC7">
        <w:tc>
          <w:tcPr>
            <w:tcW w:w="2877" w:type="dxa"/>
            <w:tcMar>
              <w:top w:w="0" w:type="dxa"/>
              <w:left w:w="108" w:type="dxa"/>
              <w:bottom w:w="0" w:type="dxa"/>
              <w:right w:w="108" w:type="dxa"/>
            </w:tcMar>
            <w:hideMark/>
          </w:tcPr>
          <w:p w:rsidR="00645DFE" w:rsidRPr="00645DFE" w:rsidRDefault="00645DFE" w:rsidP="00645DFE">
            <w:pPr>
              <w:jc w:val="center"/>
              <w:rPr>
                <w:sz w:val="24"/>
                <w:szCs w:val="24"/>
                <w:lang w:eastAsia="lt-LT"/>
              </w:rPr>
            </w:pPr>
            <w:r w:rsidRPr="00645DFE">
              <w:rPr>
                <w:sz w:val="24"/>
                <w:szCs w:val="24"/>
                <w:lang w:eastAsia="lt-LT"/>
              </w:rPr>
              <w:t>&gt; 40</w:t>
            </w:r>
          </w:p>
        </w:tc>
        <w:tc>
          <w:tcPr>
            <w:tcW w:w="3219" w:type="dxa"/>
            <w:tcMar>
              <w:top w:w="0" w:type="dxa"/>
              <w:left w:w="108" w:type="dxa"/>
              <w:bottom w:w="0" w:type="dxa"/>
              <w:right w:w="108" w:type="dxa"/>
            </w:tcMar>
            <w:hideMark/>
          </w:tcPr>
          <w:p w:rsidR="00645DFE" w:rsidRPr="00645DFE" w:rsidRDefault="00645DFE" w:rsidP="00645DFE">
            <w:pPr>
              <w:jc w:val="center"/>
              <w:rPr>
                <w:sz w:val="24"/>
                <w:szCs w:val="24"/>
                <w:lang w:eastAsia="lt-LT"/>
              </w:rPr>
            </w:pPr>
            <w:r w:rsidRPr="00645DFE">
              <w:rPr>
                <w:sz w:val="24"/>
                <w:szCs w:val="24"/>
                <w:lang w:eastAsia="lt-LT"/>
              </w:rPr>
              <w:t>1,59–1,88</w:t>
            </w:r>
          </w:p>
        </w:tc>
        <w:tc>
          <w:tcPr>
            <w:tcW w:w="3543" w:type="dxa"/>
            <w:tcMar>
              <w:top w:w="0" w:type="dxa"/>
              <w:left w:w="108" w:type="dxa"/>
              <w:bottom w:w="0" w:type="dxa"/>
              <w:right w:w="108" w:type="dxa"/>
            </w:tcMar>
            <w:hideMark/>
          </w:tcPr>
          <w:p w:rsidR="00645DFE" w:rsidRPr="00645DFE" w:rsidRDefault="00645DFE" w:rsidP="00645DFE">
            <w:pPr>
              <w:jc w:val="center"/>
              <w:rPr>
                <w:sz w:val="24"/>
                <w:szCs w:val="24"/>
                <w:lang w:eastAsia="lt-LT"/>
              </w:rPr>
            </w:pPr>
            <w:r w:rsidRPr="00645DFE">
              <w:rPr>
                <w:sz w:val="24"/>
                <w:szCs w:val="24"/>
                <w:lang w:eastAsia="lt-LT"/>
              </w:rPr>
              <w:t>–</w:t>
            </w:r>
          </w:p>
        </w:tc>
      </w:tr>
    </w:tbl>
    <w:p w:rsidR="00645DFE" w:rsidRPr="00645DFE" w:rsidRDefault="00645DFE" w:rsidP="00645DFE">
      <w:pPr>
        <w:ind w:right="317" w:firstLine="567"/>
        <w:jc w:val="both"/>
        <w:rPr>
          <w:sz w:val="24"/>
          <w:szCs w:val="24"/>
          <w:lang w:eastAsia="lt-LT"/>
        </w:rPr>
      </w:pPr>
      <w:r w:rsidRPr="00645DFE">
        <w:rPr>
          <w:sz w:val="24"/>
          <w:szCs w:val="24"/>
          <w:lang w:eastAsia="lt-LT"/>
        </w:rPr>
        <w:t>* Taikoma šešių ar daugiau ašių transporto priemonėms, kurias sudaro motorinė transporto priemonė su suporintais galiniais ratais ir priekaba (puspriekabė) su suporintais ratais ir kurių ašies (ašių) apkrova yra ne didesnė už didžiausią leidžiamąją ašies (ašių) apkrovą, bendroji masė yra didesnė už didžiausią leidžiamąją bendrąją masę ir yra ne didesnė kaip 48</w:t>
      </w:r>
      <w:r w:rsidR="00A84E49">
        <w:rPr>
          <w:sz w:val="24"/>
          <w:szCs w:val="24"/>
          <w:lang w:eastAsia="lt-LT"/>
        </w:rPr>
        <w:t xml:space="preserve"> </w:t>
      </w:r>
      <w:r w:rsidRPr="00645DFE">
        <w:rPr>
          <w:sz w:val="24"/>
          <w:szCs w:val="24"/>
          <w:lang w:eastAsia="lt-LT"/>
        </w:rPr>
        <w:t>t.</w:t>
      </w:r>
    </w:p>
    <w:p w:rsidR="00645DFE" w:rsidRPr="00645DFE" w:rsidRDefault="00645DFE" w:rsidP="00645DFE">
      <w:pPr>
        <w:ind w:firstLine="567"/>
        <w:jc w:val="both"/>
        <w:rPr>
          <w:sz w:val="24"/>
          <w:szCs w:val="24"/>
          <w:lang w:eastAsia="lt-LT"/>
        </w:rPr>
      </w:pPr>
    </w:p>
    <w:p w:rsidR="00645DFE" w:rsidRPr="00645DFE" w:rsidRDefault="004E3731" w:rsidP="00645DFE">
      <w:pPr>
        <w:spacing w:line="360" w:lineRule="auto"/>
        <w:ind w:firstLine="720"/>
        <w:jc w:val="both"/>
        <w:rPr>
          <w:sz w:val="24"/>
          <w:szCs w:val="24"/>
          <w:lang w:eastAsia="lt-LT"/>
        </w:rPr>
      </w:pPr>
      <w:sdt>
        <w:sdtPr>
          <w:rPr>
            <w:sz w:val="24"/>
          </w:rPr>
          <w:alias w:val="Numeris"/>
          <w:tag w:val="nr_02f2ba8f17664e4e968bad5ea33dc1c6"/>
          <w:id w:val="-1375687694"/>
        </w:sdtPr>
        <w:sdtEndPr/>
        <w:sdtContent>
          <w:r w:rsidR="00645DFE" w:rsidRPr="00645DFE">
            <w:rPr>
              <w:sz w:val="24"/>
              <w:szCs w:val="24"/>
              <w:lang w:eastAsia="lt-LT"/>
            </w:rPr>
            <w:t>9</w:t>
          </w:r>
        </w:sdtContent>
      </w:sdt>
      <w:r w:rsidR="00645DFE" w:rsidRPr="00645DFE">
        <w:rPr>
          <w:sz w:val="24"/>
          <w:szCs w:val="24"/>
          <w:lang w:eastAsia="lt-LT"/>
        </w:rPr>
        <w:t>. Mokesčio už naudojimąsi keliais važiuojant sunkiasvoriais traktoriais ir savaeigėmis mašinomis ar jų junginiais, kurių masė su kroviniu ar be jo yra didesnė už didžiausią leidžiamąją masę, ribiniai tarifai:</w:t>
      </w:r>
    </w:p>
    <w:p w:rsidR="00645DFE" w:rsidRPr="00645DFE" w:rsidRDefault="00645DFE" w:rsidP="00645DFE">
      <w:pPr>
        <w:ind w:firstLine="567"/>
        <w:jc w:val="both"/>
        <w:rPr>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94"/>
        <w:gridCol w:w="6253"/>
      </w:tblGrid>
      <w:tr w:rsidR="00645DFE" w:rsidRPr="00645DFE" w:rsidTr="00DA4BC7">
        <w:tc>
          <w:tcPr>
            <w:tcW w:w="3494" w:type="dxa"/>
            <w:tcMar>
              <w:top w:w="0" w:type="dxa"/>
              <w:left w:w="108" w:type="dxa"/>
              <w:bottom w:w="0" w:type="dxa"/>
              <w:right w:w="108" w:type="dxa"/>
            </w:tcMar>
            <w:hideMark/>
          </w:tcPr>
          <w:p w:rsidR="00645DFE" w:rsidRPr="00645DFE" w:rsidRDefault="00645DFE" w:rsidP="00A84E49">
            <w:pPr>
              <w:jc w:val="center"/>
              <w:rPr>
                <w:sz w:val="24"/>
                <w:szCs w:val="24"/>
                <w:lang w:eastAsia="lt-LT"/>
              </w:rPr>
            </w:pPr>
            <w:r w:rsidRPr="00645DFE">
              <w:rPr>
                <w:sz w:val="24"/>
                <w:szCs w:val="24"/>
                <w:lang w:eastAsia="lt-LT"/>
              </w:rPr>
              <w:t>Didžiausi</w:t>
            </w:r>
            <w:r w:rsidR="00A84E49">
              <w:rPr>
                <w:sz w:val="24"/>
                <w:szCs w:val="24"/>
                <w:lang w:eastAsia="lt-LT"/>
              </w:rPr>
              <w:t>a</w:t>
            </w:r>
            <w:r w:rsidRPr="00645DFE">
              <w:rPr>
                <w:sz w:val="24"/>
                <w:szCs w:val="24"/>
                <w:lang w:eastAsia="lt-LT"/>
              </w:rPr>
              <w:t xml:space="preserve"> leidžiamoji masė viršyta, t</w:t>
            </w:r>
          </w:p>
        </w:tc>
        <w:tc>
          <w:tcPr>
            <w:tcW w:w="6253" w:type="dxa"/>
            <w:tcMar>
              <w:top w:w="0" w:type="dxa"/>
              <w:left w:w="108" w:type="dxa"/>
              <w:bottom w:w="0" w:type="dxa"/>
              <w:right w:w="108" w:type="dxa"/>
            </w:tcMar>
            <w:hideMark/>
          </w:tcPr>
          <w:p w:rsidR="00645DFE" w:rsidRPr="00645DFE" w:rsidRDefault="00645DFE" w:rsidP="00645DFE">
            <w:pPr>
              <w:jc w:val="center"/>
              <w:rPr>
                <w:sz w:val="24"/>
                <w:szCs w:val="24"/>
                <w:lang w:eastAsia="lt-LT"/>
              </w:rPr>
            </w:pPr>
            <w:r w:rsidRPr="00645DFE">
              <w:rPr>
                <w:sz w:val="24"/>
                <w:szCs w:val="24"/>
                <w:lang w:eastAsia="lt-LT"/>
              </w:rPr>
              <w:t>Vienkartiniai ribiniai tarifai už kiekvieną viršytą toną,</w:t>
            </w:r>
            <w:r w:rsidRPr="00645DFE">
              <w:rPr>
                <w:sz w:val="24"/>
                <w:szCs w:val="24"/>
                <w:lang w:eastAsia="lt-LT"/>
              </w:rPr>
              <w:br/>
              <w:t>eurais</w:t>
            </w:r>
            <w:r w:rsidRPr="00645DFE">
              <w:rPr>
                <w:b/>
                <w:sz w:val="24"/>
                <w:szCs w:val="24"/>
                <w:lang w:eastAsia="lt-LT"/>
              </w:rPr>
              <w:t xml:space="preserve"> </w:t>
            </w:r>
            <w:r w:rsidRPr="00645DFE">
              <w:rPr>
                <w:sz w:val="24"/>
                <w:szCs w:val="24"/>
                <w:lang w:eastAsia="lt-LT"/>
              </w:rPr>
              <w:t>už 10 km</w:t>
            </w:r>
          </w:p>
        </w:tc>
      </w:tr>
      <w:tr w:rsidR="00645DFE" w:rsidRPr="00645DFE" w:rsidTr="00DA4BC7">
        <w:tc>
          <w:tcPr>
            <w:tcW w:w="3494" w:type="dxa"/>
            <w:tcMar>
              <w:top w:w="0" w:type="dxa"/>
              <w:left w:w="108" w:type="dxa"/>
              <w:bottom w:w="0" w:type="dxa"/>
              <w:right w:w="108" w:type="dxa"/>
            </w:tcMar>
            <w:vAlign w:val="center"/>
            <w:hideMark/>
          </w:tcPr>
          <w:p w:rsidR="00645DFE" w:rsidRPr="00645DFE" w:rsidRDefault="00645DFE" w:rsidP="00645DFE">
            <w:pPr>
              <w:jc w:val="center"/>
              <w:rPr>
                <w:sz w:val="24"/>
                <w:szCs w:val="24"/>
                <w:lang w:eastAsia="lt-LT"/>
              </w:rPr>
            </w:pPr>
            <w:r w:rsidRPr="00645DFE">
              <w:rPr>
                <w:sz w:val="24"/>
                <w:szCs w:val="24"/>
                <w:lang w:eastAsia="lt-LT"/>
              </w:rPr>
              <w:t>1,0–20,0</w:t>
            </w:r>
          </w:p>
        </w:tc>
        <w:tc>
          <w:tcPr>
            <w:tcW w:w="6253" w:type="dxa"/>
            <w:tcMar>
              <w:top w:w="0" w:type="dxa"/>
              <w:left w:w="108" w:type="dxa"/>
              <w:bottom w:w="0" w:type="dxa"/>
              <w:right w:w="108" w:type="dxa"/>
            </w:tcMar>
            <w:vAlign w:val="center"/>
            <w:hideMark/>
          </w:tcPr>
          <w:p w:rsidR="00645DFE" w:rsidRPr="00645DFE" w:rsidRDefault="00645DFE" w:rsidP="00645DFE">
            <w:pPr>
              <w:jc w:val="center"/>
              <w:rPr>
                <w:sz w:val="24"/>
                <w:szCs w:val="24"/>
                <w:lang w:eastAsia="lt-LT"/>
              </w:rPr>
            </w:pPr>
            <w:r w:rsidRPr="00645DFE">
              <w:rPr>
                <w:sz w:val="24"/>
                <w:szCs w:val="24"/>
                <w:lang w:eastAsia="lt-LT"/>
              </w:rPr>
              <w:t>0,14–0,19</w:t>
            </w:r>
          </w:p>
        </w:tc>
      </w:tr>
      <w:tr w:rsidR="00645DFE" w:rsidRPr="00645DFE" w:rsidTr="00DA4BC7">
        <w:tc>
          <w:tcPr>
            <w:tcW w:w="3494" w:type="dxa"/>
            <w:tcMar>
              <w:top w:w="0" w:type="dxa"/>
              <w:left w:w="108" w:type="dxa"/>
              <w:bottom w:w="0" w:type="dxa"/>
              <w:right w:w="108" w:type="dxa"/>
            </w:tcMar>
            <w:vAlign w:val="center"/>
            <w:hideMark/>
          </w:tcPr>
          <w:p w:rsidR="00645DFE" w:rsidRPr="00645DFE" w:rsidRDefault="00645DFE" w:rsidP="00645DFE">
            <w:pPr>
              <w:jc w:val="center"/>
              <w:rPr>
                <w:sz w:val="24"/>
                <w:szCs w:val="24"/>
                <w:lang w:eastAsia="lt-LT"/>
              </w:rPr>
            </w:pPr>
            <w:r w:rsidRPr="00645DFE">
              <w:rPr>
                <w:sz w:val="24"/>
                <w:szCs w:val="24"/>
                <w:lang w:eastAsia="lt-LT"/>
              </w:rPr>
              <w:t>21,0–40,0</w:t>
            </w:r>
          </w:p>
        </w:tc>
        <w:tc>
          <w:tcPr>
            <w:tcW w:w="6253" w:type="dxa"/>
            <w:tcMar>
              <w:top w:w="0" w:type="dxa"/>
              <w:left w:w="108" w:type="dxa"/>
              <w:bottom w:w="0" w:type="dxa"/>
              <w:right w:w="108" w:type="dxa"/>
            </w:tcMar>
            <w:vAlign w:val="center"/>
            <w:hideMark/>
          </w:tcPr>
          <w:p w:rsidR="00645DFE" w:rsidRPr="00645DFE" w:rsidRDefault="00645DFE" w:rsidP="00645DFE">
            <w:pPr>
              <w:jc w:val="center"/>
              <w:rPr>
                <w:sz w:val="24"/>
                <w:szCs w:val="24"/>
                <w:lang w:eastAsia="lt-LT"/>
              </w:rPr>
            </w:pPr>
            <w:r w:rsidRPr="00645DFE">
              <w:rPr>
                <w:sz w:val="24"/>
                <w:szCs w:val="24"/>
                <w:lang w:eastAsia="lt-LT"/>
              </w:rPr>
              <w:t>0,19–0,28</w:t>
            </w:r>
          </w:p>
        </w:tc>
      </w:tr>
      <w:tr w:rsidR="00645DFE" w:rsidRPr="00645DFE" w:rsidTr="00DA4BC7">
        <w:tc>
          <w:tcPr>
            <w:tcW w:w="3494" w:type="dxa"/>
            <w:tcMar>
              <w:top w:w="0" w:type="dxa"/>
              <w:left w:w="108" w:type="dxa"/>
              <w:bottom w:w="0" w:type="dxa"/>
              <w:right w:w="108" w:type="dxa"/>
            </w:tcMar>
            <w:vAlign w:val="center"/>
            <w:hideMark/>
          </w:tcPr>
          <w:p w:rsidR="00645DFE" w:rsidRPr="00645DFE" w:rsidRDefault="00645DFE" w:rsidP="00645DFE">
            <w:pPr>
              <w:jc w:val="center"/>
              <w:rPr>
                <w:sz w:val="24"/>
                <w:szCs w:val="24"/>
                <w:lang w:eastAsia="lt-LT"/>
              </w:rPr>
            </w:pPr>
            <w:r w:rsidRPr="00645DFE">
              <w:rPr>
                <w:sz w:val="24"/>
                <w:szCs w:val="24"/>
                <w:lang w:eastAsia="lt-LT"/>
              </w:rPr>
              <w:t>&gt; 40</w:t>
            </w:r>
          </w:p>
        </w:tc>
        <w:tc>
          <w:tcPr>
            <w:tcW w:w="6253" w:type="dxa"/>
            <w:tcMar>
              <w:top w:w="0" w:type="dxa"/>
              <w:left w:w="108" w:type="dxa"/>
              <w:bottom w:w="0" w:type="dxa"/>
              <w:right w:w="108" w:type="dxa"/>
            </w:tcMar>
            <w:vAlign w:val="center"/>
            <w:hideMark/>
          </w:tcPr>
          <w:p w:rsidR="00645DFE" w:rsidRPr="00645DFE" w:rsidRDefault="00645DFE" w:rsidP="00645DFE">
            <w:pPr>
              <w:jc w:val="center"/>
              <w:rPr>
                <w:sz w:val="24"/>
                <w:szCs w:val="24"/>
                <w:lang w:eastAsia="lt-LT"/>
              </w:rPr>
            </w:pPr>
            <w:r w:rsidRPr="00645DFE">
              <w:rPr>
                <w:sz w:val="24"/>
                <w:szCs w:val="24"/>
                <w:lang w:eastAsia="lt-LT"/>
              </w:rPr>
              <w:t>0,28–0,41</w:t>
            </w:r>
          </w:p>
        </w:tc>
      </w:tr>
    </w:tbl>
    <w:p w:rsidR="00645DFE" w:rsidRPr="00645DFE" w:rsidRDefault="00645DFE" w:rsidP="00645DFE">
      <w:pPr>
        <w:ind w:right="-108" w:firstLine="567"/>
        <w:jc w:val="both"/>
        <w:rPr>
          <w:sz w:val="24"/>
          <w:szCs w:val="24"/>
          <w:lang w:eastAsia="lt-LT"/>
        </w:rPr>
      </w:pPr>
    </w:p>
    <w:p w:rsidR="00F21E40" w:rsidRDefault="004E3731" w:rsidP="00F21E40">
      <w:pPr>
        <w:spacing w:line="360" w:lineRule="auto"/>
        <w:ind w:firstLine="720"/>
        <w:jc w:val="both"/>
        <w:rPr>
          <w:sz w:val="24"/>
          <w:szCs w:val="24"/>
          <w:lang w:eastAsia="lt-LT"/>
        </w:rPr>
      </w:pPr>
      <w:sdt>
        <w:sdtPr>
          <w:rPr>
            <w:sz w:val="24"/>
          </w:rPr>
          <w:alias w:val="Numeris"/>
          <w:tag w:val="nr_5e1a2332f0e74f8ca2414d57146763c7"/>
          <w:id w:val="1003859050"/>
        </w:sdtPr>
        <w:sdtEndPr/>
        <w:sdtContent>
          <w:r w:rsidR="00645DFE" w:rsidRPr="00645DFE">
            <w:rPr>
              <w:sz w:val="24"/>
              <w:szCs w:val="24"/>
              <w:lang w:eastAsia="lt-LT"/>
            </w:rPr>
            <w:t>10</w:t>
          </w:r>
        </w:sdtContent>
      </w:sdt>
      <w:r w:rsidR="00645DFE" w:rsidRPr="00645DFE">
        <w:rPr>
          <w:sz w:val="24"/>
          <w:szCs w:val="24"/>
          <w:lang w:eastAsia="lt-LT"/>
        </w:rPr>
        <w:t>. Kai viršijama didžiausi</w:t>
      </w:r>
      <w:r w:rsidR="00A84E49">
        <w:rPr>
          <w:sz w:val="24"/>
          <w:szCs w:val="24"/>
          <w:lang w:eastAsia="lt-LT"/>
        </w:rPr>
        <w:t>a</w:t>
      </w:r>
      <w:r w:rsidR="00645DFE" w:rsidRPr="00645DFE">
        <w:rPr>
          <w:sz w:val="24"/>
          <w:szCs w:val="24"/>
          <w:lang w:eastAsia="lt-LT"/>
        </w:rPr>
        <w:t xml:space="preserve"> leidžiamoji ašies (ašių) apkrova ir masė, nustatomas tas moke</w:t>
      </w:r>
      <w:r w:rsidR="00516F8B">
        <w:rPr>
          <w:sz w:val="24"/>
          <w:szCs w:val="24"/>
          <w:lang w:eastAsia="lt-LT"/>
        </w:rPr>
        <w:t>sčio dydis, kuris yra didesnis.</w:t>
      </w:r>
    </w:p>
    <w:p w:rsidR="00376BDA" w:rsidRDefault="00645DFE" w:rsidP="00F21E40">
      <w:pPr>
        <w:spacing w:line="360" w:lineRule="auto"/>
        <w:ind w:firstLine="720"/>
        <w:jc w:val="both"/>
        <w:rPr>
          <w:sz w:val="24"/>
          <w:szCs w:val="24"/>
        </w:rPr>
      </w:pPr>
      <w:r>
        <w:rPr>
          <w:sz w:val="24"/>
          <w:szCs w:val="24"/>
        </w:rPr>
        <w:t>11. T</w:t>
      </w:r>
      <w:r w:rsidR="00376BDA" w:rsidRPr="0070045C">
        <w:rPr>
          <w:sz w:val="24"/>
          <w:szCs w:val="24"/>
        </w:rPr>
        <w:t xml:space="preserve">ransporto priemonės savininkai ar valdytojai moka į Panevėžio miesto savivaldybės administracijos </w:t>
      </w:r>
      <w:r w:rsidR="00376BDA" w:rsidRPr="002761C5">
        <w:rPr>
          <w:sz w:val="24"/>
          <w:szCs w:val="24"/>
        </w:rPr>
        <w:t>(</w:t>
      </w:r>
      <w:r w:rsidR="00376BDA" w:rsidRPr="00645DFE">
        <w:rPr>
          <w:b/>
          <w:sz w:val="24"/>
          <w:szCs w:val="24"/>
        </w:rPr>
        <w:t>kodas 288724610</w:t>
      </w:r>
      <w:r w:rsidR="00376BDA" w:rsidRPr="0070045C">
        <w:rPr>
          <w:sz w:val="24"/>
          <w:szCs w:val="24"/>
        </w:rPr>
        <w:t xml:space="preserve">) sąskaitą </w:t>
      </w:r>
      <w:r w:rsidRPr="00645DFE">
        <w:rPr>
          <w:b/>
          <w:sz w:val="24"/>
          <w:szCs w:val="24"/>
        </w:rPr>
        <w:t>LT</w:t>
      </w:r>
      <w:r w:rsidR="00376BDA" w:rsidRPr="00645DFE">
        <w:rPr>
          <w:b/>
          <w:sz w:val="24"/>
          <w:szCs w:val="24"/>
        </w:rPr>
        <w:t xml:space="preserve">937300010002385746 „Mokestis už naudojimąsi vietinės reikšmės keliais“ AB ,,Swedbank“ </w:t>
      </w:r>
      <w:r w:rsidR="00376BDA">
        <w:rPr>
          <w:sz w:val="24"/>
          <w:szCs w:val="24"/>
        </w:rPr>
        <w:t xml:space="preserve">mokestį pagal </w:t>
      </w:r>
      <w:r>
        <w:rPr>
          <w:sz w:val="24"/>
          <w:szCs w:val="24"/>
        </w:rPr>
        <w:t>nurodytus</w:t>
      </w:r>
      <w:r w:rsidR="00376BDA">
        <w:rPr>
          <w:sz w:val="24"/>
          <w:szCs w:val="24"/>
        </w:rPr>
        <w:t xml:space="preserve"> ribinius tarifus.</w:t>
      </w:r>
    </w:p>
    <w:p w:rsidR="0023401C" w:rsidRDefault="0023401C" w:rsidP="0023401C">
      <w:pPr>
        <w:spacing w:line="360" w:lineRule="auto"/>
        <w:ind w:firstLine="720"/>
        <w:jc w:val="center"/>
        <w:rPr>
          <w:sz w:val="24"/>
          <w:szCs w:val="24"/>
          <w:lang w:eastAsia="lt-LT"/>
        </w:rPr>
      </w:pPr>
      <w:r>
        <w:rPr>
          <w:sz w:val="24"/>
          <w:szCs w:val="24"/>
        </w:rPr>
        <w:t>_________________________________________</w:t>
      </w:r>
    </w:p>
    <w:sectPr w:rsidR="0023401C" w:rsidSect="009E40AF">
      <w:headerReference w:type="even" r:id="rId8"/>
      <w:headerReference w:type="default" r:id="rId9"/>
      <w:footerReference w:type="even" r:id="rId10"/>
      <w:headerReference w:type="first" r:id="rId11"/>
      <w:pgSz w:w="11907" w:h="16840" w:code="9"/>
      <w:pgMar w:top="1843" w:right="567" w:bottom="1985" w:left="1701" w:header="0" w:footer="0" w:gutter="0"/>
      <w:paperSrc w:first="7" w:other="7"/>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731" w:rsidRDefault="004E3731">
      <w:r>
        <w:separator/>
      </w:r>
    </w:p>
  </w:endnote>
  <w:endnote w:type="continuationSeparator" w:id="0">
    <w:p w:rsidR="004E3731" w:rsidRDefault="004E3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Arial"/>
    <w:charset w:val="00"/>
    <w:family w:val="auto"/>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Thorndale">
    <w:altName w:val="Times New Roman"/>
    <w:panose1 w:val="00000000000000000000"/>
    <w:charset w:val="BA"/>
    <w:family w:val="roman"/>
    <w:notTrueType/>
    <w:pitch w:val="variable"/>
    <w:sig w:usb0="00000005" w:usb1="00000000" w:usb2="00000000" w:usb3="00000000" w:csb0="0000008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895" w:rsidRDefault="00E5189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E51895" w:rsidRDefault="00E51895">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731" w:rsidRDefault="004E3731">
      <w:r>
        <w:separator/>
      </w:r>
    </w:p>
  </w:footnote>
  <w:footnote w:type="continuationSeparator" w:id="0">
    <w:p w:rsidR="004E3731" w:rsidRDefault="004E37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895" w:rsidRDefault="00E5189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1895" w:rsidRDefault="00E51895">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895" w:rsidRDefault="00E51895">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337" w:rsidRDefault="00561337">
    <w:pPr>
      <w:pStyle w:val="Header"/>
    </w:pPr>
  </w:p>
  <w:p w:rsidR="00561337" w:rsidRDefault="00561337">
    <w:pPr>
      <w:pStyle w:val="Header"/>
    </w:pPr>
  </w:p>
  <w:p w:rsidR="00561337" w:rsidRPr="009751F6" w:rsidRDefault="00561337">
    <w:pPr>
      <w:pStyle w:val="Header"/>
      <w:rPr>
        <w:b/>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3C4F79"/>
    <w:multiLevelType w:val="hybridMultilevel"/>
    <w:tmpl w:val="392471D0"/>
    <w:lvl w:ilvl="0" w:tplc="74AEBE98">
      <w:start w:val="1"/>
      <w:numFmt w:val="decimal"/>
      <w:lvlText w:val="%1."/>
      <w:lvlJc w:val="left"/>
      <w:pPr>
        <w:tabs>
          <w:tab w:val="num" w:pos="2367"/>
        </w:tabs>
        <w:ind w:left="2367" w:hanging="945"/>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EDF"/>
    <w:rsid w:val="000067FC"/>
    <w:rsid w:val="00015A44"/>
    <w:rsid w:val="000239D7"/>
    <w:rsid w:val="00030355"/>
    <w:rsid w:val="000305F1"/>
    <w:rsid w:val="00041A66"/>
    <w:rsid w:val="00050749"/>
    <w:rsid w:val="00061360"/>
    <w:rsid w:val="00083B1C"/>
    <w:rsid w:val="000A0DB0"/>
    <w:rsid w:val="000A51FD"/>
    <w:rsid w:val="000B2A4A"/>
    <w:rsid w:val="000F76B0"/>
    <w:rsid w:val="001010FB"/>
    <w:rsid w:val="00115064"/>
    <w:rsid w:val="00126E81"/>
    <w:rsid w:val="001372A0"/>
    <w:rsid w:val="00153F91"/>
    <w:rsid w:val="00154443"/>
    <w:rsid w:val="00183443"/>
    <w:rsid w:val="001A161D"/>
    <w:rsid w:val="001A4E86"/>
    <w:rsid w:val="001C01DB"/>
    <w:rsid w:val="001C44B6"/>
    <w:rsid w:val="00217EDF"/>
    <w:rsid w:val="00220D7C"/>
    <w:rsid w:val="00223136"/>
    <w:rsid w:val="0023005A"/>
    <w:rsid w:val="00232464"/>
    <w:rsid w:val="00233E75"/>
    <w:rsid w:val="0023401C"/>
    <w:rsid w:val="0024641B"/>
    <w:rsid w:val="00251CF1"/>
    <w:rsid w:val="002622A2"/>
    <w:rsid w:val="0026752F"/>
    <w:rsid w:val="002701C7"/>
    <w:rsid w:val="00274C91"/>
    <w:rsid w:val="002761C5"/>
    <w:rsid w:val="00283F0C"/>
    <w:rsid w:val="002965EA"/>
    <w:rsid w:val="002A2AC0"/>
    <w:rsid w:val="002A7FDA"/>
    <w:rsid w:val="002B3914"/>
    <w:rsid w:val="002F1839"/>
    <w:rsid w:val="002F37FE"/>
    <w:rsid w:val="002F6F86"/>
    <w:rsid w:val="0031096B"/>
    <w:rsid w:val="00316BB1"/>
    <w:rsid w:val="00340190"/>
    <w:rsid w:val="00355F47"/>
    <w:rsid w:val="00357609"/>
    <w:rsid w:val="00364A39"/>
    <w:rsid w:val="00367B06"/>
    <w:rsid w:val="00370BEF"/>
    <w:rsid w:val="003710E0"/>
    <w:rsid w:val="00376BDA"/>
    <w:rsid w:val="003854FD"/>
    <w:rsid w:val="003C12F1"/>
    <w:rsid w:val="003C1444"/>
    <w:rsid w:val="003E583C"/>
    <w:rsid w:val="003E7530"/>
    <w:rsid w:val="003F2BB9"/>
    <w:rsid w:val="00400B23"/>
    <w:rsid w:val="00401A85"/>
    <w:rsid w:val="00436A81"/>
    <w:rsid w:val="00441ACB"/>
    <w:rsid w:val="0048054F"/>
    <w:rsid w:val="004A1EC3"/>
    <w:rsid w:val="004B0007"/>
    <w:rsid w:val="004B0A88"/>
    <w:rsid w:val="004C29F6"/>
    <w:rsid w:val="004C514E"/>
    <w:rsid w:val="004E3731"/>
    <w:rsid w:val="004F3E09"/>
    <w:rsid w:val="004F552D"/>
    <w:rsid w:val="005013F2"/>
    <w:rsid w:val="005076A4"/>
    <w:rsid w:val="00516F8B"/>
    <w:rsid w:val="0052712F"/>
    <w:rsid w:val="00546CE6"/>
    <w:rsid w:val="00561337"/>
    <w:rsid w:val="00562ABA"/>
    <w:rsid w:val="00566003"/>
    <w:rsid w:val="00582B47"/>
    <w:rsid w:val="00591DDB"/>
    <w:rsid w:val="005B1548"/>
    <w:rsid w:val="005C1DD1"/>
    <w:rsid w:val="005C44F6"/>
    <w:rsid w:val="005C558A"/>
    <w:rsid w:val="005F1271"/>
    <w:rsid w:val="006043CE"/>
    <w:rsid w:val="00605C01"/>
    <w:rsid w:val="00607D11"/>
    <w:rsid w:val="006112CD"/>
    <w:rsid w:val="0063492B"/>
    <w:rsid w:val="006356D8"/>
    <w:rsid w:val="00645DFE"/>
    <w:rsid w:val="00650EEE"/>
    <w:rsid w:val="00655FCF"/>
    <w:rsid w:val="00670F2E"/>
    <w:rsid w:val="00676215"/>
    <w:rsid w:val="006A3784"/>
    <w:rsid w:val="006A7EC4"/>
    <w:rsid w:val="006B0922"/>
    <w:rsid w:val="006B5182"/>
    <w:rsid w:val="006B60B6"/>
    <w:rsid w:val="006B69E5"/>
    <w:rsid w:val="006B7DC9"/>
    <w:rsid w:val="006C0606"/>
    <w:rsid w:val="00704FDD"/>
    <w:rsid w:val="00714DA5"/>
    <w:rsid w:val="00723B61"/>
    <w:rsid w:val="00726F52"/>
    <w:rsid w:val="00727D76"/>
    <w:rsid w:val="007404FE"/>
    <w:rsid w:val="0076186D"/>
    <w:rsid w:val="00776F25"/>
    <w:rsid w:val="0078042F"/>
    <w:rsid w:val="0079168E"/>
    <w:rsid w:val="00791E5D"/>
    <w:rsid w:val="007B5D83"/>
    <w:rsid w:val="007B7B85"/>
    <w:rsid w:val="007C0DAB"/>
    <w:rsid w:val="007D3B61"/>
    <w:rsid w:val="007F2938"/>
    <w:rsid w:val="007F3652"/>
    <w:rsid w:val="007F6550"/>
    <w:rsid w:val="0082286E"/>
    <w:rsid w:val="00822EF6"/>
    <w:rsid w:val="0083327E"/>
    <w:rsid w:val="00862CD8"/>
    <w:rsid w:val="00866A75"/>
    <w:rsid w:val="00874449"/>
    <w:rsid w:val="008778B3"/>
    <w:rsid w:val="008909AC"/>
    <w:rsid w:val="008A0146"/>
    <w:rsid w:val="008A1021"/>
    <w:rsid w:val="008A21C3"/>
    <w:rsid w:val="008B5092"/>
    <w:rsid w:val="008B64A3"/>
    <w:rsid w:val="008C608A"/>
    <w:rsid w:val="008E5DF3"/>
    <w:rsid w:val="008F6242"/>
    <w:rsid w:val="008F7B03"/>
    <w:rsid w:val="0090707D"/>
    <w:rsid w:val="00915795"/>
    <w:rsid w:val="00932CAC"/>
    <w:rsid w:val="00937EA8"/>
    <w:rsid w:val="00954692"/>
    <w:rsid w:val="00955A20"/>
    <w:rsid w:val="009751F6"/>
    <w:rsid w:val="00993164"/>
    <w:rsid w:val="009969D6"/>
    <w:rsid w:val="009E40AF"/>
    <w:rsid w:val="009E6BD9"/>
    <w:rsid w:val="009F1F74"/>
    <w:rsid w:val="00A02CC8"/>
    <w:rsid w:val="00A11992"/>
    <w:rsid w:val="00A14F9D"/>
    <w:rsid w:val="00A229B9"/>
    <w:rsid w:val="00A32411"/>
    <w:rsid w:val="00A41FA4"/>
    <w:rsid w:val="00A475E6"/>
    <w:rsid w:val="00A5124E"/>
    <w:rsid w:val="00A55FEA"/>
    <w:rsid w:val="00A60115"/>
    <w:rsid w:val="00A75717"/>
    <w:rsid w:val="00A84E49"/>
    <w:rsid w:val="00AD292A"/>
    <w:rsid w:val="00AD5775"/>
    <w:rsid w:val="00AE172B"/>
    <w:rsid w:val="00AF4928"/>
    <w:rsid w:val="00AF5F78"/>
    <w:rsid w:val="00B1407F"/>
    <w:rsid w:val="00B240E2"/>
    <w:rsid w:val="00B3579B"/>
    <w:rsid w:val="00B74FAE"/>
    <w:rsid w:val="00B77EDD"/>
    <w:rsid w:val="00B902DF"/>
    <w:rsid w:val="00B931F7"/>
    <w:rsid w:val="00BA0F60"/>
    <w:rsid w:val="00BB0D1A"/>
    <w:rsid w:val="00BF11E1"/>
    <w:rsid w:val="00BF5FAB"/>
    <w:rsid w:val="00BF63F1"/>
    <w:rsid w:val="00C0534A"/>
    <w:rsid w:val="00C07F0E"/>
    <w:rsid w:val="00C162DA"/>
    <w:rsid w:val="00C20BEF"/>
    <w:rsid w:val="00C47255"/>
    <w:rsid w:val="00C54C9F"/>
    <w:rsid w:val="00C62B4E"/>
    <w:rsid w:val="00C754FB"/>
    <w:rsid w:val="00C901A3"/>
    <w:rsid w:val="00C90899"/>
    <w:rsid w:val="00C91106"/>
    <w:rsid w:val="00C920D8"/>
    <w:rsid w:val="00C94C30"/>
    <w:rsid w:val="00CA14D0"/>
    <w:rsid w:val="00CD3890"/>
    <w:rsid w:val="00CE3CD1"/>
    <w:rsid w:val="00D01FEA"/>
    <w:rsid w:val="00D339D4"/>
    <w:rsid w:val="00D41B97"/>
    <w:rsid w:val="00D54291"/>
    <w:rsid w:val="00D73363"/>
    <w:rsid w:val="00D8518B"/>
    <w:rsid w:val="00D91E09"/>
    <w:rsid w:val="00D9456A"/>
    <w:rsid w:val="00DA73FE"/>
    <w:rsid w:val="00DC0F8F"/>
    <w:rsid w:val="00DC6DD3"/>
    <w:rsid w:val="00DD15DF"/>
    <w:rsid w:val="00DD238D"/>
    <w:rsid w:val="00DE38F2"/>
    <w:rsid w:val="00DF054A"/>
    <w:rsid w:val="00DF4321"/>
    <w:rsid w:val="00E06162"/>
    <w:rsid w:val="00E2389C"/>
    <w:rsid w:val="00E34459"/>
    <w:rsid w:val="00E45CAA"/>
    <w:rsid w:val="00E50CF1"/>
    <w:rsid w:val="00E51895"/>
    <w:rsid w:val="00E647FE"/>
    <w:rsid w:val="00E71622"/>
    <w:rsid w:val="00E7453A"/>
    <w:rsid w:val="00E811E9"/>
    <w:rsid w:val="00E84E40"/>
    <w:rsid w:val="00EB341A"/>
    <w:rsid w:val="00EC1E35"/>
    <w:rsid w:val="00EC44C4"/>
    <w:rsid w:val="00ED0473"/>
    <w:rsid w:val="00F00F23"/>
    <w:rsid w:val="00F143FB"/>
    <w:rsid w:val="00F21E40"/>
    <w:rsid w:val="00F34A69"/>
    <w:rsid w:val="00F44B98"/>
    <w:rsid w:val="00F62AEE"/>
    <w:rsid w:val="00F63768"/>
    <w:rsid w:val="00F64E2D"/>
    <w:rsid w:val="00F73078"/>
    <w:rsid w:val="00F731FE"/>
    <w:rsid w:val="00F83831"/>
    <w:rsid w:val="00F91C65"/>
    <w:rsid w:val="00F93B02"/>
    <w:rsid w:val="00FA7191"/>
    <w:rsid w:val="00FE01FE"/>
    <w:rsid w:val="00FE68C7"/>
    <w:rsid w:val="00FF0F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CE1FDBF-B2EA-4BB0-94D6-013496A30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7200" w:firstLine="720"/>
      <w:outlineLvl w:val="0"/>
    </w:pPr>
    <w:rPr>
      <w:rFonts w:ascii="HelveticaLT" w:hAnsi="HelveticaLT"/>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link w:val="Heading4Char"/>
    <w:semiHidden/>
    <w:unhideWhenUsed/>
    <w:qFormat/>
    <w:rsid w:val="0026752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TimesLT" w:hAnsi="TimesLT"/>
      <w:sz w:val="22"/>
    </w:rPr>
  </w:style>
  <w:style w:type="paragraph" w:styleId="Title">
    <w:name w:val="Title"/>
    <w:basedOn w:val="Normal"/>
    <w:qFormat/>
    <w:pPr>
      <w:jc w:val="center"/>
    </w:pPr>
    <w:rPr>
      <w:b/>
      <w:sz w:val="28"/>
    </w:rPr>
  </w:style>
  <w:style w:type="paragraph" w:styleId="Subtitle">
    <w:name w:val="Subtitle"/>
    <w:basedOn w:val="Normal"/>
    <w:qFormat/>
    <w:pPr>
      <w:jc w:val="center"/>
    </w:pPr>
    <w:rPr>
      <w:b/>
      <w:sz w:val="28"/>
    </w:rPr>
  </w:style>
  <w:style w:type="paragraph" w:customStyle="1" w:styleId="western">
    <w:name w:val="western"/>
    <w:basedOn w:val="Normal"/>
    <w:rsid w:val="00E647FE"/>
    <w:pPr>
      <w:spacing w:before="100" w:beforeAutospacing="1"/>
    </w:pPr>
    <w:rPr>
      <w:rFonts w:ascii="TimesLT" w:hAnsi="TimesLT"/>
      <w:sz w:val="22"/>
      <w:szCs w:val="22"/>
      <w:lang w:eastAsia="lt-LT"/>
    </w:rPr>
  </w:style>
  <w:style w:type="paragraph" w:styleId="NormalWeb">
    <w:name w:val="Normal (Web)"/>
    <w:basedOn w:val="Normal"/>
    <w:rsid w:val="00E647FE"/>
    <w:pPr>
      <w:spacing w:before="100" w:beforeAutospacing="1" w:after="119"/>
    </w:pPr>
    <w:rPr>
      <w:sz w:val="24"/>
      <w:szCs w:val="24"/>
      <w:lang w:eastAsia="lt-LT"/>
    </w:rPr>
  </w:style>
  <w:style w:type="paragraph" w:customStyle="1" w:styleId="CharCharCharChar">
    <w:name w:val="Char Char Char Char"/>
    <w:basedOn w:val="Normal"/>
    <w:rsid w:val="00B1407F"/>
    <w:pPr>
      <w:spacing w:after="160" w:line="240" w:lineRule="exact"/>
    </w:pPr>
    <w:rPr>
      <w:rFonts w:ascii="Tahoma" w:hAnsi="Tahoma"/>
      <w:lang w:val="en-US"/>
    </w:rPr>
  </w:style>
  <w:style w:type="character" w:customStyle="1" w:styleId="Heading4Char">
    <w:name w:val="Heading 4 Char"/>
    <w:link w:val="Heading4"/>
    <w:semiHidden/>
    <w:rsid w:val="0026752F"/>
    <w:rPr>
      <w:rFonts w:ascii="Calibri" w:eastAsia="Times New Roman" w:hAnsi="Calibri" w:cs="Times New Roman"/>
      <w:b/>
      <w:bCs/>
      <w:sz w:val="28"/>
      <w:szCs w:val="28"/>
      <w:lang w:eastAsia="en-US"/>
    </w:rPr>
  </w:style>
  <w:style w:type="paragraph" w:styleId="BalloonText">
    <w:name w:val="Balloon Text"/>
    <w:basedOn w:val="Normal"/>
    <w:link w:val="BalloonTextChar"/>
    <w:rsid w:val="0076186D"/>
    <w:rPr>
      <w:rFonts w:ascii="Segoe UI" w:hAnsi="Segoe UI" w:cs="Segoe UI"/>
      <w:sz w:val="18"/>
      <w:szCs w:val="18"/>
    </w:rPr>
  </w:style>
  <w:style w:type="character" w:customStyle="1" w:styleId="BalloonTextChar">
    <w:name w:val="Balloon Text Char"/>
    <w:link w:val="BalloonText"/>
    <w:rsid w:val="0076186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183297">
      <w:bodyDiv w:val="1"/>
      <w:marLeft w:val="0"/>
      <w:marRight w:val="0"/>
      <w:marTop w:val="0"/>
      <w:marBottom w:val="0"/>
      <w:divBdr>
        <w:top w:val="none" w:sz="0" w:space="0" w:color="auto"/>
        <w:left w:val="none" w:sz="0" w:space="0" w:color="auto"/>
        <w:bottom w:val="none" w:sz="0" w:space="0" w:color="auto"/>
        <w:right w:val="none" w:sz="0" w:space="0" w:color="auto"/>
      </w:divBdr>
    </w:div>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245EC-1E1B-48D0-B7FC-F553E628F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1301</Words>
  <Characters>7416</Characters>
  <Application>Microsoft Office Word</Application>
  <DocSecurity>0</DocSecurity>
  <Lines>61</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RESPUBLIKA</vt:lpstr>
      <vt:lpstr>LIETUVOS RESPUBLIKA</vt:lpstr>
    </vt:vector>
  </TitlesOfParts>
  <Company>PMS</Company>
  <LinksUpToDate>false</LinksUpToDate>
  <CharactersWithSpaces>8700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Ingrida Mazaliauskienė</cp:lastModifiedBy>
  <cp:revision>3</cp:revision>
  <cp:lastPrinted>2015-03-04T13:29:00Z</cp:lastPrinted>
  <dcterms:created xsi:type="dcterms:W3CDTF">2015-03-06T11:56:00Z</dcterms:created>
  <dcterms:modified xsi:type="dcterms:W3CDTF">2015-03-06T11:56:00Z</dcterms:modified>
</cp:coreProperties>
</file>