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B2F" w:rsidRDefault="004D6B2F" w:rsidP="00321AAC">
      <w:pPr>
        <w:jc w:val="center"/>
      </w:pPr>
      <w:bookmarkStart w:id="0" w:name="_GoBack"/>
      <w:bookmarkEnd w:id="0"/>
    </w:p>
    <w:p w:rsidR="00321AAC" w:rsidRDefault="00321AAC" w:rsidP="00321AAC">
      <w:pPr>
        <w:jc w:val="center"/>
      </w:pPr>
      <w:r>
        <w:t>AIŠKINAMASIS RAŠTAS</w:t>
      </w:r>
    </w:p>
    <w:p w:rsidR="00321AAC" w:rsidRDefault="00321AAC" w:rsidP="00321AAC">
      <w:pPr>
        <w:jc w:val="center"/>
      </w:pPr>
    </w:p>
    <w:p w:rsidR="00321AAC" w:rsidRDefault="00321AAC" w:rsidP="00321AAC">
      <w:pPr>
        <w:jc w:val="center"/>
        <w:rPr>
          <w:b/>
        </w:rPr>
      </w:pPr>
      <w:r>
        <w:rPr>
          <w:b/>
        </w:rPr>
        <w:t>DĖL SPRENDIMO</w:t>
      </w:r>
    </w:p>
    <w:p w:rsidR="00321AAC" w:rsidRDefault="00321AAC" w:rsidP="00321AAC">
      <w:pPr>
        <w:jc w:val="center"/>
        <w:rPr>
          <w:b/>
          <w:bCs/>
        </w:rPr>
      </w:pPr>
      <w:bookmarkStart w:id="1" w:name="Nr"/>
      <w:bookmarkStart w:id="2" w:name="Pavadinimas"/>
      <w:r>
        <w:rPr>
          <w:b/>
          <w:lang w:eastAsia="en-US"/>
        </w:rPr>
        <w:t>,,</w:t>
      </w:r>
      <w:r w:rsidRPr="00192A41">
        <w:rPr>
          <w:b/>
          <w:lang w:eastAsia="en-US"/>
        </w:rPr>
        <w:t xml:space="preserve">DĖL </w:t>
      </w:r>
      <w:r w:rsidRPr="00020FA1">
        <w:rPr>
          <w:b/>
          <w:bCs/>
        </w:rPr>
        <w:t xml:space="preserve">LAIDOJIMO PAŠALPŲ SKYRIMO IR MOKĖJIMO </w:t>
      </w:r>
    </w:p>
    <w:p w:rsidR="00321AAC" w:rsidRDefault="00321AAC" w:rsidP="00321AAC">
      <w:pPr>
        <w:jc w:val="center"/>
        <w:rPr>
          <w:b/>
          <w:bCs/>
        </w:rPr>
      </w:pPr>
      <w:r>
        <w:rPr>
          <w:b/>
          <w:bCs/>
        </w:rPr>
        <w:t>TVARKOS APRAŠO PATVIRTINIMO</w:t>
      </w:r>
    </w:p>
    <w:bookmarkEnd w:id="1"/>
    <w:bookmarkEnd w:id="2"/>
    <w:p w:rsidR="00321AAC" w:rsidRDefault="00321AAC" w:rsidP="00321AAC">
      <w:pPr>
        <w:jc w:val="center"/>
      </w:pPr>
    </w:p>
    <w:p w:rsidR="00321AAC" w:rsidRDefault="00321AAC" w:rsidP="00321AAC">
      <w:pPr>
        <w:jc w:val="center"/>
      </w:pPr>
      <w:r>
        <w:t xml:space="preserve">2014-12-01 </w:t>
      </w:r>
    </w:p>
    <w:p w:rsidR="00321AAC" w:rsidRDefault="00321AAC" w:rsidP="00321AAC">
      <w:pPr>
        <w:jc w:val="center"/>
      </w:pPr>
      <w:r>
        <w:t>Panevėžys</w:t>
      </w:r>
    </w:p>
    <w:p w:rsidR="00321AAC" w:rsidRPr="004F0EE3" w:rsidRDefault="00321AAC" w:rsidP="00321AAC">
      <w:pPr>
        <w:ind w:firstLine="1296"/>
        <w:rPr>
          <w:b/>
        </w:rPr>
      </w:pPr>
      <w:r>
        <w:rPr>
          <w:b/>
        </w:rPr>
        <w:t xml:space="preserve">1. </w:t>
      </w:r>
      <w:r w:rsidRPr="004F0EE3">
        <w:rPr>
          <w:b/>
        </w:rPr>
        <w:t xml:space="preserve">Problemos esmė: </w:t>
      </w:r>
    </w:p>
    <w:p w:rsidR="00321AAC" w:rsidRDefault="00321AAC" w:rsidP="00321AAC">
      <w:pPr>
        <w:tabs>
          <w:tab w:val="num" w:pos="0"/>
        </w:tabs>
        <w:jc w:val="both"/>
      </w:pPr>
      <w:r>
        <w:tab/>
      </w:r>
      <w:r w:rsidR="007F5E5B">
        <w:t xml:space="preserve">Sprendimo projektu prašome patvirtinti Laidojimo pašalpų skyrimo ir mokėjimo tvarkos aprašą ( toliau-Aprašas), kuris  </w:t>
      </w:r>
      <w:r w:rsidRPr="004F0EE3">
        <w:t xml:space="preserve"> </w:t>
      </w:r>
      <w:r>
        <w:t>par</w:t>
      </w:r>
      <w:r w:rsidR="007F5E5B">
        <w:t xml:space="preserve">engtas </w:t>
      </w:r>
      <w:r>
        <w:t xml:space="preserve"> pagal </w:t>
      </w:r>
      <w:r w:rsidRPr="004F0EE3">
        <w:t xml:space="preserve"> </w:t>
      </w:r>
      <w:r>
        <w:t>Lietuvos Respublikos paramos mirties atveju įstatymą</w:t>
      </w:r>
      <w:r w:rsidR="00CF095D">
        <w:t xml:space="preserve"> (toliau-Įstatymas). </w:t>
      </w:r>
      <w:r>
        <w:t xml:space="preserve"> Vadovaujantis </w:t>
      </w:r>
      <w:r w:rsidR="00CF095D">
        <w:t xml:space="preserve">Įstatymu skiriamos  ir mokamos </w:t>
      </w:r>
      <w:r>
        <w:t xml:space="preserve"> laidojimo pašalpos</w:t>
      </w:r>
      <w:r w:rsidR="00CF095D">
        <w:t xml:space="preserve"> iš</w:t>
      </w:r>
      <w:r w:rsidR="00CF095D" w:rsidRPr="00CF095D">
        <w:t xml:space="preserve"> </w:t>
      </w:r>
      <w:r w:rsidR="00CF095D" w:rsidRPr="00020FA1">
        <w:t xml:space="preserve"> valstybės biudžeto specialiosios tikslinės dotacijos savivaldybių biudžetams</w:t>
      </w:r>
      <w:r>
        <w:t xml:space="preserve">. </w:t>
      </w:r>
      <w:r w:rsidR="00377A86">
        <w:t>Į</w:t>
      </w:r>
      <w:r w:rsidR="00CF095D">
        <w:t xml:space="preserve">statymo </w:t>
      </w:r>
      <w:r>
        <w:t xml:space="preserve">3 straipsnio 4 dalimi </w:t>
      </w:r>
      <w:r w:rsidR="00377A86">
        <w:t xml:space="preserve">suteikta teisė </w:t>
      </w:r>
      <w:r>
        <w:t xml:space="preserve"> nustatyti </w:t>
      </w:r>
      <w:r w:rsidR="00377A86">
        <w:t xml:space="preserve">mokėti </w:t>
      </w:r>
      <w:r>
        <w:t xml:space="preserve">laidojimo pašalpos </w:t>
      </w:r>
      <w:r w:rsidR="00377A86">
        <w:t xml:space="preserve">iš savivaldybės biudžeto lėšų </w:t>
      </w:r>
      <w:r>
        <w:t>mirus Lietuvos Respublikos teritorijoje nedeklaruotiems ir nei vienoje iš savivaldybių neapskaitytiems asmenims.</w:t>
      </w:r>
      <w:r w:rsidR="007F5E5B">
        <w:t xml:space="preserve"> Aprašu  siūloma patvirtinti laidojimo pašalpos skyrimo ir mokėjimo sąlygas ir tvarką iš </w:t>
      </w:r>
      <w:r w:rsidR="007F5E5B" w:rsidRPr="00020FA1">
        <w:t>valstybės biudžeto specialiosios tikslinės dotacijos savivaldybių biudžetams</w:t>
      </w:r>
      <w:r w:rsidR="007F5E5B">
        <w:t xml:space="preserve"> ( Aprašo II dalis) ir laidojimo pašalpos iš Panevėžio miesto savivaldybės biudžeto lėšų skyrimo ir mokėjimo tvarką ( Aprašo III dalis).</w:t>
      </w:r>
      <w:r>
        <w:t xml:space="preserve">  </w:t>
      </w:r>
    </w:p>
    <w:p w:rsidR="00321AAC" w:rsidRPr="004F0EE3" w:rsidRDefault="00321AAC" w:rsidP="00321AAC">
      <w:pPr>
        <w:tabs>
          <w:tab w:val="num" w:pos="0"/>
        </w:tabs>
        <w:jc w:val="both"/>
        <w:rPr>
          <w:b/>
        </w:rPr>
      </w:pPr>
      <w:r>
        <w:rPr>
          <w:b/>
          <w:noProof/>
        </w:rPr>
        <w:tab/>
      </w:r>
      <w:r w:rsidRPr="004F0EE3">
        <w:rPr>
          <w:b/>
          <w:noProof/>
        </w:rPr>
        <w:t>2.</w:t>
      </w:r>
      <w:r w:rsidRPr="004F0EE3">
        <w:rPr>
          <w:noProof/>
        </w:rPr>
        <w:t xml:space="preserve"> </w:t>
      </w:r>
      <w:r w:rsidRPr="004F0EE3">
        <w:rPr>
          <w:b/>
        </w:rPr>
        <w:t xml:space="preserve">Kaip šiuo metu sprendžiami sprendimo projekte aptarti klausimai: </w:t>
      </w:r>
    </w:p>
    <w:p w:rsidR="00321AAC" w:rsidRDefault="00321AAC" w:rsidP="00321AAC">
      <w:pPr>
        <w:tabs>
          <w:tab w:val="num" w:pos="0"/>
        </w:tabs>
        <w:jc w:val="both"/>
      </w:pPr>
      <w:r>
        <w:tab/>
        <w:t xml:space="preserve">Šiuo metu </w:t>
      </w:r>
      <w:r w:rsidR="00377A86">
        <w:t xml:space="preserve">laidojimo pašalpas iš </w:t>
      </w:r>
      <w:r w:rsidRPr="000E1AC7">
        <w:t xml:space="preserve"> </w:t>
      </w:r>
      <w:r w:rsidR="00377A86" w:rsidRPr="00020FA1">
        <w:t>valstybės biudžeto specialiosios tikslinės dotacijos savivaldybių biudžetams</w:t>
      </w:r>
      <w:r w:rsidRPr="000E1AC7">
        <w:t xml:space="preserve"> </w:t>
      </w:r>
      <w:r w:rsidR="00377A86">
        <w:t xml:space="preserve">skiria ir moka Socialinės paramos skyrius. </w:t>
      </w:r>
      <w:r w:rsidRPr="000E1AC7">
        <w:t xml:space="preserve"> </w:t>
      </w:r>
      <w:r>
        <w:t xml:space="preserve">Lietuvos Respublikos teritorijoje nedeklaruotiems ir nei vienoje iš savivaldybių neapskaitytiems asmenims laidojimo pašalpos nemokamos. </w:t>
      </w:r>
    </w:p>
    <w:p w:rsidR="00321AAC" w:rsidRPr="004F0EE3" w:rsidRDefault="00321AAC" w:rsidP="00321AAC">
      <w:pPr>
        <w:tabs>
          <w:tab w:val="num" w:pos="0"/>
        </w:tabs>
        <w:jc w:val="both"/>
      </w:pPr>
      <w:r>
        <w:tab/>
      </w:r>
      <w:r w:rsidRPr="004F0EE3">
        <w:rPr>
          <w:b/>
        </w:rPr>
        <w:t>3.</w:t>
      </w:r>
      <w:r w:rsidRPr="004F0EE3">
        <w:t xml:space="preserve"> </w:t>
      </w:r>
      <w:r w:rsidRPr="004F0EE3">
        <w:rPr>
          <w:b/>
        </w:rPr>
        <w:t>Sprendimo priėmimo būtinumo pagrindimas, kokių pozityvių rezultatų laukiama</w:t>
      </w:r>
      <w:r w:rsidRPr="004F0EE3">
        <w:t xml:space="preserve">: </w:t>
      </w:r>
    </w:p>
    <w:p w:rsidR="008E1939" w:rsidRPr="008E1939" w:rsidRDefault="00321AAC" w:rsidP="008E1939">
      <w:pPr>
        <w:pStyle w:val="ListParagraph"/>
        <w:tabs>
          <w:tab w:val="left" w:pos="709"/>
          <w:tab w:val="left" w:pos="851"/>
        </w:tabs>
        <w:ind w:left="0" w:firstLine="567"/>
        <w:contextualSpacing/>
        <w:jc w:val="both"/>
      </w:pPr>
      <w:r>
        <w:tab/>
      </w:r>
      <w:r w:rsidR="00377A86">
        <w:tab/>
      </w:r>
      <w:r w:rsidR="008E1939">
        <w:tab/>
      </w:r>
      <w:r w:rsidR="00377A86">
        <w:t xml:space="preserve">Paruoštu sprendimo projektu prašomas patvirtini </w:t>
      </w:r>
      <w:r w:rsidR="007F5E5B">
        <w:t>A</w:t>
      </w:r>
      <w:r w:rsidR="00377A86" w:rsidRPr="00020FA1">
        <w:t>prašas</w:t>
      </w:r>
      <w:r w:rsidR="007F5E5B">
        <w:t xml:space="preserve"> </w:t>
      </w:r>
      <w:r w:rsidR="00377A86" w:rsidRPr="00020FA1">
        <w:t xml:space="preserve"> </w:t>
      </w:r>
      <w:r w:rsidR="00377A86">
        <w:t xml:space="preserve">visų pirma reikalingas tam, kad </w:t>
      </w:r>
      <w:r w:rsidR="008E1939">
        <w:t xml:space="preserve">nustatytų </w:t>
      </w:r>
      <w:r w:rsidR="00377A86" w:rsidRPr="00020FA1">
        <w:t xml:space="preserve"> asmenų, turinčių teisę gauti laidojimo pašalpą iš </w:t>
      </w:r>
      <w:r w:rsidR="00377A86">
        <w:t xml:space="preserve">Panevėžio </w:t>
      </w:r>
      <w:r w:rsidR="00377A86" w:rsidRPr="00020FA1">
        <w:t xml:space="preserve"> miesto savivaldybės biudžeto lėšų, kategorijas, šios laidojimo pašalpos skyrimo ir mokėjimo sąlygas ir tvarką </w:t>
      </w:r>
      <w:r w:rsidR="00377A86">
        <w:t xml:space="preserve">Panevėžio  miesto savivaldybėje. </w:t>
      </w:r>
      <w:r w:rsidR="008E1939">
        <w:t>Siūloma skirti laidojimo pašalpą mirus Lietuvos Respublikos teritorijoje nedeklaruotam  ir nei vienoje iš savivaldybių neapskaitytam asmeniui iš Panevėžio miesto biudžeto lėšų tik tokiu atveju, jei mirusiojo faktinė gyvenamoji vieta mirties dieną buvo Panevėžio mieste arba mirus</w:t>
      </w:r>
      <w:r w:rsidR="008E1939" w:rsidRPr="008E1939">
        <w:t xml:space="preserve"> </w:t>
      </w:r>
      <w:r w:rsidR="008E1939">
        <w:t xml:space="preserve">mirusysis turėjo pagal VĮ Registrų centro duomenis Panevėžio mieste įregistruoto nekilnojamo </w:t>
      </w:r>
      <w:r w:rsidR="008E1939" w:rsidRPr="00977F8F">
        <w:t>turto  ir</w:t>
      </w:r>
      <w:r w:rsidR="008E1939">
        <w:t xml:space="preserve"> </w:t>
      </w:r>
      <w:r w:rsidR="008E1939" w:rsidRPr="008E1939">
        <w:t xml:space="preserve">laidojimo  pašalpos prašantis asmuo yra mirusįjį palaidojęs asmuo.  </w:t>
      </w:r>
      <w:r w:rsidR="008E1939">
        <w:t xml:space="preserve">( Aprašo 13, </w:t>
      </w:r>
      <w:r w:rsidR="008E1939" w:rsidRPr="008E1939">
        <w:t xml:space="preserve">14 </w:t>
      </w:r>
      <w:r w:rsidR="008E1939">
        <w:t xml:space="preserve">ir 16 </w:t>
      </w:r>
      <w:r w:rsidR="008E1939" w:rsidRPr="008E1939">
        <w:t xml:space="preserve">punktai). </w:t>
      </w:r>
    </w:p>
    <w:p w:rsidR="00377A86" w:rsidRPr="00020FA1" w:rsidRDefault="00C64240" w:rsidP="00377A86">
      <w:pPr>
        <w:tabs>
          <w:tab w:val="left" w:pos="851"/>
        </w:tabs>
        <w:spacing w:after="200"/>
        <w:contextualSpacing/>
        <w:jc w:val="both"/>
      </w:pPr>
      <w:r>
        <w:tab/>
      </w:r>
      <w:r>
        <w:tab/>
      </w:r>
      <w:r w:rsidR="008E1939">
        <w:t>A</w:t>
      </w:r>
      <w:r>
        <w:t xml:space="preserve">prašo II dalimi </w:t>
      </w:r>
      <w:r w:rsidR="00377A86">
        <w:t xml:space="preserve"> </w:t>
      </w:r>
      <w:r>
        <w:t xml:space="preserve">nustatytos sąlygos ir tvarka </w:t>
      </w:r>
      <w:r w:rsidR="00FC0157">
        <w:t xml:space="preserve"> l</w:t>
      </w:r>
      <w:r w:rsidR="00377A86" w:rsidRPr="00020FA1">
        <w:t>aidojimo pašalpos, mokamos iš valstybės biudžeto specialiosios tikslinės do</w:t>
      </w:r>
      <w:r w:rsidR="008E1939">
        <w:t>tacijos savivaldybių biudžetams</w:t>
      </w:r>
      <w:r w:rsidR="00377A86" w:rsidRPr="00020FA1">
        <w:t xml:space="preserve">, </w:t>
      </w:r>
      <w:r w:rsidR="00377A86">
        <w:t xml:space="preserve">Panevėžio </w:t>
      </w:r>
      <w:r>
        <w:t xml:space="preserve"> miesto savivaldybėje. </w:t>
      </w:r>
      <w:r w:rsidR="008E1939">
        <w:t>Sąlygos ir tvarka Įstatymo nuostatoms neprieštarauja.</w:t>
      </w:r>
    </w:p>
    <w:p w:rsidR="00321AAC" w:rsidRPr="004F0EE3" w:rsidRDefault="00321AAC" w:rsidP="00321AAC">
      <w:pPr>
        <w:tabs>
          <w:tab w:val="num" w:pos="0"/>
        </w:tabs>
        <w:jc w:val="both"/>
        <w:rPr>
          <w:b/>
        </w:rPr>
      </w:pPr>
      <w:r>
        <w:rPr>
          <w:b/>
        </w:rPr>
        <w:tab/>
        <w:t xml:space="preserve">4. </w:t>
      </w:r>
      <w:r w:rsidRPr="004F0EE3">
        <w:rPr>
          <w:b/>
        </w:rPr>
        <w:t>Skaičiavimai, išlaidų sąmatos, finansavimo šaltiniai:</w:t>
      </w:r>
    </w:p>
    <w:p w:rsidR="00321AAC" w:rsidRPr="004F0EE3" w:rsidRDefault="00321AAC" w:rsidP="00FC0157">
      <w:pPr>
        <w:tabs>
          <w:tab w:val="num" w:pos="0"/>
        </w:tabs>
        <w:jc w:val="both"/>
      </w:pPr>
      <w:r>
        <w:tab/>
      </w:r>
      <w:r w:rsidR="00624E4D">
        <w:t>Laidojimo pašalpa yra vienkartinė pašalpa t. y.  mirus asmeniui ji mokama tik vieną kartą. Pagal Įstatymą l</w:t>
      </w:r>
      <w:r w:rsidR="00FC0157">
        <w:t xml:space="preserve">aidojimo </w:t>
      </w:r>
      <w:r w:rsidRPr="004F0EE3">
        <w:t xml:space="preserve"> pašalpa </w:t>
      </w:r>
      <w:r w:rsidR="00624E4D">
        <w:t>mirus asmeniui, kuris buvo deklaravęs savo gyvenamąją vietą arba buvo apskaitytas, mokama</w:t>
      </w:r>
      <w:r w:rsidRPr="004F0EE3">
        <w:t xml:space="preserve"> iš </w:t>
      </w:r>
      <w:r w:rsidR="00FC0157" w:rsidRPr="00020FA1">
        <w:t>valstybės biudžeto specialiosios tikslinės dotacijos savivaldybių biudžetams</w:t>
      </w:r>
      <w:r w:rsidR="00FC0157">
        <w:t xml:space="preserve">. </w:t>
      </w:r>
      <w:r w:rsidR="00624E4D">
        <w:t xml:space="preserve">Mirus asmeniui, kuris nebuvo deklaravęs ar apskaitytas Lietuvoje,  laidojimo pašalpa pagal Įstatymą </w:t>
      </w:r>
      <w:r w:rsidR="00624E4D" w:rsidRPr="004F0EE3">
        <w:t xml:space="preserve">iš </w:t>
      </w:r>
      <w:r w:rsidR="00624E4D" w:rsidRPr="00020FA1">
        <w:t>valstybės biudžeto specialiosios tikslinės dotacijos savivaldybių biudžetams</w:t>
      </w:r>
      <w:r w:rsidR="00624E4D">
        <w:t xml:space="preserve"> nemokama. Tokiu atveju pakeitus Įstatymą nuo  2014 m. birželio 1 dienos laidojimo pašalpa gali būti mokama tik </w:t>
      </w:r>
      <w:r w:rsidR="00FC0157">
        <w:t xml:space="preserve"> iš s</w:t>
      </w:r>
      <w:r w:rsidRPr="004F0EE3">
        <w:t>avivaldybės biudžeto lėšų</w:t>
      </w:r>
      <w:r w:rsidR="00FC0157">
        <w:t xml:space="preserve"> </w:t>
      </w:r>
      <w:r w:rsidR="00624E4D">
        <w:t xml:space="preserve">Tarybos nustatyta tvarka. </w:t>
      </w:r>
      <w:r w:rsidR="00C64240">
        <w:t xml:space="preserve">Iš savivaldybės biudžeto mokamos laidojimo pašalpos dydis yra toks pat kaip ir iš valstybės lėšų t. y. </w:t>
      </w:r>
      <w:r w:rsidR="006C0897">
        <w:t xml:space="preserve">8 bazinių socialinių išmokų dydžio pašalpa (pagal Įstatymo 4 straipsnį). Pašalpos dydis litais šiuo metu yra   </w:t>
      </w:r>
      <w:r w:rsidR="00C64240">
        <w:t>1040,00 litų</w:t>
      </w:r>
      <w:r w:rsidR="006C0897">
        <w:t xml:space="preserve">, o nuo 2015 m. sausio mėnesio eurais - </w:t>
      </w:r>
      <w:r w:rsidR="001B252D">
        <w:t>30</w:t>
      </w:r>
      <w:r w:rsidR="006C0897">
        <w:t>4</w:t>
      </w:r>
      <w:r w:rsidR="001B252D">
        <w:t xml:space="preserve"> eur</w:t>
      </w:r>
      <w:r w:rsidR="006C0897">
        <w:t>ai</w:t>
      </w:r>
      <w:r w:rsidR="001B252D">
        <w:t xml:space="preserve"> </w:t>
      </w:r>
      <w:r w:rsidR="00C64240">
        <w:t xml:space="preserve">už asmenį. </w:t>
      </w:r>
      <w:r w:rsidR="00FC0157">
        <w:t xml:space="preserve">Iki šio Įstatymo pakeitimo mirus Lietuvos Respublikos teritorijoje nedeklaruotam  ir nei vienoje iš savivaldybių neapskaitytam  asmeniui  laidojimo pašalpos nebuvo mokamos, todėl tokių asmenų apskaita nebuvo vedama. </w:t>
      </w:r>
    </w:p>
    <w:p w:rsidR="00321AAC" w:rsidRPr="004F0EE3" w:rsidRDefault="00321AAC" w:rsidP="00321AAC">
      <w:pPr>
        <w:tabs>
          <w:tab w:val="num" w:pos="0"/>
        </w:tabs>
        <w:jc w:val="both"/>
      </w:pPr>
      <w:r>
        <w:rPr>
          <w:b/>
        </w:rPr>
        <w:t xml:space="preserve">                     5.</w:t>
      </w:r>
      <w:r w:rsidRPr="004F0EE3">
        <w:rPr>
          <w:b/>
        </w:rPr>
        <w:t xml:space="preserve"> Galimos neigiamos pasekmės priėmus sprendimą, kokių priemonių reikėtų imtis, kad tokių pasekmių būtų išvengta</w:t>
      </w:r>
      <w:r w:rsidRPr="004F0EE3">
        <w:t xml:space="preserve">: </w:t>
      </w:r>
    </w:p>
    <w:p w:rsidR="00321AAC" w:rsidRPr="004F0EE3" w:rsidRDefault="00C64240" w:rsidP="00321AAC">
      <w:pPr>
        <w:tabs>
          <w:tab w:val="num" w:pos="0"/>
        </w:tabs>
      </w:pPr>
      <w:r>
        <w:tab/>
      </w:r>
      <w:r w:rsidR="00321AAC" w:rsidRPr="004F0EE3">
        <w:t xml:space="preserve">Neigiamų pasekmių priėmus sprendimą nebus. </w:t>
      </w:r>
    </w:p>
    <w:p w:rsidR="00321AAC" w:rsidRPr="004F0EE3" w:rsidRDefault="00321AAC" w:rsidP="00321AAC">
      <w:pPr>
        <w:tabs>
          <w:tab w:val="num" w:pos="0"/>
        </w:tabs>
      </w:pPr>
      <w:r>
        <w:rPr>
          <w:b/>
        </w:rPr>
        <w:tab/>
      </w:r>
      <w:r w:rsidRPr="004F0EE3">
        <w:rPr>
          <w:b/>
        </w:rPr>
        <w:t>6. Kieno iniciatyva parengtas sprendimo projektas</w:t>
      </w:r>
      <w:r w:rsidRPr="004F0EE3">
        <w:t>:</w:t>
      </w:r>
    </w:p>
    <w:p w:rsidR="00321AAC" w:rsidRPr="00B31AE0" w:rsidRDefault="00C64240" w:rsidP="00321AAC">
      <w:pPr>
        <w:tabs>
          <w:tab w:val="num" w:pos="0"/>
        </w:tabs>
      </w:pPr>
      <w:r>
        <w:tab/>
      </w:r>
      <w:r w:rsidR="00321AAC" w:rsidRPr="004F0EE3">
        <w:t>Socialinės paramos skyriaus iniciatyva.</w:t>
      </w:r>
    </w:p>
    <w:p w:rsidR="00321AAC" w:rsidRPr="00F9529E" w:rsidRDefault="00321AAC" w:rsidP="00A32CB9">
      <w:pPr>
        <w:pStyle w:val="BodyText"/>
        <w:spacing w:after="0"/>
        <w:ind w:right="638"/>
        <w:rPr>
          <w:sz w:val="24"/>
          <w:szCs w:val="24"/>
        </w:rPr>
      </w:pPr>
      <w:r>
        <w:rPr>
          <w:sz w:val="24"/>
          <w:szCs w:val="24"/>
        </w:rPr>
        <w:t>PRIDEDAMA</w:t>
      </w:r>
      <w:r w:rsidRPr="00F9529E">
        <w:rPr>
          <w:sz w:val="24"/>
          <w:szCs w:val="24"/>
        </w:rPr>
        <w:t xml:space="preserve">: 1. </w:t>
      </w:r>
      <w:r>
        <w:rPr>
          <w:sz w:val="24"/>
          <w:szCs w:val="24"/>
        </w:rPr>
        <w:t>T</w:t>
      </w:r>
      <w:r w:rsidRPr="00F9529E">
        <w:rPr>
          <w:sz w:val="24"/>
          <w:szCs w:val="24"/>
        </w:rPr>
        <w:t>eisės aktų ar jų projektų kokybės vertinimo klausimynas</w:t>
      </w:r>
      <w:r>
        <w:rPr>
          <w:sz w:val="24"/>
          <w:szCs w:val="24"/>
        </w:rPr>
        <w:t>, 1 lapas;</w:t>
      </w:r>
      <w:r w:rsidRPr="00F9529E">
        <w:rPr>
          <w:sz w:val="24"/>
          <w:szCs w:val="24"/>
        </w:rPr>
        <w:t xml:space="preserve"> </w:t>
      </w:r>
    </w:p>
    <w:p w:rsidR="00321AAC" w:rsidRDefault="00321AAC" w:rsidP="00A32CB9">
      <w:pPr>
        <w:pStyle w:val="BodyText"/>
        <w:spacing w:after="0"/>
        <w:rPr>
          <w:sz w:val="24"/>
          <w:szCs w:val="24"/>
        </w:rPr>
      </w:pPr>
      <w:r w:rsidRPr="00F9529E">
        <w:rPr>
          <w:sz w:val="24"/>
          <w:szCs w:val="24"/>
        </w:rPr>
        <w:tab/>
      </w:r>
      <w:r>
        <w:rPr>
          <w:sz w:val="24"/>
          <w:szCs w:val="24"/>
        </w:rPr>
        <w:t xml:space="preserve">     2. T</w:t>
      </w:r>
      <w:r w:rsidRPr="00F9529E">
        <w:rPr>
          <w:sz w:val="24"/>
          <w:szCs w:val="24"/>
        </w:rPr>
        <w:t>eisės aktų arba teisės aktų projektų turinio vertinimo klausimynas</w:t>
      </w:r>
      <w:r>
        <w:rPr>
          <w:sz w:val="24"/>
          <w:szCs w:val="24"/>
        </w:rPr>
        <w:t>, 1 lapas.</w:t>
      </w:r>
    </w:p>
    <w:p w:rsidR="00A32CB9" w:rsidRDefault="00A32CB9" w:rsidP="00A32CB9">
      <w:pPr>
        <w:pStyle w:val="BodyText"/>
        <w:spacing w:after="0"/>
      </w:pPr>
    </w:p>
    <w:p w:rsidR="00321AAC" w:rsidRDefault="00321AAC" w:rsidP="00321AAC">
      <w:r>
        <w:t xml:space="preserve">Socialinės paramos skyriaus vedėjo pavaduotoja </w:t>
      </w:r>
      <w:r>
        <w:tab/>
      </w:r>
      <w:r>
        <w:tab/>
        <w:t xml:space="preserve">   </w:t>
      </w:r>
      <w:r w:rsidR="004D6B2F">
        <w:t xml:space="preserve">       </w:t>
      </w:r>
      <w:r>
        <w:t xml:space="preserve">   Zita </w:t>
      </w:r>
      <w:proofErr w:type="spellStart"/>
      <w:r>
        <w:t>Ragėnienė</w:t>
      </w:r>
      <w:proofErr w:type="spellEnd"/>
      <w:r>
        <w:t xml:space="preserve"> </w:t>
      </w:r>
    </w:p>
    <w:p w:rsidR="00321AAC" w:rsidRDefault="00321AAC" w:rsidP="00C64240">
      <w:r>
        <w:t xml:space="preserve">   </w:t>
      </w:r>
    </w:p>
    <w:p w:rsidR="00321AAC" w:rsidRPr="003C741F" w:rsidRDefault="00321AAC" w:rsidP="00321AAC">
      <w:pPr>
        <w:pStyle w:val="Pagrindinistekstas21"/>
        <w:spacing w:line="240" w:lineRule="auto"/>
        <w:ind w:left="5400"/>
        <w:jc w:val="left"/>
      </w:pPr>
      <w:r w:rsidRPr="003C741F">
        <w:lastRenderedPageBreak/>
        <w:t>Panevėžio miesto savivaldybės teisės aktų ar jų projektų antikorupcinio</w:t>
      </w:r>
    </w:p>
    <w:p w:rsidR="00321AAC" w:rsidRPr="003C741F" w:rsidRDefault="00321AAC" w:rsidP="00321AAC">
      <w:pPr>
        <w:ind w:left="5400"/>
      </w:pPr>
      <w:r w:rsidRPr="003C741F">
        <w:t>vertinimo metodikos</w:t>
      </w:r>
    </w:p>
    <w:p w:rsidR="00321AAC" w:rsidRPr="003C741F" w:rsidRDefault="00321AAC" w:rsidP="00321AAC">
      <w:pPr>
        <w:ind w:left="5400"/>
      </w:pPr>
      <w:r w:rsidRPr="003C741F">
        <w:t>1 priedas</w:t>
      </w:r>
    </w:p>
    <w:p w:rsidR="00321AAC" w:rsidRPr="003C741F" w:rsidRDefault="00321AAC" w:rsidP="00321AAC"/>
    <w:p w:rsidR="00321AAC" w:rsidRPr="00C64240" w:rsidRDefault="00321AAC" w:rsidP="00C64240">
      <w:pPr>
        <w:pStyle w:val="BodyText"/>
        <w:ind w:right="638"/>
        <w:jc w:val="center"/>
        <w:rPr>
          <w:b/>
          <w:sz w:val="24"/>
          <w:szCs w:val="24"/>
        </w:rPr>
      </w:pPr>
      <w:r w:rsidRPr="00C64240">
        <w:rPr>
          <w:b/>
          <w:sz w:val="24"/>
          <w:szCs w:val="24"/>
        </w:rPr>
        <w:t>TEISĖS AKTŲ AR JŲ PROJEKTŲ KOKYBĖS VERTINIMO KLAUSIMYNAS</w:t>
      </w:r>
    </w:p>
    <w:p w:rsidR="00321AAC" w:rsidRPr="003C741F" w:rsidRDefault="00321AAC" w:rsidP="00321AAC"/>
    <w:tbl>
      <w:tblPr>
        <w:tblW w:w="0" w:type="auto"/>
        <w:tblInd w:w="-180" w:type="dxa"/>
        <w:tblLayout w:type="fixed"/>
        <w:tblCellMar>
          <w:left w:w="0" w:type="dxa"/>
          <w:right w:w="0" w:type="dxa"/>
        </w:tblCellMar>
        <w:tblLook w:val="0000" w:firstRow="0" w:lastRow="0" w:firstColumn="0" w:lastColumn="0" w:noHBand="0" w:noVBand="0"/>
      </w:tblPr>
      <w:tblGrid>
        <w:gridCol w:w="574"/>
        <w:gridCol w:w="6806"/>
        <w:gridCol w:w="1080"/>
        <w:gridCol w:w="910"/>
      </w:tblGrid>
      <w:tr w:rsidR="00321AAC" w:rsidRPr="003C741F" w:rsidTr="00091281">
        <w:trPr>
          <w:trHeight w:val="705"/>
        </w:trPr>
        <w:tc>
          <w:tcPr>
            <w:tcW w:w="574" w:type="dxa"/>
            <w:tcBorders>
              <w:top w:val="single" w:sz="4" w:space="0" w:color="000000"/>
              <w:left w:val="single" w:sz="4" w:space="0" w:color="000000"/>
              <w:bottom w:val="single" w:sz="4" w:space="0" w:color="000000"/>
            </w:tcBorders>
            <w:shd w:val="clear" w:color="auto" w:fill="auto"/>
          </w:tcPr>
          <w:p w:rsidR="00321AAC" w:rsidRPr="003C741F" w:rsidRDefault="00321AAC" w:rsidP="00091281">
            <w:pPr>
              <w:snapToGrid w:val="0"/>
              <w:jc w:val="center"/>
              <w:rPr>
                <w:bCs/>
              </w:rPr>
            </w:pPr>
            <w:r w:rsidRPr="003C741F">
              <w:rPr>
                <w:bCs/>
              </w:rPr>
              <w:t>Eil.</w:t>
            </w:r>
          </w:p>
          <w:p w:rsidR="00321AAC" w:rsidRPr="003C741F" w:rsidRDefault="00321AAC" w:rsidP="00091281">
            <w:pPr>
              <w:jc w:val="center"/>
              <w:rPr>
                <w:bCs/>
              </w:rPr>
            </w:pPr>
            <w:r w:rsidRPr="003C741F">
              <w:rPr>
                <w:bCs/>
              </w:rPr>
              <w:t>Nr.</w:t>
            </w:r>
          </w:p>
        </w:tc>
        <w:tc>
          <w:tcPr>
            <w:tcW w:w="6806" w:type="dxa"/>
            <w:tcBorders>
              <w:top w:val="single" w:sz="4" w:space="0" w:color="000000"/>
              <w:left w:val="single" w:sz="4" w:space="0" w:color="000000"/>
              <w:bottom w:val="single" w:sz="4" w:space="0" w:color="000000"/>
            </w:tcBorders>
            <w:shd w:val="clear" w:color="auto" w:fill="auto"/>
          </w:tcPr>
          <w:p w:rsidR="00321AAC" w:rsidRPr="003C741F" w:rsidRDefault="00321AAC" w:rsidP="00091281">
            <w:pPr>
              <w:pStyle w:val="Heading1"/>
              <w:snapToGrid w:val="0"/>
              <w:jc w:val="center"/>
              <w:rPr>
                <w:rFonts w:ascii="Times New Roman" w:hAnsi="Times New Roman" w:cs="Times New Roman"/>
                <w:b w:val="0"/>
                <w:sz w:val="24"/>
                <w:szCs w:val="24"/>
              </w:rPr>
            </w:pPr>
            <w:r w:rsidRPr="003C741F">
              <w:rPr>
                <w:rFonts w:ascii="Times New Roman" w:hAnsi="Times New Roman" w:cs="Times New Roman"/>
                <w:b w:val="0"/>
                <w:sz w:val="24"/>
                <w:szCs w:val="24"/>
              </w:rPr>
              <w:t>Teisės aktų ar jų projektų kokybės rodikliai</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321AAC" w:rsidRPr="003C741F" w:rsidRDefault="00321AAC" w:rsidP="00091281">
            <w:pPr>
              <w:snapToGrid w:val="0"/>
              <w:jc w:val="center"/>
              <w:rPr>
                <w:bCs/>
              </w:rPr>
            </w:pPr>
            <w:r w:rsidRPr="003C741F">
              <w:rPr>
                <w:bCs/>
              </w:rPr>
              <w:t>Vertinimas balais</w:t>
            </w:r>
          </w:p>
        </w:tc>
      </w:tr>
      <w:tr w:rsidR="00321AAC" w:rsidRPr="003C741F" w:rsidTr="00091281">
        <w:tblPrEx>
          <w:tblCellMar>
            <w:top w:w="15" w:type="dxa"/>
            <w:left w:w="15" w:type="dxa"/>
            <w:right w:w="15" w:type="dxa"/>
          </w:tblCellMar>
        </w:tblPrEx>
        <w:trPr>
          <w:trHeight w:val="300"/>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tcPr>
          <w:p w:rsidR="00321AAC" w:rsidRPr="003C741F" w:rsidRDefault="00321AAC" w:rsidP="00091281">
            <w:pPr>
              <w:snapToGrid w:val="0"/>
              <w:jc w:val="center"/>
            </w:pPr>
            <w:r w:rsidRPr="003C741F">
              <w:t>PAPRASTUMAS</w:t>
            </w:r>
          </w:p>
        </w:tc>
      </w:tr>
      <w:tr w:rsidR="00321AAC" w:rsidRPr="003C741F" w:rsidTr="00091281">
        <w:trPr>
          <w:trHeight w:val="510"/>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praplečia jau kitais teisės aktais Savivaldybės reglamentuotos srities apimtį?</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blPrEx>
          <w:tblCellMar>
            <w:top w:w="15" w:type="dxa"/>
            <w:left w:w="15" w:type="dxa"/>
            <w:right w:w="15" w:type="dxa"/>
          </w:tblCellMar>
        </w:tblPrEx>
        <w:trPr>
          <w:trHeight w:val="255"/>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NUOSEKLUMAS</w:t>
            </w:r>
          </w:p>
        </w:tc>
      </w:tr>
      <w:tr w:rsidR="00321AAC" w:rsidRPr="003C741F" w:rsidTr="00091281">
        <w:trPr>
          <w:trHeight w:val="532"/>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2.</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šie tam tikrą sritį reglamentuojantys Savivaldybės teisės aktai prieštarauja įstatymams ar kitiems valstybiniams teisės aktams?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blPrEx>
          <w:tblCellMar>
            <w:top w:w="15" w:type="dxa"/>
            <w:left w:w="15" w:type="dxa"/>
            <w:right w:w="15" w:type="dxa"/>
          </w:tblCellMar>
        </w:tblPrEx>
        <w:trPr>
          <w:trHeight w:val="255"/>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STRUKTŪRA</w:t>
            </w:r>
          </w:p>
        </w:tc>
      </w:tr>
      <w:tr w:rsidR="00321AAC" w:rsidRPr="003C741F" w:rsidTr="00091281">
        <w:trPr>
          <w:trHeight w:val="936"/>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3.</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suskirstytas į atskiras aiškias dalis, tokias, kaip pavadinimas, preambulė, reglamentavimas, įgyvendinimo taisyklės, atsakomybė, kontrolė ir kt.?</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Taip (0)</w:t>
            </w: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510"/>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4.</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akto struktūra apima pirmiausia bendrus, o vėliau konkretesnius dalykus?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r w:rsidRPr="003C741F">
              <w:rPr>
                <w:rFonts w:eastAsia="Arial Unicode MS"/>
              </w:rPr>
              <w:t>Taip (0)</w:t>
            </w: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510"/>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5.</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akto struktūra atitinka šios srities teisės aktų struktūrą?</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Taip (0)</w:t>
            </w: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510"/>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6.</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akto skyriai, pastraipos yra ilgesnės nei šios srities kitų teisės aktų?</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255"/>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7.</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kiekvienos teisės akto nuostatos tikslas yra aiškus?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Taip (0)</w:t>
            </w: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510"/>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8.</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tekste yra bendro pobūdžio sąlygų (nuostatų), kurios gali būti aiškinamos skirtingai?</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366"/>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9.</w:t>
            </w:r>
          </w:p>
        </w:tc>
        <w:tc>
          <w:tcPr>
            <w:tcW w:w="6806" w:type="dxa"/>
            <w:tcBorders>
              <w:left w:val="single" w:sz="4" w:space="0" w:color="000000"/>
              <w:bottom w:val="single" w:sz="4" w:space="0" w:color="000000"/>
            </w:tcBorders>
            <w:shd w:val="clear" w:color="auto" w:fill="auto"/>
            <w:vAlign w:val="center"/>
          </w:tcPr>
          <w:p w:rsidR="00321AAC" w:rsidRPr="003C741F" w:rsidRDefault="00321AAC" w:rsidP="00091281">
            <w:pPr>
              <w:snapToGrid w:val="0"/>
              <w:jc w:val="center"/>
            </w:pPr>
            <w:r w:rsidRPr="003C741F">
              <w:t>Ar teisės akte pateikiami sąvokų (techninių terminų) apibrėžimai?</w:t>
            </w:r>
          </w:p>
        </w:tc>
        <w:tc>
          <w:tcPr>
            <w:tcW w:w="1080" w:type="dxa"/>
            <w:tcBorders>
              <w:left w:val="single" w:sz="4" w:space="0" w:color="000000"/>
              <w:bottom w:val="single" w:sz="4" w:space="0" w:color="000000"/>
            </w:tcBorders>
            <w:shd w:val="clear" w:color="auto" w:fill="auto"/>
            <w:vAlign w:val="center"/>
          </w:tcPr>
          <w:p w:rsidR="00321AAC" w:rsidRPr="003C741F" w:rsidRDefault="00321AAC" w:rsidP="00091281">
            <w:pPr>
              <w:snapToGrid w:val="0"/>
              <w:jc w:val="center"/>
            </w:pPr>
          </w:p>
        </w:tc>
        <w:tc>
          <w:tcPr>
            <w:tcW w:w="910" w:type="dxa"/>
            <w:tcBorders>
              <w:left w:val="single" w:sz="4" w:space="0" w:color="000000"/>
              <w:bottom w:val="single" w:sz="4" w:space="0" w:color="000000"/>
              <w:right w:val="single" w:sz="4" w:space="0" w:color="000000"/>
            </w:tcBorders>
            <w:shd w:val="clear" w:color="auto" w:fill="auto"/>
            <w:vAlign w:val="center"/>
          </w:tcPr>
          <w:p w:rsidR="00321AAC" w:rsidRPr="003C741F" w:rsidRDefault="00321AAC" w:rsidP="00091281">
            <w:pPr>
              <w:snapToGrid w:val="0"/>
              <w:jc w:val="center"/>
              <w:rPr>
                <w:rFonts w:eastAsia="Arial Unicode MS"/>
              </w:rPr>
            </w:pPr>
            <w:r w:rsidRPr="003C741F">
              <w:rPr>
                <w:rFonts w:eastAsia="Arial Unicode MS"/>
              </w:rPr>
              <w:t>Ne (0)</w:t>
            </w:r>
          </w:p>
        </w:tc>
      </w:tr>
      <w:tr w:rsidR="00321AAC" w:rsidRPr="003C741F" w:rsidTr="00091281">
        <w:trPr>
          <w:trHeight w:val="510"/>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10.</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akte vartojami nereikalingi terminai, apsunkinantys teksto suvokimą?</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blPrEx>
          <w:tblCellMar>
            <w:top w:w="15" w:type="dxa"/>
            <w:left w:w="15" w:type="dxa"/>
            <w:right w:w="15" w:type="dxa"/>
          </w:tblCellMar>
        </w:tblPrEx>
        <w:trPr>
          <w:trHeight w:val="255"/>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ĮGYVENDINAMUMAS</w:t>
            </w:r>
          </w:p>
        </w:tc>
      </w:tr>
      <w:tr w:rsidR="00321AAC" w:rsidRPr="003C741F" w:rsidTr="00091281">
        <w:trPr>
          <w:trHeight w:val="510"/>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11.</w:t>
            </w: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akte numatytas mechanizmas ir struktūra, kad būtų užtikrintas tinkamas įgyvendinimas?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765"/>
        </w:trPr>
        <w:tc>
          <w:tcPr>
            <w:tcW w:w="574" w:type="dxa"/>
            <w:tcBorders>
              <w:left w:val="single" w:sz="4" w:space="0" w:color="000000"/>
            </w:tcBorders>
            <w:shd w:val="clear" w:color="auto" w:fill="auto"/>
          </w:tcPr>
          <w:p w:rsidR="00321AAC" w:rsidRPr="003C741F" w:rsidRDefault="00321AAC" w:rsidP="00091281">
            <w:pPr>
              <w:snapToGrid w:val="0"/>
              <w:jc w:val="center"/>
            </w:pPr>
            <w:r w:rsidRPr="003C741F">
              <w:t>12.</w:t>
            </w:r>
          </w:p>
        </w:tc>
        <w:tc>
          <w:tcPr>
            <w:tcW w:w="6806" w:type="dxa"/>
            <w:tcBorders>
              <w:left w:val="single" w:sz="4" w:space="0" w:color="000000"/>
            </w:tcBorders>
            <w:shd w:val="clear" w:color="auto" w:fill="auto"/>
            <w:vAlign w:val="bottom"/>
          </w:tcPr>
          <w:p w:rsidR="00321AAC" w:rsidRPr="003C741F" w:rsidRDefault="00321AAC" w:rsidP="00091281">
            <w:pPr>
              <w:snapToGrid w:val="0"/>
              <w:jc w:val="center"/>
            </w:pPr>
            <w:r w:rsidRPr="003C741F">
              <w:t>Ar teisės aktas suteikia per daug veiksmų laisvės Savivaldybės administracijos padaliniams, asmenims, asmenų grupėms ar įstaigoms, turinčioms įgyvendinti teisės akte apibrėžtas nuostatas?</w:t>
            </w:r>
          </w:p>
        </w:tc>
        <w:tc>
          <w:tcPr>
            <w:tcW w:w="1080" w:type="dxa"/>
            <w:tcBorders>
              <w:left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910" w:type="dxa"/>
            <w:tcBorders>
              <w:left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255"/>
        </w:trPr>
        <w:tc>
          <w:tcPr>
            <w:tcW w:w="574" w:type="dxa"/>
            <w:tcBorders>
              <w:left w:val="single" w:sz="4" w:space="0" w:color="000000"/>
              <w:bottom w:val="single" w:sz="4" w:space="0" w:color="000000"/>
            </w:tcBorders>
            <w:shd w:val="clear" w:color="auto" w:fill="auto"/>
          </w:tcPr>
          <w:p w:rsidR="00321AAC" w:rsidRPr="003C741F" w:rsidRDefault="00321AAC" w:rsidP="00091281">
            <w:pPr>
              <w:snapToGrid w:val="0"/>
              <w:jc w:val="center"/>
            </w:pPr>
          </w:p>
        </w:tc>
        <w:tc>
          <w:tcPr>
            <w:tcW w:w="6806"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p>
        </w:tc>
        <w:tc>
          <w:tcPr>
            <w:tcW w:w="91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p>
        </w:tc>
      </w:tr>
      <w:tr w:rsidR="00321AAC" w:rsidRPr="003C741F" w:rsidTr="00091281">
        <w:trPr>
          <w:trHeight w:val="495"/>
        </w:trPr>
        <w:tc>
          <w:tcPr>
            <w:tcW w:w="574" w:type="dxa"/>
            <w:tcBorders>
              <w:top w:val="single" w:sz="4" w:space="0" w:color="000000"/>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13.</w:t>
            </w:r>
          </w:p>
        </w:tc>
        <w:tc>
          <w:tcPr>
            <w:tcW w:w="6806"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Vidutinis balas (pagal Metodikos 12 punktą)</w:t>
            </w:r>
          </w:p>
          <w:p w:rsidR="00321AAC" w:rsidRPr="003C741F" w:rsidRDefault="00321AAC" w:rsidP="00091281">
            <w:pPr>
              <w:jc w:val="cente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0</w:t>
            </w:r>
          </w:p>
        </w:tc>
      </w:tr>
    </w:tbl>
    <w:p w:rsidR="00321AAC" w:rsidRPr="003C741F" w:rsidRDefault="00321AAC" w:rsidP="00321AAC">
      <w:pPr>
        <w:tabs>
          <w:tab w:val="left" w:pos="7560"/>
        </w:tabs>
        <w:jc w:val="center"/>
      </w:pPr>
    </w:p>
    <w:p w:rsidR="00321AAC" w:rsidRPr="003C741F" w:rsidRDefault="00321AAC" w:rsidP="00321AAC">
      <w:pPr>
        <w:tabs>
          <w:tab w:val="left" w:pos="7560"/>
        </w:tabs>
        <w:jc w:val="center"/>
      </w:pPr>
      <w:r w:rsidRPr="003C741F">
        <w:t>_____________________________</w:t>
      </w:r>
    </w:p>
    <w:p w:rsidR="00321AAC" w:rsidRPr="003C741F" w:rsidRDefault="00321AAC" w:rsidP="00321AAC">
      <w:pPr>
        <w:tabs>
          <w:tab w:val="left" w:pos="7560"/>
        </w:tabs>
        <w:jc w:val="center"/>
      </w:pPr>
    </w:p>
    <w:p w:rsidR="00321AAC" w:rsidRPr="003C741F" w:rsidRDefault="00321AAC" w:rsidP="00321AAC">
      <w:pPr>
        <w:tabs>
          <w:tab w:val="left" w:pos="7560"/>
        </w:tabs>
        <w:jc w:val="center"/>
      </w:pPr>
    </w:p>
    <w:p w:rsidR="00321AAC" w:rsidRPr="003C741F" w:rsidRDefault="00321AAC" w:rsidP="00321AAC">
      <w:pPr>
        <w:pStyle w:val="Pagrindinistekstas21"/>
        <w:spacing w:line="240" w:lineRule="auto"/>
        <w:ind w:left="5580"/>
        <w:jc w:val="left"/>
      </w:pPr>
    </w:p>
    <w:p w:rsidR="00321AAC" w:rsidRDefault="00321AAC" w:rsidP="00321AAC">
      <w:pPr>
        <w:pStyle w:val="Pagrindinistekstas21"/>
        <w:spacing w:line="240" w:lineRule="auto"/>
        <w:ind w:left="5580"/>
        <w:jc w:val="left"/>
      </w:pPr>
    </w:p>
    <w:p w:rsidR="00624E4D" w:rsidRDefault="00624E4D" w:rsidP="00321AAC">
      <w:pPr>
        <w:pStyle w:val="Pagrindinistekstas21"/>
        <w:spacing w:line="240" w:lineRule="auto"/>
        <w:ind w:left="5580"/>
        <w:jc w:val="left"/>
      </w:pPr>
    </w:p>
    <w:p w:rsidR="00624E4D" w:rsidRPr="003C741F" w:rsidRDefault="00624E4D" w:rsidP="00321AAC">
      <w:pPr>
        <w:pStyle w:val="Pagrindinistekstas21"/>
        <w:spacing w:line="240" w:lineRule="auto"/>
        <w:ind w:left="5580"/>
        <w:jc w:val="left"/>
      </w:pPr>
    </w:p>
    <w:p w:rsidR="00321AAC" w:rsidRPr="003C741F" w:rsidRDefault="00321AAC" w:rsidP="00321AAC">
      <w:pPr>
        <w:pStyle w:val="Pagrindinistekstas21"/>
        <w:spacing w:line="240" w:lineRule="auto"/>
        <w:ind w:left="5580"/>
        <w:jc w:val="left"/>
      </w:pPr>
    </w:p>
    <w:p w:rsidR="00321AAC" w:rsidRPr="003C741F" w:rsidRDefault="00321AAC" w:rsidP="00321AAC">
      <w:pPr>
        <w:pStyle w:val="Pagrindinistekstas21"/>
        <w:spacing w:line="240" w:lineRule="auto"/>
        <w:jc w:val="left"/>
      </w:pPr>
    </w:p>
    <w:p w:rsidR="00321AAC" w:rsidRPr="003C741F" w:rsidRDefault="00321AAC" w:rsidP="00321AAC">
      <w:pPr>
        <w:pStyle w:val="Pagrindinistekstas21"/>
        <w:spacing w:line="240" w:lineRule="auto"/>
        <w:jc w:val="left"/>
      </w:pPr>
    </w:p>
    <w:p w:rsidR="00321AAC" w:rsidRPr="003C741F" w:rsidRDefault="00321AAC" w:rsidP="00321AAC">
      <w:pPr>
        <w:pStyle w:val="Pagrindinistekstas21"/>
        <w:spacing w:line="240" w:lineRule="auto"/>
        <w:jc w:val="left"/>
      </w:pPr>
    </w:p>
    <w:p w:rsidR="00321AAC" w:rsidRDefault="00321AAC" w:rsidP="00321AAC">
      <w:pPr>
        <w:pStyle w:val="Pagrindinistekstas21"/>
        <w:spacing w:line="240" w:lineRule="auto"/>
        <w:ind w:left="2592" w:firstLine="1296"/>
        <w:jc w:val="left"/>
      </w:pPr>
      <w:r w:rsidRPr="003C741F">
        <w:t xml:space="preserve">             </w:t>
      </w:r>
      <w:r>
        <w:tab/>
      </w:r>
    </w:p>
    <w:p w:rsidR="00624E4D" w:rsidRDefault="00624E4D" w:rsidP="00321AAC">
      <w:pPr>
        <w:pStyle w:val="Pagrindinistekstas21"/>
        <w:spacing w:line="240" w:lineRule="auto"/>
        <w:ind w:left="3888" w:firstLine="1296"/>
        <w:jc w:val="left"/>
      </w:pPr>
    </w:p>
    <w:p w:rsidR="00624E4D" w:rsidRDefault="00624E4D" w:rsidP="00321AAC">
      <w:pPr>
        <w:pStyle w:val="Pagrindinistekstas21"/>
        <w:spacing w:line="240" w:lineRule="auto"/>
        <w:ind w:left="3888" w:firstLine="1296"/>
        <w:jc w:val="left"/>
      </w:pPr>
    </w:p>
    <w:p w:rsidR="00321AAC" w:rsidRPr="003C741F" w:rsidRDefault="00321AAC" w:rsidP="00321AAC">
      <w:pPr>
        <w:pStyle w:val="Pagrindinistekstas21"/>
        <w:spacing w:line="240" w:lineRule="auto"/>
        <w:ind w:left="3888" w:firstLine="1296"/>
        <w:jc w:val="left"/>
      </w:pPr>
      <w:r w:rsidRPr="003C741F">
        <w:t xml:space="preserve">  Panevėžio miesto savivaldybės teisės aktų</w:t>
      </w:r>
    </w:p>
    <w:p w:rsidR="00321AAC" w:rsidRPr="003C741F" w:rsidRDefault="00321AAC" w:rsidP="00321AAC">
      <w:pPr>
        <w:pStyle w:val="Pagrindinistekstas21"/>
        <w:spacing w:line="240" w:lineRule="auto"/>
        <w:jc w:val="left"/>
      </w:pPr>
      <w:r w:rsidRPr="003C741F">
        <w:lastRenderedPageBreak/>
        <w:t xml:space="preserve">                                                                                </w:t>
      </w:r>
      <w:r>
        <w:t xml:space="preserve">     </w:t>
      </w:r>
      <w:r w:rsidRPr="003C741F">
        <w:t xml:space="preserve"> </w:t>
      </w:r>
      <w:r>
        <w:t xml:space="preserve"> </w:t>
      </w:r>
      <w:r w:rsidRPr="003C741F">
        <w:t xml:space="preserve"> ar jų projektų antikorupcinio </w:t>
      </w:r>
    </w:p>
    <w:p w:rsidR="00321AAC" w:rsidRPr="003C741F" w:rsidRDefault="00321AAC" w:rsidP="00321AAC">
      <w:r w:rsidRPr="003C741F">
        <w:t xml:space="preserve">                                                                                  </w:t>
      </w:r>
      <w:r>
        <w:t xml:space="preserve">      </w:t>
      </w:r>
      <w:r w:rsidRPr="003C741F">
        <w:t>vertinimo metodikos</w:t>
      </w:r>
    </w:p>
    <w:p w:rsidR="00321AAC" w:rsidRPr="003C741F" w:rsidRDefault="00321AAC" w:rsidP="00321AAC">
      <w:r w:rsidRPr="003C741F">
        <w:t xml:space="preserve">                                                                               </w:t>
      </w:r>
      <w:r>
        <w:t xml:space="preserve">      </w:t>
      </w:r>
      <w:r w:rsidRPr="003C741F">
        <w:t xml:space="preserve">  </w:t>
      </w:r>
      <w:r>
        <w:t xml:space="preserve"> </w:t>
      </w:r>
      <w:r w:rsidRPr="003C741F">
        <w:t>2 priedas</w:t>
      </w:r>
    </w:p>
    <w:p w:rsidR="00321AAC" w:rsidRPr="003C741F" w:rsidRDefault="00321AAC" w:rsidP="00321AAC">
      <w:pPr>
        <w:pStyle w:val="BodyText"/>
        <w:rPr>
          <w:sz w:val="24"/>
          <w:szCs w:val="24"/>
        </w:rPr>
      </w:pPr>
    </w:p>
    <w:p w:rsidR="00321AAC" w:rsidRPr="00C64240" w:rsidRDefault="00321AAC" w:rsidP="00C64240">
      <w:pPr>
        <w:pStyle w:val="BodyText"/>
        <w:jc w:val="center"/>
        <w:rPr>
          <w:b/>
          <w:sz w:val="24"/>
          <w:szCs w:val="24"/>
        </w:rPr>
      </w:pPr>
      <w:r w:rsidRPr="00C64240">
        <w:rPr>
          <w:b/>
          <w:sz w:val="24"/>
          <w:szCs w:val="24"/>
        </w:rPr>
        <w:t>TEISĖS AKTŲ ARBA TEISĖS AKTŲ PROJEKTŲ TURINIO VERTINIMO KLAUSIMYNAS</w:t>
      </w:r>
    </w:p>
    <w:tbl>
      <w:tblPr>
        <w:tblW w:w="0" w:type="auto"/>
        <w:tblInd w:w="-15" w:type="dxa"/>
        <w:tblLayout w:type="fixed"/>
        <w:tblCellMar>
          <w:left w:w="0" w:type="dxa"/>
          <w:right w:w="0" w:type="dxa"/>
        </w:tblCellMar>
        <w:tblLook w:val="0000" w:firstRow="0" w:lastRow="0" w:firstColumn="0" w:lastColumn="0" w:noHBand="0" w:noVBand="0"/>
      </w:tblPr>
      <w:tblGrid>
        <w:gridCol w:w="400"/>
        <w:gridCol w:w="6995"/>
        <w:gridCol w:w="1080"/>
        <w:gridCol w:w="1090"/>
      </w:tblGrid>
      <w:tr w:rsidR="00321AAC" w:rsidRPr="003C741F" w:rsidTr="00091281">
        <w:trPr>
          <w:trHeight w:val="510"/>
        </w:trPr>
        <w:tc>
          <w:tcPr>
            <w:tcW w:w="400"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rPr>
                <w:bCs/>
              </w:rPr>
            </w:pPr>
          </w:p>
          <w:p w:rsidR="00321AAC" w:rsidRPr="003C741F" w:rsidRDefault="00321AAC" w:rsidP="00091281">
            <w:pPr>
              <w:jc w:val="center"/>
              <w:rPr>
                <w:bCs/>
              </w:rPr>
            </w:pPr>
            <w:r w:rsidRPr="003C741F">
              <w:rPr>
                <w:bCs/>
              </w:rPr>
              <w:t>Eil.</w:t>
            </w:r>
          </w:p>
          <w:p w:rsidR="00321AAC" w:rsidRPr="003C741F" w:rsidRDefault="00321AAC" w:rsidP="00091281">
            <w:pPr>
              <w:jc w:val="center"/>
              <w:rPr>
                <w:bCs/>
              </w:rPr>
            </w:pPr>
            <w:r w:rsidRPr="003C741F">
              <w:rPr>
                <w:bCs/>
              </w:rPr>
              <w:t>Nr.</w:t>
            </w:r>
          </w:p>
        </w:tc>
        <w:tc>
          <w:tcPr>
            <w:tcW w:w="6995"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rPr>
                <w:bCs/>
              </w:rPr>
            </w:pPr>
            <w:r w:rsidRPr="003C741F">
              <w:rPr>
                <w:bCs/>
              </w:rPr>
              <w:t>Teisės akto ar jo projekto turinio rodikliai</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bCs/>
              </w:rPr>
            </w:pPr>
            <w:r w:rsidRPr="003C741F">
              <w:rPr>
                <w:bCs/>
              </w:rPr>
              <w:t>Vertinimas balais</w:t>
            </w:r>
          </w:p>
        </w:tc>
      </w:tr>
      <w:tr w:rsidR="00321AAC" w:rsidRPr="003C741F" w:rsidTr="00091281">
        <w:tblPrEx>
          <w:tblCellMar>
            <w:top w:w="15" w:type="dxa"/>
            <w:left w:w="15" w:type="dxa"/>
            <w:right w:w="15" w:type="dxa"/>
          </w:tblCellMar>
        </w:tblPrEx>
        <w:trPr>
          <w:trHeight w:val="255"/>
        </w:trPr>
        <w:tc>
          <w:tcPr>
            <w:tcW w:w="956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NAUDINGUMAS</w:t>
            </w:r>
          </w:p>
        </w:tc>
      </w:tr>
      <w:tr w:rsidR="00321AAC" w:rsidRPr="003C741F" w:rsidTr="00091281">
        <w:trPr>
          <w:trHeight w:val="513"/>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aktai sustiprina tarnautojų, jiems prilygintų asmenų ar asmenų grupių įgaliojimus teisės akto įgyvendinimo priežiūrai vykdyti?</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r w:rsidRPr="003C741F">
              <w:rPr>
                <w:rFonts w:eastAsia="Arial Unicode MS"/>
              </w:rPr>
              <w:t>Taip (0)</w:t>
            </w: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825"/>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2.</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suteikia įgaliojimus priimti sprendimus arba skirti išmokas vienam subjektui (tarnautojui, jam prilygintam asmeniui, komisijai, darbo grupei ir t. t.)?</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516"/>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3.</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sukuria diskriminuojančias sąlygas konkrečioje srityje veikiantiems subjektams?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1063"/>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4.</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akto įgyvendinimo procedūros mažina veiklos skaidrumą (ar visi turto įsigijimo ir perleidimo atvejai numatyti vykdyti viešojo konkurso tvarka, ar visuomenės informavimas apie įgyvendinimo procesus numatytas teisės akte)?</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872"/>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5.</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sumažina tarnautojų ar jiems prilygintų asmenų, kuriems šiuo teisės aktu suteikiama teisė priimti sprendimus ir (arba) skirti išmokas, sprendimų priėmimo skaidrumą?</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r w:rsidRPr="003C741F">
              <w:rPr>
                <w:rFonts w:eastAsia="Arial Unicode MS"/>
              </w:rPr>
              <w:t>Ne (0)</w:t>
            </w:r>
          </w:p>
        </w:tc>
      </w:tr>
      <w:tr w:rsidR="00321AAC" w:rsidRPr="003C741F" w:rsidTr="00091281">
        <w:trPr>
          <w:trHeight w:val="350"/>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6.</w:t>
            </w:r>
          </w:p>
        </w:tc>
        <w:tc>
          <w:tcPr>
            <w:tcW w:w="6995" w:type="dxa"/>
            <w:tcBorders>
              <w:left w:val="single" w:sz="4" w:space="0" w:color="000000"/>
              <w:bottom w:val="single" w:sz="4" w:space="0" w:color="000000"/>
            </w:tcBorders>
            <w:shd w:val="clear" w:color="auto" w:fill="auto"/>
            <w:vAlign w:val="center"/>
          </w:tcPr>
          <w:p w:rsidR="00321AAC" w:rsidRPr="003C741F" w:rsidRDefault="00321AAC" w:rsidP="00091281">
            <w:pPr>
              <w:snapToGrid w:val="0"/>
              <w:jc w:val="center"/>
            </w:pPr>
            <w:r w:rsidRPr="003C741F">
              <w:t>Ar teisės aktu pailginamas sandorio vykdymo terminas?</w:t>
            </w:r>
          </w:p>
        </w:tc>
        <w:tc>
          <w:tcPr>
            <w:tcW w:w="1080" w:type="dxa"/>
            <w:tcBorders>
              <w:left w:val="single" w:sz="4" w:space="0" w:color="000000"/>
              <w:bottom w:val="single" w:sz="4" w:space="0" w:color="000000"/>
            </w:tcBorders>
            <w:shd w:val="clear" w:color="auto" w:fill="auto"/>
            <w:vAlign w:val="center"/>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center"/>
          </w:tcPr>
          <w:p w:rsidR="00321AAC" w:rsidRPr="003C741F" w:rsidRDefault="00321AAC" w:rsidP="00091281">
            <w:pPr>
              <w:snapToGrid w:val="0"/>
              <w:jc w:val="center"/>
              <w:rPr>
                <w:rFonts w:eastAsia="Arial Unicode MS"/>
              </w:rPr>
            </w:pPr>
          </w:p>
        </w:tc>
      </w:tr>
      <w:tr w:rsidR="00321AAC" w:rsidRPr="003C741F" w:rsidTr="00091281">
        <w:trPr>
          <w:trHeight w:val="552"/>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7.</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gali trukdyti vykdyti korupcijos prevenciją, prieštarauti kituose teisės aktuose numatytiems antikorupciniams procesams?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506"/>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8.</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sumažina įprastus asmens, asmenų grupės, padalinio ar įstaigos veiksmingos veiklos priežiūros įgyvendinimo reikalavimus?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514"/>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9.</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aktu mažinama tarnautojų arba jiems prilyginamų asmenų kaitos galimybė?</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522"/>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10.</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aktu sukuriamos arba padidinamos tarnautojų arba jiems prilyginamų asmenų viešųjų ir privačių interesų konfliktų galimybės?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710"/>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11.</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numato tarnautojo arba jam prilyginto asmens, kuriam yra suteikta teisė priimti sprendimus ir (arba) skirti išmokas, atsakomybės ir minimo asmens kontrolės formas?</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r w:rsidRPr="003C741F">
              <w:rPr>
                <w:rFonts w:eastAsia="Arial Unicode MS"/>
              </w:rPr>
              <w:t>Taip (0)</w:t>
            </w: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p>
        </w:tc>
      </w:tr>
      <w:tr w:rsidR="00321AAC" w:rsidRPr="003C741F" w:rsidTr="00091281">
        <w:trPr>
          <w:trHeight w:val="522"/>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pPr>
            <w:r w:rsidRPr="003C741F">
              <w:t>12.</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aktu sudaryta galimybė apskųsti tarnautojo arba jam prilyginto asmens sprendimą nepriklausomam asmeniui?</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r w:rsidRPr="003C741F">
              <w:rPr>
                <w:rFonts w:eastAsia="Arial Unicode MS"/>
              </w:rPr>
              <w:t>Ne (0)</w:t>
            </w:r>
          </w:p>
        </w:tc>
      </w:tr>
      <w:tr w:rsidR="00321AAC" w:rsidRPr="003C741F" w:rsidTr="00091281">
        <w:tblPrEx>
          <w:tblCellMar>
            <w:top w:w="15" w:type="dxa"/>
            <w:left w:w="15" w:type="dxa"/>
            <w:right w:w="15" w:type="dxa"/>
          </w:tblCellMar>
        </w:tblPrEx>
        <w:trPr>
          <w:trHeight w:val="255"/>
        </w:trPr>
        <w:tc>
          <w:tcPr>
            <w:tcW w:w="956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PRIEINAMUMAS</w:t>
            </w:r>
          </w:p>
        </w:tc>
      </w:tr>
      <w:tr w:rsidR="00321AAC" w:rsidRPr="003C741F" w:rsidTr="00091281">
        <w:trPr>
          <w:trHeight w:val="790"/>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13.</w:t>
            </w: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sumažina patirties ir profesinius reikalavimus tarnautojams, jiems prilygintiems asmenims, įstaigoms ir kitiems fiziniams bei juridiniams asmenims, dalyvaujantiems teisės aktu apibrėžtoje veikloje?</w:t>
            </w: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545"/>
        </w:trPr>
        <w:tc>
          <w:tcPr>
            <w:tcW w:w="400" w:type="dxa"/>
            <w:tcBorders>
              <w:left w:val="single" w:sz="4" w:space="0" w:color="000000"/>
            </w:tcBorders>
            <w:shd w:val="clear" w:color="auto" w:fill="auto"/>
          </w:tcPr>
          <w:p w:rsidR="00321AAC" w:rsidRPr="003C741F" w:rsidRDefault="00321AAC" w:rsidP="00091281">
            <w:pPr>
              <w:snapToGrid w:val="0"/>
              <w:jc w:val="center"/>
            </w:pPr>
            <w:r w:rsidRPr="003C741F">
              <w:t>14.</w:t>
            </w:r>
          </w:p>
        </w:tc>
        <w:tc>
          <w:tcPr>
            <w:tcW w:w="6995" w:type="dxa"/>
            <w:tcBorders>
              <w:left w:val="single" w:sz="4" w:space="0" w:color="000000"/>
            </w:tcBorders>
            <w:shd w:val="clear" w:color="auto" w:fill="auto"/>
            <w:vAlign w:val="bottom"/>
          </w:tcPr>
          <w:p w:rsidR="00321AAC" w:rsidRPr="003C741F" w:rsidRDefault="00321AAC" w:rsidP="00091281">
            <w:pPr>
              <w:snapToGrid w:val="0"/>
              <w:jc w:val="center"/>
            </w:pPr>
            <w:r w:rsidRPr="003C741F">
              <w:t>Ar teisės akte numatoma galimybė patikrinti asmenų kvalifikaciją prieš jiems dalyvaujant teisės aktu apibrėžtoje veikloje?</w:t>
            </w:r>
          </w:p>
        </w:tc>
        <w:tc>
          <w:tcPr>
            <w:tcW w:w="1080" w:type="dxa"/>
            <w:tcBorders>
              <w:left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left w:val="single" w:sz="4" w:space="0" w:color="000000"/>
              <w:right w:val="single" w:sz="4" w:space="0" w:color="000000"/>
            </w:tcBorders>
            <w:shd w:val="clear" w:color="auto" w:fill="auto"/>
            <w:vAlign w:val="bottom"/>
          </w:tcPr>
          <w:p w:rsidR="00321AAC" w:rsidRPr="003C741F" w:rsidRDefault="00321AAC" w:rsidP="00091281">
            <w:pPr>
              <w:snapToGrid w:val="0"/>
              <w:jc w:val="center"/>
              <w:rPr>
                <w:rFonts w:eastAsia="Arial Unicode MS"/>
              </w:rPr>
            </w:pPr>
            <w:r w:rsidRPr="003C741F">
              <w:rPr>
                <w:rFonts w:eastAsia="Arial Unicode MS"/>
              </w:rPr>
              <w:t>Ne (0)</w:t>
            </w:r>
          </w:p>
        </w:tc>
      </w:tr>
      <w:tr w:rsidR="00321AAC" w:rsidRPr="003C741F" w:rsidTr="00091281">
        <w:trPr>
          <w:trHeight w:val="240"/>
        </w:trPr>
        <w:tc>
          <w:tcPr>
            <w:tcW w:w="400" w:type="dxa"/>
            <w:tcBorders>
              <w:left w:val="single" w:sz="4" w:space="0" w:color="000000"/>
              <w:bottom w:val="single" w:sz="4" w:space="0" w:color="000000"/>
            </w:tcBorders>
            <w:shd w:val="clear" w:color="auto" w:fill="auto"/>
          </w:tcPr>
          <w:p w:rsidR="00321AAC" w:rsidRPr="003C741F" w:rsidRDefault="00321AAC" w:rsidP="00091281">
            <w:pPr>
              <w:snapToGrid w:val="0"/>
              <w:jc w:val="center"/>
            </w:pPr>
          </w:p>
        </w:tc>
        <w:tc>
          <w:tcPr>
            <w:tcW w:w="6995"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p>
        </w:tc>
        <w:tc>
          <w:tcPr>
            <w:tcW w:w="1080" w:type="dxa"/>
            <w:tcBorders>
              <w:left w:val="single" w:sz="4" w:space="0" w:color="000000"/>
              <w:bottom w:val="single" w:sz="4" w:space="0" w:color="000000"/>
            </w:tcBorders>
            <w:shd w:val="clear" w:color="auto" w:fill="auto"/>
            <w:vAlign w:val="bottom"/>
          </w:tcPr>
          <w:p w:rsidR="00321AAC" w:rsidRPr="003C741F" w:rsidRDefault="00321AAC" w:rsidP="00091281">
            <w:pPr>
              <w:snapToGrid w:val="0"/>
              <w:jc w:val="center"/>
            </w:pPr>
          </w:p>
        </w:tc>
        <w:tc>
          <w:tcPr>
            <w:tcW w:w="1090" w:type="dxa"/>
            <w:tcBorders>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p>
        </w:tc>
      </w:tr>
      <w:tr w:rsidR="00321AAC" w:rsidRPr="003C741F" w:rsidTr="00091281">
        <w:trPr>
          <w:trHeight w:val="300"/>
        </w:trPr>
        <w:tc>
          <w:tcPr>
            <w:tcW w:w="400" w:type="dxa"/>
            <w:tcBorders>
              <w:top w:val="single" w:sz="4" w:space="0" w:color="000000"/>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15.</w:t>
            </w:r>
          </w:p>
        </w:tc>
        <w:tc>
          <w:tcPr>
            <w:tcW w:w="6995"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aktas susijęs su asmeniniais interesais?</w:t>
            </w:r>
          </w:p>
        </w:tc>
        <w:tc>
          <w:tcPr>
            <w:tcW w:w="1080"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545"/>
        </w:trPr>
        <w:tc>
          <w:tcPr>
            <w:tcW w:w="400" w:type="dxa"/>
            <w:tcBorders>
              <w:top w:val="single" w:sz="4" w:space="0" w:color="000000"/>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16.</w:t>
            </w:r>
          </w:p>
        </w:tc>
        <w:tc>
          <w:tcPr>
            <w:tcW w:w="6995"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Ar teisės aktu nustatomas reguliavimas būtinas, ar dėl jo neatsiras galimybių pasipelnyti tarnybos sąskaita?</w:t>
            </w:r>
          </w:p>
        </w:tc>
        <w:tc>
          <w:tcPr>
            <w:tcW w:w="1080"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rPr>
                <w:rFonts w:eastAsia="Arial Unicode MS"/>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Ne (0)</w:t>
            </w:r>
          </w:p>
        </w:tc>
      </w:tr>
      <w:tr w:rsidR="00321AAC" w:rsidRPr="003C741F" w:rsidTr="00091281">
        <w:trPr>
          <w:trHeight w:val="545"/>
        </w:trPr>
        <w:tc>
          <w:tcPr>
            <w:tcW w:w="400" w:type="dxa"/>
            <w:tcBorders>
              <w:top w:val="single" w:sz="4" w:space="0" w:color="000000"/>
              <w:left w:val="single" w:sz="4" w:space="0" w:color="000000"/>
              <w:bottom w:val="single" w:sz="4" w:space="0" w:color="000000"/>
            </w:tcBorders>
            <w:shd w:val="clear" w:color="auto" w:fill="auto"/>
          </w:tcPr>
          <w:p w:rsidR="00321AAC" w:rsidRPr="003C741F" w:rsidRDefault="00321AAC" w:rsidP="00091281">
            <w:pPr>
              <w:snapToGrid w:val="0"/>
              <w:jc w:val="center"/>
            </w:pPr>
            <w:r w:rsidRPr="003C741F">
              <w:t>17.</w:t>
            </w:r>
          </w:p>
        </w:tc>
        <w:tc>
          <w:tcPr>
            <w:tcW w:w="6995" w:type="dxa"/>
            <w:tcBorders>
              <w:top w:val="single" w:sz="4" w:space="0" w:color="000000"/>
              <w:left w:val="single" w:sz="4" w:space="0" w:color="000000"/>
              <w:bottom w:val="single" w:sz="4" w:space="0" w:color="000000"/>
            </w:tcBorders>
            <w:shd w:val="clear" w:color="auto" w:fill="auto"/>
            <w:vAlign w:val="bottom"/>
          </w:tcPr>
          <w:p w:rsidR="00321AAC" w:rsidRPr="003C741F" w:rsidRDefault="00321AAC" w:rsidP="00091281">
            <w:pPr>
              <w:snapToGrid w:val="0"/>
              <w:jc w:val="center"/>
            </w:pPr>
            <w:r w:rsidRPr="003C741F">
              <w:t>Vidutinis balas (pagal Metodikos 12 punktą)</w:t>
            </w:r>
          </w:p>
          <w:p w:rsidR="00321AAC" w:rsidRPr="003C741F" w:rsidRDefault="00321AAC" w:rsidP="00091281">
            <w:pPr>
              <w:jc w:val="center"/>
            </w:pP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21AAC" w:rsidRPr="003C741F" w:rsidRDefault="00321AAC" w:rsidP="00091281">
            <w:pPr>
              <w:snapToGrid w:val="0"/>
              <w:jc w:val="center"/>
            </w:pPr>
            <w:r w:rsidRPr="003C741F">
              <w:t>0</w:t>
            </w:r>
          </w:p>
        </w:tc>
      </w:tr>
    </w:tbl>
    <w:p w:rsidR="00301385" w:rsidRDefault="00301385"/>
    <w:sectPr w:rsidR="00301385" w:rsidSect="00624E4D">
      <w:pgSz w:w="11906" w:h="16838"/>
      <w:pgMar w:top="284" w:right="567" w:bottom="142"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6F26B5C"/>
    <w:multiLevelType w:val="hybridMultilevel"/>
    <w:tmpl w:val="0D4216EA"/>
    <w:lvl w:ilvl="0" w:tplc="726AE484">
      <w:start w:val="1"/>
      <w:numFmt w:val="decimal"/>
      <w:lvlText w:val="%1."/>
      <w:lvlJc w:val="left"/>
      <w:pPr>
        <w:ind w:left="107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AC"/>
    <w:rsid w:val="000F4297"/>
    <w:rsid w:val="00112898"/>
    <w:rsid w:val="001B252D"/>
    <w:rsid w:val="002B337A"/>
    <w:rsid w:val="00301385"/>
    <w:rsid w:val="00321AAC"/>
    <w:rsid w:val="00377A86"/>
    <w:rsid w:val="004D6B2F"/>
    <w:rsid w:val="00624E4D"/>
    <w:rsid w:val="006C0897"/>
    <w:rsid w:val="007B6A2A"/>
    <w:rsid w:val="007F5E5B"/>
    <w:rsid w:val="008C483E"/>
    <w:rsid w:val="008E1939"/>
    <w:rsid w:val="00980C35"/>
    <w:rsid w:val="00A32CB9"/>
    <w:rsid w:val="00B6606F"/>
    <w:rsid w:val="00C045D4"/>
    <w:rsid w:val="00C64240"/>
    <w:rsid w:val="00CF095D"/>
    <w:rsid w:val="00D00928"/>
    <w:rsid w:val="00E24CA2"/>
    <w:rsid w:val="00F86151"/>
    <w:rsid w:val="00FC0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44F40-A8EE-432E-94AE-F5B1B379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AAC"/>
    <w:pPr>
      <w:ind w:firstLine="0"/>
      <w:jc w:val="left"/>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1AAC"/>
    <w:pPr>
      <w:keepNext/>
      <w:numPr>
        <w:numId w:val="1"/>
      </w:numPr>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AAC"/>
    <w:rPr>
      <w:rFonts w:ascii="Arial" w:eastAsia="Times New Roman" w:hAnsi="Arial" w:cs="Arial"/>
      <w:b/>
      <w:bCs/>
      <w:kern w:val="1"/>
      <w:sz w:val="32"/>
      <w:szCs w:val="32"/>
      <w:lang w:eastAsia="ar-SA"/>
    </w:rPr>
  </w:style>
  <w:style w:type="paragraph" w:styleId="BodyText">
    <w:name w:val="Body Text"/>
    <w:basedOn w:val="Normal"/>
    <w:link w:val="BodyTextChar"/>
    <w:uiPriority w:val="99"/>
    <w:semiHidden/>
    <w:unhideWhenUsed/>
    <w:rsid w:val="00321AAC"/>
    <w:pPr>
      <w:spacing w:after="120"/>
    </w:pPr>
    <w:rPr>
      <w:sz w:val="20"/>
      <w:szCs w:val="20"/>
      <w:lang w:eastAsia="en-US"/>
    </w:rPr>
  </w:style>
  <w:style w:type="character" w:customStyle="1" w:styleId="BodyTextChar">
    <w:name w:val="Body Text Char"/>
    <w:basedOn w:val="DefaultParagraphFont"/>
    <w:link w:val="BodyText"/>
    <w:uiPriority w:val="99"/>
    <w:semiHidden/>
    <w:rsid w:val="00321AAC"/>
    <w:rPr>
      <w:rFonts w:ascii="Times New Roman" w:eastAsia="Times New Roman" w:hAnsi="Times New Roman" w:cs="Times New Roman"/>
      <w:sz w:val="20"/>
      <w:szCs w:val="20"/>
    </w:rPr>
  </w:style>
  <w:style w:type="paragraph" w:customStyle="1" w:styleId="Pagrindinistekstas21">
    <w:name w:val="Pagrindinis tekstas 21"/>
    <w:basedOn w:val="Normal"/>
    <w:rsid w:val="00321AAC"/>
    <w:pPr>
      <w:suppressAutoHyphens/>
      <w:spacing w:line="360" w:lineRule="auto"/>
      <w:jc w:val="both"/>
    </w:pPr>
    <w:rPr>
      <w:lang w:eastAsia="ar-SA"/>
    </w:rPr>
  </w:style>
  <w:style w:type="paragraph" w:styleId="ListParagraph">
    <w:name w:val="List Paragraph"/>
    <w:basedOn w:val="Normal"/>
    <w:qFormat/>
    <w:rsid w:val="00321AAC"/>
    <w:pPr>
      <w:ind w:left="720"/>
    </w:pPr>
  </w:style>
  <w:style w:type="paragraph" w:styleId="BalloonText">
    <w:name w:val="Balloon Text"/>
    <w:basedOn w:val="Normal"/>
    <w:link w:val="BalloonTextChar"/>
    <w:uiPriority w:val="99"/>
    <w:semiHidden/>
    <w:unhideWhenUsed/>
    <w:rsid w:val="006C0897"/>
    <w:rPr>
      <w:rFonts w:ascii="Tahoma" w:hAnsi="Tahoma" w:cs="Tahoma"/>
      <w:sz w:val="16"/>
      <w:szCs w:val="16"/>
    </w:rPr>
  </w:style>
  <w:style w:type="character" w:customStyle="1" w:styleId="BalloonTextChar">
    <w:name w:val="Balloon Text Char"/>
    <w:basedOn w:val="DefaultParagraphFont"/>
    <w:link w:val="BalloonText"/>
    <w:uiPriority w:val="99"/>
    <w:semiHidden/>
    <w:rsid w:val="006C089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1334</Words>
  <Characters>7607</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PMS</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Ingrida Mazaliauskienė</cp:lastModifiedBy>
  <cp:revision>2</cp:revision>
  <cp:lastPrinted>2015-01-20T06:30:00Z</cp:lastPrinted>
  <dcterms:created xsi:type="dcterms:W3CDTF">2015-01-20T08:29:00Z</dcterms:created>
  <dcterms:modified xsi:type="dcterms:W3CDTF">2015-01-20T08:29:00Z</dcterms:modified>
</cp:coreProperties>
</file>