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A0B" w:rsidRDefault="00604A0B" w:rsidP="00604A0B">
      <w:pPr>
        <w:spacing w:after="0" w:line="240" w:lineRule="auto"/>
        <w:jc w:val="center"/>
        <w:rPr>
          <w:rFonts w:ascii="Times New Roman" w:eastAsia="Times New Roman" w:hAnsi="Times New Roman" w:cs="Times New Roman"/>
          <w:b/>
          <w:bCs/>
          <w:caps/>
          <w:sz w:val="24"/>
          <w:szCs w:val="24"/>
          <w:lang w:eastAsia="lt-LT"/>
        </w:rPr>
      </w:pPr>
    </w:p>
    <w:p w:rsidR="00604A0B" w:rsidRPr="00A37C55" w:rsidRDefault="00604A0B" w:rsidP="00604A0B">
      <w:pPr>
        <w:spacing w:after="0" w:line="240" w:lineRule="auto"/>
        <w:jc w:val="center"/>
        <w:rPr>
          <w:rFonts w:ascii="Times New Roman" w:eastAsia="Times New Roman" w:hAnsi="Times New Roman" w:cs="Times New Roman"/>
          <w:b/>
          <w:bCs/>
          <w:caps/>
          <w:sz w:val="24"/>
          <w:szCs w:val="24"/>
          <w:lang w:eastAsia="lt-LT"/>
        </w:rPr>
      </w:pPr>
      <w:r w:rsidRPr="00A37C55">
        <w:rPr>
          <w:rFonts w:ascii="Times New Roman" w:eastAsia="Times New Roman" w:hAnsi="Times New Roman" w:cs="Times New Roman"/>
          <w:b/>
          <w:bCs/>
          <w:caps/>
          <w:sz w:val="24"/>
          <w:szCs w:val="24"/>
          <w:lang w:eastAsia="lt-LT"/>
        </w:rPr>
        <w:t>AIŠKINAMASIS RAŠTAS</w:t>
      </w:r>
    </w:p>
    <w:p w:rsidR="00604A0B" w:rsidRPr="00A37C55" w:rsidRDefault="00604A0B" w:rsidP="00604A0B">
      <w:pPr>
        <w:spacing w:after="0" w:line="240" w:lineRule="auto"/>
        <w:jc w:val="center"/>
        <w:rPr>
          <w:rFonts w:ascii="Times New Roman" w:eastAsia="Times New Roman" w:hAnsi="Times New Roman" w:cs="Times New Roman"/>
          <w:b/>
          <w:bCs/>
          <w:caps/>
          <w:sz w:val="24"/>
          <w:szCs w:val="24"/>
          <w:lang w:eastAsia="lt-LT"/>
        </w:rPr>
      </w:pPr>
    </w:p>
    <w:p w:rsidR="00604A0B" w:rsidRPr="00A37C55" w:rsidRDefault="00604A0B" w:rsidP="00604A0B">
      <w:pPr>
        <w:spacing w:after="0" w:line="360" w:lineRule="auto"/>
        <w:jc w:val="center"/>
        <w:rPr>
          <w:rFonts w:ascii="Times New Roman" w:eastAsia="Times New Roman" w:hAnsi="Times New Roman" w:cs="Times New Roman"/>
          <w:b/>
          <w:bCs/>
          <w:sz w:val="24"/>
          <w:szCs w:val="24"/>
          <w:lang w:eastAsia="lt-LT"/>
        </w:rPr>
      </w:pPr>
      <w:r w:rsidRPr="00A37C55">
        <w:rPr>
          <w:rFonts w:ascii="Times New Roman" w:eastAsia="Times New Roman" w:hAnsi="Times New Roman" w:cs="Times New Roman"/>
          <w:b/>
          <w:bCs/>
          <w:sz w:val="24"/>
          <w:szCs w:val="24"/>
          <w:lang w:eastAsia="lt-LT"/>
        </w:rPr>
        <w:t xml:space="preserve">DĖL </w:t>
      </w:r>
      <w:r w:rsidRPr="00A37C55">
        <w:rPr>
          <w:rFonts w:ascii="Times New Roman" w:eastAsia="Times New Roman" w:hAnsi="Times New Roman" w:cs="Times New Roman"/>
          <w:b/>
          <w:sz w:val="24"/>
          <w:szCs w:val="24"/>
          <w:lang w:eastAsia="lt-LT"/>
        </w:rPr>
        <w:t xml:space="preserve">PAVADINIMŲ </w:t>
      </w:r>
      <w:r>
        <w:rPr>
          <w:rFonts w:ascii="Times New Roman" w:eastAsia="Times New Roman" w:hAnsi="Times New Roman" w:cs="Times New Roman"/>
          <w:b/>
          <w:sz w:val="24"/>
          <w:szCs w:val="24"/>
          <w:lang w:eastAsia="lt-LT"/>
        </w:rPr>
        <w:t xml:space="preserve">NAUJAI </w:t>
      </w:r>
      <w:r w:rsidRPr="00A37C55">
        <w:rPr>
          <w:rFonts w:ascii="Times New Roman" w:eastAsia="Times New Roman" w:hAnsi="Times New Roman" w:cs="Times New Roman"/>
          <w:b/>
          <w:sz w:val="24"/>
          <w:szCs w:val="24"/>
          <w:lang w:eastAsia="lt-LT"/>
        </w:rPr>
        <w:t>GATV</w:t>
      </w:r>
      <w:r>
        <w:rPr>
          <w:rFonts w:ascii="Times New Roman" w:eastAsia="Times New Roman" w:hAnsi="Times New Roman" w:cs="Times New Roman"/>
          <w:b/>
          <w:sz w:val="24"/>
          <w:szCs w:val="24"/>
          <w:lang w:eastAsia="lt-LT"/>
        </w:rPr>
        <w:t>EI</w:t>
      </w:r>
      <w:r w:rsidRPr="00A37C55">
        <w:rPr>
          <w:rFonts w:ascii="Times New Roman" w:eastAsia="Times New Roman" w:hAnsi="Times New Roman" w:cs="Times New Roman"/>
          <w:b/>
          <w:sz w:val="24"/>
          <w:szCs w:val="24"/>
          <w:lang w:eastAsia="lt-LT"/>
        </w:rPr>
        <w:t xml:space="preserve"> SUTEIKIMO</w:t>
      </w:r>
      <w:r>
        <w:rPr>
          <w:rFonts w:ascii="Times New Roman" w:eastAsia="Times New Roman" w:hAnsi="Times New Roman" w:cs="Times New Roman"/>
          <w:b/>
          <w:sz w:val="24"/>
          <w:szCs w:val="24"/>
          <w:lang w:eastAsia="lt-LT"/>
        </w:rPr>
        <w:t xml:space="preserve"> </w:t>
      </w:r>
    </w:p>
    <w:p w:rsidR="00604A0B" w:rsidRPr="00A37C55" w:rsidRDefault="00604A0B" w:rsidP="00604A0B">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lapkričio 7</w:t>
      </w:r>
      <w:r w:rsidRPr="00A37C55">
        <w:rPr>
          <w:rFonts w:ascii="Times New Roman" w:eastAsia="Times New Roman" w:hAnsi="Times New Roman" w:cs="Times New Roman"/>
          <w:sz w:val="24"/>
          <w:szCs w:val="24"/>
          <w:lang w:eastAsia="lt-LT"/>
        </w:rPr>
        <w:t xml:space="preserve"> d.    </w:t>
      </w:r>
    </w:p>
    <w:p w:rsidR="00604A0B" w:rsidRPr="00A37C55" w:rsidRDefault="00604A0B" w:rsidP="00604A0B">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Panevėžys</w:t>
      </w:r>
    </w:p>
    <w:p w:rsidR="00604A0B" w:rsidRPr="00A37C55" w:rsidRDefault="00604A0B" w:rsidP="00604A0B">
      <w:pPr>
        <w:spacing w:after="0" w:line="240" w:lineRule="auto"/>
        <w:jc w:val="center"/>
        <w:rPr>
          <w:rFonts w:ascii="Times New Roman" w:eastAsia="Times New Roman" w:hAnsi="Times New Roman" w:cs="Times New Roman"/>
          <w:sz w:val="24"/>
          <w:szCs w:val="24"/>
          <w:lang w:eastAsia="lt-LT"/>
        </w:rPr>
      </w:pPr>
    </w:p>
    <w:p w:rsidR="00604A0B" w:rsidRPr="00A37C55" w:rsidRDefault="00604A0B" w:rsidP="00604A0B">
      <w:p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b/>
          <w:sz w:val="24"/>
          <w:szCs w:val="24"/>
          <w:lang w:eastAsia="lt-LT"/>
        </w:rPr>
        <w:t>1. PROBLEMOS ESMĖ</w:t>
      </w:r>
      <w:r w:rsidRPr="00A37C55">
        <w:rPr>
          <w:rFonts w:ascii="Times New Roman" w:eastAsia="Times New Roman" w:hAnsi="Times New Roman" w:cs="Times New Roman"/>
          <w:sz w:val="24"/>
          <w:szCs w:val="24"/>
          <w:lang w:eastAsia="lt-LT"/>
        </w:rPr>
        <w:t xml:space="preserve">                </w:t>
      </w:r>
    </w:p>
    <w:p w:rsidR="00604A0B" w:rsidRDefault="00604A0B" w:rsidP="00604A0B">
      <w:pPr>
        <w:spacing w:after="0" w:line="240" w:lineRule="auto"/>
        <w:contextualSpacing/>
        <w:jc w:val="both"/>
        <w:rPr>
          <w:rFonts w:ascii="Times New Roman" w:eastAsia="Times New Roman" w:hAnsi="Times New Roman" w:cs="Times New Roman"/>
          <w:sz w:val="24"/>
          <w:szCs w:val="24"/>
          <w:lang w:eastAsia="lt-LT"/>
        </w:rPr>
      </w:pPr>
    </w:p>
    <w:p w:rsidR="00604A0B" w:rsidRDefault="00604A0B" w:rsidP="00604A0B">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Vadovaudamasi </w:t>
      </w:r>
      <w:r w:rsidRPr="00A37C55">
        <w:rPr>
          <w:rFonts w:ascii="Times New Roman" w:eastAsia="Times New Roman" w:hAnsi="Times New Roman" w:cs="Times New Roman"/>
          <w:sz w:val="24"/>
          <w:szCs w:val="24"/>
          <w:lang w:eastAsia="lt-LT"/>
        </w:rPr>
        <w:t>Lietuvos  Respublikos  vietos savivaldos įstatymo 16 straipsnio 2 dalies 34 punktu, Teritorijos administracinių vienetų ir jų ribų įstatymo 9 straipsnio 2 dalimi, Pavadinimų gatvėms, pastatams, statiniams ir kitiems objektams suteikimo, keitimo ir įtraukimo į apskaitą tvarkos aprašo, patvirtinto Lietuvos  Respubli</w:t>
      </w:r>
      <w:r>
        <w:rPr>
          <w:rFonts w:ascii="Times New Roman" w:eastAsia="Times New Roman" w:hAnsi="Times New Roman" w:cs="Times New Roman"/>
          <w:sz w:val="24"/>
          <w:szCs w:val="24"/>
          <w:lang w:eastAsia="lt-LT"/>
        </w:rPr>
        <w:t>kos  vidaus reikalų ministro 20</w:t>
      </w:r>
      <w:r w:rsidRPr="00A37C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37C5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13</w:t>
      </w:r>
      <w:r w:rsidRPr="00A37C55">
        <w:rPr>
          <w:rFonts w:ascii="Times New Roman" w:eastAsia="Times New Roman" w:hAnsi="Times New Roman" w:cs="Times New Roman"/>
          <w:sz w:val="24"/>
          <w:szCs w:val="24"/>
          <w:lang w:eastAsia="lt-LT"/>
        </w:rPr>
        <w:t xml:space="preserve"> d. įsakymu Nr. 1V-</w:t>
      </w:r>
      <w:r>
        <w:rPr>
          <w:rFonts w:ascii="Times New Roman" w:eastAsia="Times New Roman" w:hAnsi="Times New Roman" w:cs="Times New Roman"/>
          <w:sz w:val="24"/>
          <w:szCs w:val="24"/>
          <w:lang w:eastAsia="lt-LT"/>
        </w:rPr>
        <w:t>178</w:t>
      </w:r>
      <w:r w:rsidRPr="00A37C55">
        <w:rPr>
          <w:rFonts w:ascii="Times New Roman" w:eastAsia="Times New Roman" w:hAnsi="Times New Roman" w:cs="Times New Roman"/>
          <w:b/>
          <w:sz w:val="24"/>
          <w:szCs w:val="24"/>
          <w:lang w:eastAsia="lt-LT"/>
        </w:rPr>
        <w:t xml:space="preserve">, </w:t>
      </w:r>
      <w:r w:rsidRPr="00A37C55">
        <w:rPr>
          <w:rFonts w:ascii="Times New Roman" w:eastAsia="Times New Roman" w:hAnsi="Times New Roman" w:cs="Times New Roman"/>
          <w:sz w:val="24"/>
          <w:szCs w:val="24"/>
          <w:lang w:eastAsia="lt-LT"/>
        </w:rPr>
        <w:t>6 punktu</w:t>
      </w:r>
      <w:r w:rsidRPr="00734E37">
        <w:rPr>
          <w:rFonts w:ascii="Times New Roman" w:hAnsi="Times New Roman"/>
          <w:sz w:val="24"/>
          <w:szCs w:val="24"/>
          <w:lang w:eastAsia="lt-LT"/>
        </w:rPr>
        <w:t xml:space="preserve"> </w:t>
      </w:r>
      <w:r>
        <w:rPr>
          <w:rFonts w:ascii="Times New Roman" w:hAnsi="Times New Roman"/>
          <w:sz w:val="24"/>
          <w:szCs w:val="24"/>
          <w:lang w:eastAsia="lt-LT"/>
        </w:rPr>
        <w:t xml:space="preserve">ir </w:t>
      </w:r>
      <w:r w:rsidRPr="00A37C55">
        <w:rPr>
          <w:rFonts w:ascii="Times New Roman" w:hAnsi="Times New Roman"/>
          <w:sz w:val="24"/>
          <w:szCs w:val="24"/>
          <w:lang w:eastAsia="lt-LT"/>
        </w:rPr>
        <w:t>Numerių pastatams, pastatų kompleksams, butams, patalpoms ir pavadinimų gatvėms, pastatams, statiniams bei kitiems objektams suteikimo</w:t>
      </w:r>
      <w:r w:rsidRPr="00A37C55">
        <w:rPr>
          <w:rFonts w:ascii="Times New Roman" w:hAnsi="Times New Roman"/>
          <w:color w:val="000000"/>
          <w:sz w:val="24"/>
          <w:szCs w:val="24"/>
          <w:lang w:eastAsia="lt-LT"/>
        </w:rPr>
        <w:t xml:space="preserve"> komisijos 2014 m. </w:t>
      </w:r>
      <w:r>
        <w:rPr>
          <w:rFonts w:ascii="Times New Roman" w:hAnsi="Times New Roman"/>
          <w:color w:val="000000"/>
          <w:sz w:val="24"/>
          <w:szCs w:val="24"/>
          <w:lang w:eastAsia="lt-LT"/>
        </w:rPr>
        <w:t>spalio 24</w:t>
      </w:r>
      <w:r w:rsidRPr="00A37C55">
        <w:rPr>
          <w:rFonts w:ascii="Times New Roman" w:hAnsi="Times New Roman"/>
          <w:color w:val="000000"/>
          <w:sz w:val="24"/>
          <w:szCs w:val="24"/>
          <w:lang w:eastAsia="lt-LT"/>
        </w:rPr>
        <w:t xml:space="preserve"> d. posėdžio protokolu Nr. 5A-</w:t>
      </w:r>
      <w:r>
        <w:rPr>
          <w:rFonts w:ascii="Times New Roman" w:hAnsi="Times New Roman"/>
          <w:color w:val="000000"/>
          <w:sz w:val="24"/>
          <w:szCs w:val="24"/>
          <w:lang w:eastAsia="lt-LT"/>
        </w:rPr>
        <w:t xml:space="preserve">7, </w:t>
      </w:r>
      <w:r>
        <w:rPr>
          <w:rFonts w:ascii="Times New Roman" w:eastAsia="Times New Roman" w:hAnsi="Times New Roman" w:cs="Times New Roman"/>
          <w:sz w:val="24"/>
          <w:szCs w:val="24"/>
          <w:lang w:eastAsia="lt-LT"/>
        </w:rPr>
        <w:t>teikiamas projektas „D</w:t>
      </w:r>
      <w:r w:rsidRPr="00734E37">
        <w:rPr>
          <w:rFonts w:ascii="Times New Roman" w:hAnsi="Times New Roman"/>
          <w:bCs/>
          <w:sz w:val="24"/>
          <w:szCs w:val="24"/>
        </w:rPr>
        <w:t xml:space="preserve">ėl </w:t>
      </w:r>
      <w:r>
        <w:rPr>
          <w:rFonts w:ascii="Times New Roman" w:hAnsi="Times New Roman"/>
          <w:bCs/>
          <w:sz w:val="24"/>
          <w:szCs w:val="24"/>
        </w:rPr>
        <w:t>pavadinimo naujai</w:t>
      </w:r>
      <w:r w:rsidRPr="00734E37">
        <w:rPr>
          <w:rFonts w:ascii="Times New Roman" w:hAnsi="Times New Roman"/>
          <w:bCs/>
          <w:sz w:val="24"/>
          <w:szCs w:val="24"/>
          <w:lang w:eastAsia="lt-LT"/>
        </w:rPr>
        <w:t xml:space="preserve"> gatv</w:t>
      </w:r>
      <w:r>
        <w:rPr>
          <w:rFonts w:ascii="Times New Roman" w:hAnsi="Times New Roman"/>
          <w:bCs/>
          <w:sz w:val="24"/>
          <w:szCs w:val="24"/>
          <w:lang w:eastAsia="lt-LT"/>
        </w:rPr>
        <w:t>ei</w:t>
      </w:r>
      <w:r w:rsidRPr="00734E37">
        <w:rPr>
          <w:rFonts w:ascii="Times New Roman" w:hAnsi="Times New Roman"/>
          <w:bCs/>
          <w:sz w:val="24"/>
          <w:szCs w:val="24"/>
          <w:lang w:eastAsia="lt-LT"/>
        </w:rPr>
        <w:t xml:space="preserve"> suteikimo</w:t>
      </w:r>
      <w:r>
        <w:rPr>
          <w:rFonts w:ascii="Times New Roman" w:hAnsi="Times New Roman"/>
          <w:bCs/>
          <w:sz w:val="24"/>
          <w:szCs w:val="24"/>
          <w:lang w:eastAsia="lt-LT"/>
        </w:rPr>
        <w:t>“</w:t>
      </w:r>
      <w:r w:rsidRPr="003740F2">
        <w:rPr>
          <w:rFonts w:ascii="Times New Roman" w:eastAsia="Times New Roman" w:hAnsi="Times New Roman" w:cs="Times New Roman"/>
          <w:sz w:val="24"/>
          <w:szCs w:val="24"/>
          <w:lang w:eastAsia="lt-LT"/>
        </w:rPr>
        <w:t>.</w:t>
      </w:r>
    </w:p>
    <w:p w:rsidR="00604A0B" w:rsidRDefault="00604A0B" w:rsidP="00604A0B">
      <w:pPr>
        <w:spacing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lt-LT"/>
        </w:rPr>
        <w:t xml:space="preserve">       Į Architektūros ir urbanistikos skyrių kreipėsi fizinis asmuo dėl adreso suteikimo naujai suformuotam sklypui prie </w:t>
      </w:r>
      <w:proofErr w:type="spellStart"/>
      <w:r>
        <w:rPr>
          <w:rFonts w:ascii="Times New Roman" w:eastAsia="Times New Roman" w:hAnsi="Times New Roman" w:cs="Times New Roman"/>
          <w:sz w:val="24"/>
          <w:szCs w:val="24"/>
          <w:lang w:eastAsia="lt-LT"/>
        </w:rPr>
        <w:t>Stetiškių</w:t>
      </w:r>
      <w:proofErr w:type="spellEnd"/>
      <w:r>
        <w:rPr>
          <w:rFonts w:ascii="Times New Roman" w:eastAsia="Times New Roman" w:hAnsi="Times New Roman" w:cs="Times New Roman"/>
          <w:sz w:val="24"/>
          <w:szCs w:val="24"/>
          <w:lang w:eastAsia="lt-LT"/>
        </w:rPr>
        <w:t xml:space="preserve"> g. 37. </w:t>
      </w:r>
      <w:r>
        <w:rPr>
          <w:rFonts w:ascii="Times New Roman" w:hAnsi="Times New Roman" w:cs="Times New Roman"/>
          <w:bCs/>
          <w:sz w:val="24"/>
          <w:szCs w:val="24"/>
        </w:rPr>
        <w:t xml:space="preserve">2014 m. spalio 24 d. komisija (Numerių pastatams, pastatų kompleksams, butams, patalpoms ir pavadinimų gatvėms, pastatams, statiniams, kitiems objektams suteikimo) svarstė minimą prašymą. Naujai suformuotam sklypui numeris bus suteikiamas tik įregistravus naują gatvę, kuri dėstysis lygiagrečiai </w:t>
      </w:r>
      <w:proofErr w:type="spellStart"/>
      <w:r>
        <w:rPr>
          <w:rFonts w:ascii="Times New Roman" w:hAnsi="Times New Roman" w:cs="Times New Roman"/>
          <w:bCs/>
          <w:sz w:val="24"/>
          <w:szCs w:val="24"/>
        </w:rPr>
        <w:t>Stetiškių</w:t>
      </w:r>
      <w:proofErr w:type="spellEnd"/>
      <w:r>
        <w:rPr>
          <w:rFonts w:ascii="Times New Roman" w:hAnsi="Times New Roman" w:cs="Times New Roman"/>
          <w:bCs/>
          <w:sz w:val="24"/>
          <w:szCs w:val="24"/>
        </w:rPr>
        <w:t xml:space="preserve"> gatvei, nuo Matininkų g. į pietus (tarp sklypų Matininkų g. 13B, 19, 19A, 25, 25A, 25B). Kvartalo, kuriame dėstysis nauja gatvė, gatvių pavadinimai – Jonažolių g., Dobilų g., Rugiagėlių g., Kupolių g., Gubojų g., Kmynų g., Gysločių g., Takažolių g., ...Komisija nutarė: naują gatvę (lygiagrečia </w:t>
      </w:r>
      <w:proofErr w:type="spellStart"/>
      <w:r>
        <w:rPr>
          <w:rFonts w:ascii="Times New Roman" w:hAnsi="Times New Roman" w:cs="Times New Roman"/>
          <w:bCs/>
          <w:sz w:val="24"/>
          <w:szCs w:val="24"/>
        </w:rPr>
        <w:t>Stetiškių</w:t>
      </w:r>
      <w:proofErr w:type="spellEnd"/>
      <w:r>
        <w:rPr>
          <w:rFonts w:ascii="Times New Roman" w:hAnsi="Times New Roman" w:cs="Times New Roman"/>
          <w:bCs/>
          <w:sz w:val="24"/>
          <w:szCs w:val="24"/>
        </w:rPr>
        <w:t xml:space="preserve"> gatvei, nuo Matininkų g. į pietus) pavadinti </w:t>
      </w:r>
      <w:r w:rsidRPr="00582CBD">
        <w:rPr>
          <w:rFonts w:ascii="Times New Roman" w:hAnsi="Times New Roman" w:cs="Times New Roman"/>
          <w:bCs/>
          <w:i/>
          <w:sz w:val="24"/>
          <w:szCs w:val="24"/>
        </w:rPr>
        <w:t>Mairūnų g.</w:t>
      </w:r>
      <w:r>
        <w:rPr>
          <w:rFonts w:ascii="Times New Roman" w:hAnsi="Times New Roman" w:cs="Times New Roman"/>
          <w:bCs/>
          <w:i/>
          <w:sz w:val="24"/>
          <w:szCs w:val="24"/>
        </w:rPr>
        <w:t xml:space="preserve"> </w:t>
      </w:r>
      <w:r w:rsidRPr="00582CBD">
        <w:rPr>
          <w:rFonts w:ascii="Times New Roman" w:hAnsi="Times New Roman" w:cs="Times New Roman"/>
          <w:bCs/>
          <w:sz w:val="24"/>
          <w:szCs w:val="24"/>
        </w:rPr>
        <w:t>ir pakeisti esamų statinių bei žemės sklypų</w:t>
      </w:r>
      <w:r>
        <w:rPr>
          <w:rFonts w:ascii="Times New Roman" w:hAnsi="Times New Roman" w:cs="Times New Roman"/>
          <w:bCs/>
          <w:sz w:val="24"/>
          <w:szCs w:val="24"/>
        </w:rPr>
        <w:t>, kurie dėstysis prie naujos gatvės,</w:t>
      </w:r>
      <w:r w:rsidRPr="00582CBD">
        <w:rPr>
          <w:rFonts w:ascii="Times New Roman" w:hAnsi="Times New Roman" w:cs="Times New Roman"/>
          <w:bCs/>
          <w:sz w:val="24"/>
          <w:szCs w:val="24"/>
        </w:rPr>
        <w:t xml:space="preserve"> numeraciją</w:t>
      </w:r>
      <w:r>
        <w:rPr>
          <w:rFonts w:ascii="Times New Roman" w:hAnsi="Times New Roman" w:cs="Times New Roman"/>
          <w:bCs/>
          <w:sz w:val="24"/>
          <w:szCs w:val="24"/>
        </w:rPr>
        <w:t xml:space="preserve">. </w:t>
      </w:r>
    </w:p>
    <w:p w:rsidR="00604A0B" w:rsidRPr="00A37C55" w:rsidRDefault="00604A0B" w:rsidP="00604A0B">
      <w:pPr>
        <w:spacing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Vadovaudamasi Pavadinimų gatvėms, pastatams, statiniams ir kitiems objektams suteikimo, keitimo ir įtraukimo į apskaitą tvarkos aprašo, patvirtinto Lietuvos  Respublikos  Vidaus reikalų ministro  2011 m. sausio 25 d. įsakymu Nr. 1V-57 (Žin., 2011, Nr. 12-541), 6 punktu, savivaldybės vykdomoji institucija, parengusi sprendimo projektą, savivaldybės Tarybai pateikia:</w:t>
      </w:r>
    </w:p>
    <w:p w:rsidR="00604A0B" w:rsidRPr="00A37C55" w:rsidRDefault="00604A0B" w:rsidP="00604A0B">
      <w:pPr>
        <w:numPr>
          <w:ilvl w:val="0"/>
          <w:numId w:val="1"/>
        </w:num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savivaldybės tarybos sprendimo dėl pavadinimo gatvei suteikimo ar keitimo projektą;</w:t>
      </w:r>
    </w:p>
    <w:p w:rsidR="00604A0B" w:rsidRPr="00A37C55" w:rsidRDefault="00604A0B" w:rsidP="00604A0B">
      <w:pPr>
        <w:numPr>
          <w:ilvl w:val="0"/>
          <w:numId w:val="1"/>
        </w:num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aiškinamąjį raštą;</w:t>
      </w:r>
    </w:p>
    <w:p w:rsidR="00604A0B" w:rsidRPr="00A37C55" w:rsidRDefault="00604A0B" w:rsidP="00604A0B">
      <w:pPr>
        <w:numPr>
          <w:ilvl w:val="0"/>
          <w:numId w:val="1"/>
        </w:numPr>
        <w:spacing w:after="0" w:line="360" w:lineRule="auto"/>
        <w:jc w:val="both"/>
        <w:rPr>
          <w:rFonts w:ascii="Times New Roman" w:eastAsia="Times New Roman" w:hAnsi="Times New Roman" w:cs="Times New Roman"/>
          <w:b/>
          <w:lang w:eastAsia="lt-LT"/>
        </w:rPr>
      </w:pPr>
      <w:r w:rsidRPr="00A37C55">
        <w:rPr>
          <w:rFonts w:ascii="Times New Roman" w:eastAsia="Times New Roman" w:hAnsi="Times New Roman" w:cs="Times New Roman"/>
          <w:sz w:val="24"/>
          <w:szCs w:val="24"/>
          <w:lang w:eastAsia="lt-LT"/>
        </w:rPr>
        <w:t xml:space="preserve">gatvių išsidėstymo planą topografiniame plane ar </w:t>
      </w:r>
      <w:proofErr w:type="spellStart"/>
      <w:r w:rsidRPr="00A37C55">
        <w:rPr>
          <w:rFonts w:ascii="Times New Roman" w:eastAsia="Times New Roman" w:hAnsi="Times New Roman" w:cs="Times New Roman"/>
          <w:sz w:val="24"/>
          <w:szCs w:val="24"/>
          <w:lang w:eastAsia="lt-LT"/>
        </w:rPr>
        <w:t>ortofotografinio</w:t>
      </w:r>
      <w:proofErr w:type="spellEnd"/>
      <w:r w:rsidRPr="00A37C55">
        <w:rPr>
          <w:rFonts w:ascii="Times New Roman" w:eastAsia="Times New Roman" w:hAnsi="Times New Roman" w:cs="Times New Roman"/>
          <w:sz w:val="24"/>
          <w:szCs w:val="24"/>
          <w:lang w:eastAsia="lt-LT"/>
        </w:rPr>
        <w:t xml:space="preserve"> ar topografinio žemėlapio ištraukoje, kuriame nurodytos gatvių ašinės linijos (fiksuojant pradžią, pabaigą ir posūkio taškus), esančios valstybinėje LKS – 94 koordinačių sistemoje, ir numatomi gatvių pavadinimai.</w:t>
      </w:r>
    </w:p>
    <w:p w:rsidR="00604A0B" w:rsidRPr="00A37C55" w:rsidRDefault="00604A0B" w:rsidP="00604A0B">
      <w:pPr>
        <w:spacing w:after="0" w:line="240" w:lineRule="auto"/>
        <w:ind w:left="60"/>
        <w:jc w:val="both"/>
        <w:rPr>
          <w:rFonts w:ascii="Times New Roman" w:eastAsia="Times New Roman" w:hAnsi="Times New Roman" w:cs="Times New Roman"/>
          <w:b/>
          <w:lang w:eastAsia="lt-LT"/>
        </w:rPr>
      </w:pPr>
    </w:p>
    <w:p w:rsidR="00604A0B" w:rsidRPr="00A37C55" w:rsidRDefault="00604A0B" w:rsidP="00604A0B">
      <w:pPr>
        <w:numPr>
          <w:ilvl w:val="0"/>
          <w:numId w:val="2"/>
        </w:numPr>
        <w:spacing w:after="0" w:line="240" w:lineRule="auto"/>
        <w:jc w:val="both"/>
        <w:rPr>
          <w:rFonts w:ascii="Times New Roman" w:eastAsia="Times New Roman" w:hAnsi="Times New Roman" w:cs="Times New Roman"/>
          <w:b/>
          <w:lang w:eastAsia="lt-LT"/>
        </w:rPr>
      </w:pPr>
      <w:r w:rsidRPr="00A37C55">
        <w:rPr>
          <w:rFonts w:ascii="Times New Roman" w:eastAsia="Times New Roman" w:hAnsi="Times New Roman" w:cs="Times New Roman"/>
          <w:b/>
          <w:lang w:eastAsia="lt-LT"/>
        </w:rPr>
        <w:t>KAIP ŠIUO METU SPRENDŽIAMI SPRENDIMO PROJEKTE APTARTI KLAUSIMAI</w:t>
      </w:r>
    </w:p>
    <w:p w:rsidR="00604A0B" w:rsidRPr="00A37C55" w:rsidRDefault="00604A0B" w:rsidP="00604A0B">
      <w:pPr>
        <w:spacing w:after="0" w:line="240" w:lineRule="auto"/>
        <w:ind w:left="420"/>
        <w:jc w:val="both"/>
        <w:rPr>
          <w:rFonts w:ascii="Times New Roman" w:eastAsia="Times New Roman" w:hAnsi="Times New Roman" w:cs="Times New Roman"/>
          <w:sz w:val="24"/>
          <w:szCs w:val="24"/>
          <w:lang w:eastAsia="lt-LT"/>
        </w:rPr>
      </w:pP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Teikiame Tarybai tvirtinimui sprendimo projektą „</w:t>
      </w:r>
      <w:r>
        <w:rPr>
          <w:rFonts w:ascii="Times New Roman" w:eastAsia="Times New Roman" w:hAnsi="Times New Roman" w:cs="Times New Roman"/>
          <w:sz w:val="24"/>
          <w:szCs w:val="24"/>
          <w:lang w:eastAsia="lt-LT"/>
        </w:rPr>
        <w:t>D</w:t>
      </w:r>
      <w:r w:rsidRPr="00734E37">
        <w:rPr>
          <w:rFonts w:ascii="Times New Roman" w:hAnsi="Times New Roman"/>
          <w:bCs/>
          <w:sz w:val="24"/>
          <w:szCs w:val="24"/>
        </w:rPr>
        <w:t xml:space="preserve">ėl </w:t>
      </w:r>
      <w:r>
        <w:rPr>
          <w:rFonts w:ascii="Times New Roman" w:hAnsi="Times New Roman"/>
          <w:bCs/>
          <w:sz w:val="24"/>
          <w:szCs w:val="24"/>
        </w:rPr>
        <w:t>pavadinimo naujai</w:t>
      </w:r>
      <w:r w:rsidRPr="00734E37">
        <w:rPr>
          <w:rFonts w:ascii="Times New Roman" w:hAnsi="Times New Roman"/>
          <w:bCs/>
          <w:sz w:val="24"/>
          <w:szCs w:val="24"/>
          <w:lang w:eastAsia="lt-LT"/>
        </w:rPr>
        <w:t xml:space="preserve"> gatv</w:t>
      </w:r>
      <w:r>
        <w:rPr>
          <w:rFonts w:ascii="Times New Roman" w:hAnsi="Times New Roman"/>
          <w:bCs/>
          <w:sz w:val="24"/>
          <w:szCs w:val="24"/>
          <w:lang w:eastAsia="lt-LT"/>
        </w:rPr>
        <w:t>ei</w:t>
      </w:r>
      <w:r w:rsidRPr="00734E37">
        <w:rPr>
          <w:rFonts w:ascii="Times New Roman" w:hAnsi="Times New Roman"/>
          <w:bCs/>
          <w:sz w:val="24"/>
          <w:szCs w:val="24"/>
          <w:lang w:eastAsia="lt-LT"/>
        </w:rPr>
        <w:t xml:space="preserve"> suteikimo</w:t>
      </w:r>
      <w:r w:rsidRPr="00A37C55">
        <w:rPr>
          <w:rFonts w:ascii="Times New Roman" w:eastAsia="Times New Roman" w:hAnsi="Times New Roman" w:cs="Times New Roman"/>
          <w:sz w:val="24"/>
          <w:szCs w:val="24"/>
          <w:lang w:eastAsia="lt-LT"/>
        </w:rPr>
        <w:t>“. Šiuo sprendimo projektu teikiam</w:t>
      </w:r>
      <w:r>
        <w:rPr>
          <w:rFonts w:ascii="Times New Roman" w:eastAsia="Times New Roman" w:hAnsi="Times New Roman" w:cs="Times New Roman"/>
          <w:sz w:val="24"/>
          <w:szCs w:val="24"/>
          <w:lang w:eastAsia="lt-LT"/>
        </w:rPr>
        <w:t>as</w:t>
      </w:r>
      <w:r w:rsidRPr="00A37C55">
        <w:rPr>
          <w:rFonts w:ascii="Times New Roman" w:eastAsia="Times New Roman" w:hAnsi="Times New Roman" w:cs="Times New Roman"/>
          <w:sz w:val="24"/>
          <w:szCs w:val="24"/>
          <w:lang w:eastAsia="lt-LT"/>
        </w:rPr>
        <w:t xml:space="preserve"> nauj</w:t>
      </w:r>
      <w:r>
        <w:rPr>
          <w:rFonts w:ascii="Times New Roman" w:eastAsia="Times New Roman" w:hAnsi="Times New Roman" w:cs="Times New Roman"/>
          <w:sz w:val="24"/>
          <w:szCs w:val="24"/>
          <w:lang w:eastAsia="lt-LT"/>
        </w:rPr>
        <w:t>ai</w:t>
      </w:r>
      <w:r w:rsidRPr="00A37C55">
        <w:rPr>
          <w:rFonts w:ascii="Times New Roman" w:eastAsia="Times New Roman" w:hAnsi="Times New Roman" w:cs="Times New Roman"/>
          <w:sz w:val="24"/>
          <w:szCs w:val="24"/>
          <w:lang w:eastAsia="lt-LT"/>
        </w:rPr>
        <w:t xml:space="preserve"> gatv</w:t>
      </w:r>
      <w:r>
        <w:rPr>
          <w:rFonts w:ascii="Times New Roman" w:eastAsia="Times New Roman" w:hAnsi="Times New Roman" w:cs="Times New Roman"/>
          <w:sz w:val="24"/>
          <w:szCs w:val="24"/>
          <w:lang w:eastAsia="lt-LT"/>
        </w:rPr>
        <w:t>ei</w:t>
      </w:r>
      <w:r w:rsidRPr="00A37C55">
        <w:rPr>
          <w:rFonts w:ascii="Times New Roman" w:eastAsia="Times New Roman" w:hAnsi="Times New Roman" w:cs="Times New Roman"/>
          <w:sz w:val="24"/>
          <w:szCs w:val="24"/>
          <w:lang w:eastAsia="lt-LT"/>
        </w:rPr>
        <w:t xml:space="preserve"> pavadinima</w:t>
      </w:r>
      <w:r>
        <w:rPr>
          <w:rFonts w:ascii="Times New Roman" w:eastAsia="Times New Roman" w:hAnsi="Times New Roman" w:cs="Times New Roman"/>
          <w:sz w:val="24"/>
          <w:szCs w:val="24"/>
          <w:lang w:eastAsia="lt-LT"/>
        </w:rPr>
        <w:t xml:space="preserve">s – </w:t>
      </w:r>
      <w:r w:rsidRPr="00582CBD">
        <w:rPr>
          <w:rFonts w:ascii="Times New Roman" w:eastAsia="Times New Roman" w:hAnsi="Times New Roman" w:cs="Times New Roman"/>
          <w:i/>
          <w:sz w:val="24"/>
          <w:szCs w:val="24"/>
          <w:lang w:eastAsia="lt-LT"/>
        </w:rPr>
        <w:t>Mairūnų g.</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p>
    <w:p w:rsidR="00604A0B" w:rsidRPr="00A37C55" w:rsidRDefault="00604A0B" w:rsidP="00604A0B">
      <w:pPr>
        <w:numPr>
          <w:ilvl w:val="0"/>
          <w:numId w:val="2"/>
        </w:numPr>
        <w:spacing w:after="0" w:line="360" w:lineRule="auto"/>
        <w:ind w:left="0"/>
        <w:jc w:val="both"/>
        <w:rPr>
          <w:rFonts w:ascii="Times New Roman" w:eastAsia="Times New Roman" w:hAnsi="Times New Roman" w:cs="Times New Roman"/>
          <w:b/>
          <w:lang w:eastAsia="lt-LT"/>
        </w:rPr>
      </w:pPr>
      <w:r w:rsidRPr="00A37C55">
        <w:rPr>
          <w:rFonts w:ascii="Times New Roman" w:eastAsia="Times New Roman" w:hAnsi="Times New Roman" w:cs="Times New Roman"/>
          <w:b/>
          <w:lang w:eastAsia="lt-LT"/>
        </w:rPr>
        <w:t>SPRENDIMO PRIĖMIMO BŪTINUMO PAGRINDIMAS, KOKIŲ POZITYVIŲ REZULTATŲ LAUKIAMA</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Negalime Registrų centre adresų registre registruoti sklypų (pastatų) adresų kol neįregistruoti gatvės pavadinimai. Gatvės pavadinimai gali būti vartojami tik įregistravus adresų registre.</w:t>
      </w:r>
    </w:p>
    <w:p w:rsidR="00604A0B" w:rsidRPr="00A37C55" w:rsidRDefault="00604A0B" w:rsidP="00604A0B">
      <w:pPr>
        <w:spacing w:after="0" w:line="360" w:lineRule="auto"/>
        <w:jc w:val="center"/>
        <w:rPr>
          <w:rFonts w:ascii="Times New Roman" w:eastAsia="Times New Roman" w:hAnsi="Times New Roman" w:cs="Times New Roman"/>
          <w:b/>
          <w:lang w:eastAsia="lt-LT"/>
        </w:rPr>
      </w:pPr>
    </w:p>
    <w:p w:rsidR="00604A0B" w:rsidRPr="00A37C55" w:rsidRDefault="00604A0B" w:rsidP="00604A0B">
      <w:pPr>
        <w:numPr>
          <w:ilvl w:val="0"/>
          <w:numId w:val="2"/>
        </w:numPr>
        <w:spacing w:after="0" w:line="360" w:lineRule="auto"/>
        <w:ind w:left="0"/>
        <w:rPr>
          <w:rFonts w:ascii="Times New Roman" w:eastAsia="Times New Roman" w:hAnsi="Times New Roman" w:cs="Times New Roman"/>
          <w:b/>
          <w:lang w:eastAsia="lt-LT"/>
        </w:rPr>
      </w:pPr>
      <w:r w:rsidRPr="00A37C55">
        <w:rPr>
          <w:rFonts w:ascii="Times New Roman" w:eastAsia="Times New Roman" w:hAnsi="Times New Roman" w:cs="Times New Roman"/>
          <w:b/>
          <w:lang w:eastAsia="lt-LT"/>
        </w:rPr>
        <w:t>SKAIČIAVIMAI, IŠLAIDŲ SĄMATOS, FINANSAVIMO ŠALTINIAI</w:t>
      </w:r>
    </w:p>
    <w:p w:rsidR="00604A0B" w:rsidRPr="00A37C55" w:rsidRDefault="00604A0B" w:rsidP="00604A0B">
      <w:pPr>
        <w:spacing w:after="0" w:line="36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w:t>
      </w:r>
    </w:p>
    <w:p w:rsidR="00604A0B" w:rsidRPr="00A37C55" w:rsidRDefault="00604A0B" w:rsidP="00604A0B">
      <w:pPr>
        <w:spacing w:after="0" w:line="36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Skaičiavimai neatliekami.  </w:t>
      </w:r>
    </w:p>
    <w:p w:rsidR="00604A0B" w:rsidRPr="00A37C55" w:rsidRDefault="00604A0B" w:rsidP="00604A0B">
      <w:pPr>
        <w:spacing w:after="0" w:line="360" w:lineRule="auto"/>
        <w:rPr>
          <w:rFonts w:ascii="Times New Roman" w:eastAsia="Times New Roman" w:hAnsi="Times New Roman" w:cs="Times New Roman"/>
          <w:sz w:val="24"/>
          <w:szCs w:val="24"/>
          <w:lang w:eastAsia="lt-LT"/>
        </w:rPr>
      </w:pPr>
    </w:p>
    <w:p w:rsidR="00604A0B" w:rsidRPr="00A37C55" w:rsidRDefault="00604A0B" w:rsidP="00604A0B">
      <w:pPr>
        <w:numPr>
          <w:ilvl w:val="0"/>
          <w:numId w:val="2"/>
        </w:numPr>
        <w:spacing w:after="0" w:line="360" w:lineRule="auto"/>
        <w:ind w:left="0"/>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GALIMOS NEIGIAMOS PASEKMĖS PRIĖMUS SPRENDIMĄ, KOKIŲ PRIEMONIŲ REIKĖTŲ IMTIS, KAD TOKIŲ PASEKMIŲ BŪTŲ IŠVENGTA</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w:t>
      </w:r>
    </w:p>
    <w:p w:rsidR="00604A0B"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Nėra. </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p>
    <w:p w:rsidR="00604A0B" w:rsidRPr="00A37C55" w:rsidRDefault="00604A0B" w:rsidP="00604A0B">
      <w:pPr>
        <w:numPr>
          <w:ilvl w:val="0"/>
          <w:numId w:val="2"/>
        </w:numPr>
        <w:spacing w:after="0" w:line="360" w:lineRule="auto"/>
        <w:ind w:left="0"/>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KIENO INICIATYVA PARENGTAS SPRENDIMO PROJEKTAS</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w:t>
      </w:r>
    </w:p>
    <w:p w:rsidR="00604A0B" w:rsidRPr="00A37C55" w:rsidRDefault="00604A0B" w:rsidP="00604A0B">
      <w:pPr>
        <w:spacing w:after="0" w:line="36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sz w:val="24"/>
          <w:szCs w:val="24"/>
          <w:lang w:eastAsia="lt-LT"/>
        </w:rPr>
        <w:t xml:space="preserve">  Vadovaujantis Pavadinimų gatvėms, pastatams, statiniams ir kitiems objektams suteikimo, keitimo ir įtraukimo į apskaitą tvarkos aprašu, patvirtintų Lietuvos  Respublikos  Vidaus reikalų ministro  201</w:t>
      </w:r>
      <w:r>
        <w:rPr>
          <w:rFonts w:ascii="Times New Roman" w:eastAsia="Times New Roman" w:hAnsi="Times New Roman" w:cs="Times New Roman"/>
          <w:sz w:val="24"/>
          <w:szCs w:val="24"/>
          <w:lang w:eastAsia="lt-LT"/>
        </w:rPr>
        <w:t>4</w:t>
      </w:r>
      <w:r w:rsidRPr="00A37C5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13 d. įsakymo Nr. 1V-178</w:t>
      </w:r>
      <w:r w:rsidRPr="00A37C55">
        <w:rPr>
          <w:rFonts w:ascii="Times New Roman" w:eastAsia="Times New Roman" w:hAnsi="Times New Roman" w:cs="Times New Roman"/>
          <w:sz w:val="24"/>
          <w:szCs w:val="24"/>
          <w:lang w:eastAsia="lt-LT"/>
        </w:rPr>
        <w:t>, 6 punktu, sprendimo iniciatorė – savivaldybės vykdomoji institucija</w:t>
      </w:r>
      <w:r>
        <w:rPr>
          <w:rFonts w:ascii="Times New Roman" w:eastAsia="Times New Roman" w:hAnsi="Times New Roman" w:cs="Times New Roman"/>
          <w:sz w:val="24"/>
          <w:szCs w:val="24"/>
          <w:lang w:eastAsia="lt-LT"/>
        </w:rPr>
        <w:t>.</w:t>
      </w:r>
      <w:bookmarkStart w:id="0" w:name="_GoBack"/>
      <w:bookmarkEnd w:id="0"/>
      <w:r w:rsidRPr="00A37C55">
        <w:rPr>
          <w:rFonts w:ascii="Times New Roman" w:eastAsia="Times New Roman" w:hAnsi="Times New Roman" w:cs="Times New Roman"/>
          <w:b/>
          <w:sz w:val="24"/>
          <w:szCs w:val="24"/>
          <w:lang w:eastAsia="lt-LT"/>
        </w:rPr>
        <w:t xml:space="preserve"> </w:t>
      </w:r>
    </w:p>
    <w:p w:rsidR="00604A0B" w:rsidRPr="00A37C55" w:rsidRDefault="00604A0B" w:rsidP="00604A0B">
      <w:pPr>
        <w:spacing w:after="0" w:line="36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 xml:space="preserve">  </w:t>
      </w:r>
    </w:p>
    <w:p w:rsidR="00604A0B" w:rsidRPr="00A37C55" w:rsidRDefault="00604A0B" w:rsidP="00604A0B">
      <w:pPr>
        <w:spacing w:after="0" w:line="360" w:lineRule="auto"/>
        <w:jc w:val="both"/>
        <w:rPr>
          <w:rFonts w:ascii="Times New Roman" w:eastAsia="Times New Roman" w:hAnsi="Times New Roman" w:cs="Times New Roman"/>
          <w:b/>
          <w:sz w:val="24"/>
          <w:szCs w:val="24"/>
          <w:lang w:eastAsia="lt-LT"/>
        </w:rPr>
      </w:pPr>
    </w:p>
    <w:p w:rsidR="00604A0B" w:rsidRPr="00A37C55" w:rsidRDefault="00604A0B" w:rsidP="00604A0B">
      <w:pPr>
        <w:spacing w:after="0" w:line="36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PRIDEDAMA:</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  Panevėžio miesto savivaldybės teisės aktų ar jų projektų antikorupcinio vertinimo metodikos 1 priedas, 2 priedas, 2 lapai;</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2. Panevėžio m.</w:t>
      </w:r>
      <w:r w:rsidRPr="00A37C55">
        <w:rPr>
          <w:rFonts w:ascii="Times New Roman" w:eastAsia="Times New Roman" w:hAnsi="Times New Roman" w:cs="Times New Roman"/>
          <w:color w:val="000000"/>
          <w:sz w:val="24"/>
          <w:szCs w:val="24"/>
          <w:lang w:eastAsia="lt-LT"/>
        </w:rPr>
        <w:t xml:space="preserve"> </w:t>
      </w:r>
      <w:r w:rsidRPr="00A37C55">
        <w:rPr>
          <w:rFonts w:ascii="Times New Roman" w:eastAsia="Times New Roman" w:hAnsi="Times New Roman" w:cs="Times New Roman"/>
          <w:sz w:val="24"/>
          <w:szCs w:val="24"/>
          <w:lang w:eastAsia="lt-LT"/>
        </w:rPr>
        <w:t>gatvių išdėstymo plana</w:t>
      </w:r>
      <w:r>
        <w:rPr>
          <w:rFonts w:ascii="Times New Roman" w:eastAsia="Times New Roman" w:hAnsi="Times New Roman" w:cs="Times New Roman"/>
          <w:sz w:val="24"/>
          <w:szCs w:val="24"/>
          <w:lang w:eastAsia="lt-LT"/>
        </w:rPr>
        <w:t>s</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w:t>
      </w:r>
      <w:r w:rsidRPr="00A37C55">
        <w:rPr>
          <w:rFonts w:ascii="Times New Roman" w:eastAsia="Times New Roman" w:hAnsi="Times New Roman" w:cs="Times New Roman"/>
          <w:sz w:val="24"/>
          <w:szCs w:val="24"/>
          <w:lang w:eastAsia="lt-LT"/>
        </w:rPr>
        <w:t xml:space="preserve"> lapa</w:t>
      </w:r>
      <w:r>
        <w:rPr>
          <w:rFonts w:ascii="Times New Roman" w:eastAsia="Times New Roman" w:hAnsi="Times New Roman" w:cs="Times New Roman"/>
          <w:sz w:val="24"/>
          <w:szCs w:val="24"/>
          <w:lang w:eastAsia="lt-LT"/>
        </w:rPr>
        <w:t>s</w:t>
      </w:r>
      <w:r w:rsidRPr="00A37C55">
        <w:rPr>
          <w:rFonts w:ascii="Times New Roman" w:eastAsia="Times New Roman" w:hAnsi="Times New Roman" w:cs="Times New Roman"/>
          <w:sz w:val="24"/>
          <w:szCs w:val="24"/>
          <w:lang w:eastAsia="lt-LT"/>
        </w:rPr>
        <w:t>;</w:t>
      </w:r>
    </w:p>
    <w:p w:rsidR="00604A0B" w:rsidRPr="00A37C55" w:rsidRDefault="00604A0B" w:rsidP="00604A0B">
      <w:pPr>
        <w:spacing w:after="0" w:line="36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3. Numerių pastatams, pastatų kompleksams, butams, patalpoms ir pavadinimų gatvėms, pastatams, statiniams bei kitiems objektams suteikimo</w:t>
      </w:r>
      <w:r w:rsidRPr="00A37C55">
        <w:rPr>
          <w:rFonts w:ascii="Times New Roman" w:eastAsia="Times New Roman" w:hAnsi="Times New Roman" w:cs="Times New Roman"/>
          <w:color w:val="000000"/>
          <w:sz w:val="24"/>
          <w:szCs w:val="24"/>
          <w:lang w:eastAsia="lt-LT"/>
        </w:rPr>
        <w:t xml:space="preserve"> komisijos 2014 m. </w:t>
      </w:r>
      <w:r>
        <w:rPr>
          <w:rFonts w:ascii="Times New Roman" w:eastAsia="Times New Roman" w:hAnsi="Times New Roman" w:cs="Times New Roman"/>
          <w:color w:val="000000"/>
          <w:sz w:val="24"/>
          <w:szCs w:val="24"/>
          <w:lang w:eastAsia="lt-LT"/>
        </w:rPr>
        <w:t>spalio 24</w:t>
      </w:r>
      <w:r w:rsidRPr="00A37C5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d. </w:t>
      </w:r>
      <w:r w:rsidRPr="00A37C55">
        <w:rPr>
          <w:rFonts w:ascii="Times New Roman" w:eastAsia="Times New Roman" w:hAnsi="Times New Roman" w:cs="Times New Roman"/>
          <w:color w:val="000000"/>
          <w:sz w:val="24"/>
          <w:szCs w:val="24"/>
          <w:lang w:eastAsia="lt-LT"/>
        </w:rPr>
        <w:t>posėdžio protokolo Nr. 5A-</w:t>
      </w:r>
      <w:r>
        <w:rPr>
          <w:rFonts w:ascii="Times New Roman" w:eastAsia="Times New Roman" w:hAnsi="Times New Roman" w:cs="Times New Roman"/>
          <w:color w:val="000000"/>
          <w:sz w:val="24"/>
          <w:szCs w:val="24"/>
          <w:lang w:eastAsia="lt-LT"/>
        </w:rPr>
        <w:t>7</w:t>
      </w:r>
      <w:r w:rsidRPr="00A37C55">
        <w:rPr>
          <w:rFonts w:ascii="Times New Roman" w:eastAsia="Times New Roman" w:hAnsi="Times New Roman" w:cs="Times New Roman"/>
          <w:color w:val="000000"/>
          <w:sz w:val="24"/>
          <w:szCs w:val="24"/>
          <w:lang w:eastAsia="lt-LT"/>
        </w:rPr>
        <w:t xml:space="preserve"> išraša</w:t>
      </w:r>
      <w:r>
        <w:rPr>
          <w:rFonts w:ascii="Times New Roman" w:eastAsia="Times New Roman" w:hAnsi="Times New Roman" w:cs="Times New Roman"/>
          <w:color w:val="000000"/>
          <w:sz w:val="24"/>
          <w:szCs w:val="24"/>
          <w:lang w:eastAsia="lt-LT"/>
        </w:rPr>
        <w:t>s</w:t>
      </w:r>
      <w:r w:rsidRPr="00A37C5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w:t>
      </w:r>
      <w:r w:rsidRPr="00A37C55">
        <w:rPr>
          <w:rFonts w:ascii="Times New Roman" w:eastAsia="Times New Roman" w:hAnsi="Times New Roman" w:cs="Times New Roman"/>
          <w:color w:val="000000"/>
          <w:sz w:val="24"/>
          <w:szCs w:val="24"/>
          <w:lang w:eastAsia="lt-LT"/>
        </w:rPr>
        <w:t xml:space="preserve"> l</w:t>
      </w:r>
      <w:r w:rsidRPr="00A37C55">
        <w:rPr>
          <w:rFonts w:ascii="Times New Roman" w:eastAsia="Times New Roman" w:hAnsi="Times New Roman" w:cs="Times New Roman"/>
          <w:sz w:val="24"/>
          <w:szCs w:val="24"/>
          <w:lang w:eastAsia="lt-LT"/>
        </w:rPr>
        <w:t>apa</w:t>
      </w:r>
      <w:r>
        <w:rPr>
          <w:rFonts w:ascii="Times New Roman" w:eastAsia="Times New Roman" w:hAnsi="Times New Roman" w:cs="Times New Roman"/>
          <w:sz w:val="24"/>
          <w:szCs w:val="24"/>
          <w:lang w:eastAsia="lt-LT"/>
        </w:rPr>
        <w:t>s.</w:t>
      </w:r>
    </w:p>
    <w:p w:rsidR="00604A0B" w:rsidRPr="00A37C55" w:rsidRDefault="00604A0B" w:rsidP="00604A0B">
      <w:pPr>
        <w:spacing w:after="0" w:line="36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Vyriausioji specialistė                                                                                         R. Tatorytė</w:t>
      </w: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Vyriausiasis GIS  specialistas                                                                             A. </w:t>
      </w:r>
      <w:proofErr w:type="spellStart"/>
      <w:r w:rsidRPr="00A37C55">
        <w:rPr>
          <w:rFonts w:ascii="Times New Roman" w:eastAsia="Times New Roman" w:hAnsi="Times New Roman" w:cs="Times New Roman"/>
          <w:sz w:val="24"/>
          <w:szCs w:val="24"/>
          <w:lang w:eastAsia="lt-LT"/>
        </w:rPr>
        <w:t>Sviderskas</w:t>
      </w:r>
      <w:proofErr w:type="spellEnd"/>
    </w:p>
    <w:p w:rsidR="00604A0B" w:rsidRPr="00A37C55" w:rsidRDefault="00604A0B" w:rsidP="00604A0B">
      <w:pPr>
        <w:keepNext/>
        <w:spacing w:after="0" w:line="240" w:lineRule="auto"/>
        <w:outlineLvl w:val="1"/>
        <w:rPr>
          <w:rFonts w:ascii="Times New Roman" w:eastAsia="Times New Roman" w:hAnsi="Times New Roman" w:cs="Times New Roman"/>
          <w:b/>
          <w:bCs/>
          <w:iCs/>
          <w:sz w:val="24"/>
          <w:szCs w:val="24"/>
          <w:lang w:eastAsia="lt-LT"/>
        </w:rPr>
      </w:pPr>
    </w:p>
    <w:p w:rsidR="00604A0B" w:rsidRPr="00A37C55" w:rsidRDefault="00604A0B" w:rsidP="00604A0B">
      <w:pPr>
        <w:keepNext/>
        <w:spacing w:after="0" w:line="240" w:lineRule="auto"/>
        <w:outlineLvl w:val="1"/>
        <w:rPr>
          <w:rFonts w:ascii="Times New Roman" w:eastAsia="Times New Roman" w:hAnsi="Times New Roman" w:cs="Times New Roman"/>
          <w:b/>
          <w:bCs/>
          <w:iCs/>
          <w:sz w:val="24"/>
          <w:szCs w:val="24"/>
          <w:lang w:eastAsia="lt-LT"/>
        </w:rPr>
      </w:pPr>
    </w:p>
    <w:p w:rsidR="00604A0B" w:rsidRPr="00A37C55" w:rsidRDefault="00604A0B" w:rsidP="00604A0B">
      <w:pPr>
        <w:spacing w:after="0" w:line="240" w:lineRule="auto"/>
        <w:ind w:left="5398"/>
        <w:rPr>
          <w:rFonts w:ascii="Times New Roman" w:eastAsia="Times New Roman" w:hAnsi="Times New Roman" w:cs="Times New Roman"/>
          <w:sz w:val="24"/>
          <w:szCs w:val="24"/>
          <w:lang w:eastAsia="lt-LT"/>
        </w:rPr>
      </w:pPr>
    </w:p>
    <w:p w:rsidR="00604A0B" w:rsidRPr="00A37C55" w:rsidRDefault="00604A0B" w:rsidP="00604A0B">
      <w:pPr>
        <w:spacing w:after="0" w:line="240" w:lineRule="auto"/>
        <w:ind w:left="5398"/>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lastRenderedPageBreak/>
        <w:t>Panevėžio miesto savivaldybės teisės aktų      ar jų projektų antikorupcinio</w:t>
      </w:r>
    </w:p>
    <w:p w:rsidR="00604A0B" w:rsidRPr="00A37C55" w:rsidRDefault="00604A0B" w:rsidP="00604A0B">
      <w:pPr>
        <w:spacing w:after="0" w:line="240" w:lineRule="auto"/>
        <w:ind w:left="5398"/>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vertinimo metodikos</w:t>
      </w:r>
    </w:p>
    <w:p w:rsidR="00604A0B" w:rsidRPr="00A37C55" w:rsidRDefault="00604A0B" w:rsidP="00604A0B">
      <w:pPr>
        <w:spacing w:after="0" w:line="240" w:lineRule="auto"/>
        <w:ind w:left="5400"/>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 priedas</w:t>
      </w: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ind w:right="638"/>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TEISĖS AKTŲ AR JŲ PROJEKTŲ KOKYBĖS VERTINIMO KLAUSIMYNAS </w:t>
      </w: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tbl>
      <w:tblPr>
        <w:tblW w:w="9360" w:type="dxa"/>
        <w:tblInd w:w="-165" w:type="dxa"/>
        <w:tblLayout w:type="fixed"/>
        <w:tblCellMar>
          <w:left w:w="0" w:type="dxa"/>
          <w:right w:w="0" w:type="dxa"/>
        </w:tblCellMar>
        <w:tblLook w:val="0000" w:firstRow="0" w:lastRow="0" w:firstColumn="0" w:lastColumn="0" w:noHBand="0" w:noVBand="0"/>
      </w:tblPr>
      <w:tblGrid>
        <w:gridCol w:w="574"/>
        <w:gridCol w:w="6806"/>
        <w:gridCol w:w="1080"/>
        <w:gridCol w:w="900"/>
      </w:tblGrid>
      <w:tr w:rsidR="00604A0B" w:rsidRPr="00A37C55" w:rsidTr="00E201FF">
        <w:trPr>
          <w:trHeight w:val="705"/>
        </w:trPr>
        <w:tc>
          <w:tcPr>
            <w:tcW w:w="57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04A0B" w:rsidRPr="00A37C55" w:rsidRDefault="00604A0B" w:rsidP="00E201FF">
            <w:pPr>
              <w:spacing w:after="0" w:line="240" w:lineRule="auto"/>
              <w:jc w:val="center"/>
              <w:rPr>
                <w:rFonts w:ascii="Times New Roman" w:eastAsia="Times New Roman" w:hAnsi="Times New Roman" w:cs="Times New Roman"/>
                <w:bCs/>
                <w:sz w:val="24"/>
                <w:szCs w:val="24"/>
                <w:lang w:eastAsia="lt-LT"/>
              </w:rPr>
            </w:pPr>
            <w:r w:rsidRPr="00A37C55">
              <w:rPr>
                <w:rFonts w:ascii="Times New Roman" w:eastAsia="Times New Roman" w:hAnsi="Times New Roman" w:cs="Times New Roman"/>
                <w:bCs/>
                <w:sz w:val="24"/>
                <w:szCs w:val="24"/>
                <w:lang w:eastAsia="lt-LT"/>
              </w:rPr>
              <w:t>Eil.</w:t>
            </w:r>
          </w:p>
          <w:p w:rsidR="00604A0B" w:rsidRPr="00A37C55" w:rsidRDefault="00604A0B" w:rsidP="00E201FF">
            <w:pPr>
              <w:spacing w:after="0" w:line="240" w:lineRule="auto"/>
              <w:jc w:val="center"/>
              <w:rPr>
                <w:rFonts w:ascii="Times New Roman" w:eastAsia="Arial Unicode MS" w:hAnsi="Times New Roman" w:cs="Times New Roman"/>
                <w:bCs/>
                <w:sz w:val="24"/>
                <w:szCs w:val="24"/>
                <w:lang w:eastAsia="lt-LT"/>
              </w:rPr>
            </w:pPr>
            <w:r w:rsidRPr="00A37C55">
              <w:rPr>
                <w:rFonts w:ascii="Times New Roman" w:eastAsia="Times New Roman" w:hAnsi="Times New Roman" w:cs="Times New Roman"/>
                <w:bCs/>
                <w:sz w:val="24"/>
                <w:szCs w:val="24"/>
                <w:lang w:eastAsia="lt-LT"/>
              </w:rPr>
              <w:t>Nr.</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4A0B" w:rsidRPr="00A37C55" w:rsidRDefault="00604A0B" w:rsidP="00E201FF">
            <w:pPr>
              <w:keepNext/>
              <w:spacing w:after="0" w:line="240" w:lineRule="auto"/>
              <w:jc w:val="center"/>
              <w:outlineLvl w:val="0"/>
              <w:rPr>
                <w:rFonts w:ascii="Times New Roman" w:eastAsia="Arial Unicode MS" w:hAnsi="Times New Roman" w:cs="Times New Roman"/>
                <w:bCs/>
                <w:kern w:val="32"/>
                <w:sz w:val="24"/>
                <w:szCs w:val="24"/>
              </w:rPr>
            </w:pPr>
            <w:r w:rsidRPr="00A37C55">
              <w:rPr>
                <w:rFonts w:ascii="Times New Roman" w:eastAsia="Times New Roman" w:hAnsi="Times New Roman" w:cs="Times New Roman"/>
                <w:bCs/>
                <w:kern w:val="32"/>
                <w:sz w:val="24"/>
                <w:szCs w:val="24"/>
              </w:rPr>
              <w:t>Teisės aktų ar jų projektų kokybės rodikliai</w:t>
            </w:r>
          </w:p>
        </w:tc>
        <w:tc>
          <w:tcPr>
            <w:tcW w:w="19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bCs/>
                <w:sz w:val="24"/>
                <w:szCs w:val="24"/>
                <w:lang w:eastAsia="lt-LT"/>
              </w:rPr>
            </w:pPr>
            <w:r w:rsidRPr="00A37C55">
              <w:rPr>
                <w:rFonts w:ascii="Times New Roman" w:eastAsia="Times New Roman" w:hAnsi="Times New Roman" w:cs="Times New Roman"/>
                <w:bCs/>
                <w:sz w:val="24"/>
                <w:szCs w:val="24"/>
                <w:lang w:eastAsia="lt-LT"/>
              </w:rPr>
              <w:t>Vertinimas balais</w:t>
            </w:r>
          </w:p>
        </w:tc>
      </w:tr>
      <w:tr w:rsidR="00604A0B" w:rsidRPr="00A37C55" w:rsidTr="00E201FF">
        <w:trPr>
          <w:trHeight w:val="300"/>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PAPRASTUMAS</w:t>
            </w: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praplečia jau kitais teisės aktais Savivaldybės reglamentuotos srities apimtį?</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NUOSEKLUMAS</w:t>
            </w:r>
          </w:p>
        </w:tc>
      </w:tr>
      <w:tr w:rsidR="00604A0B" w:rsidRPr="00A37C55" w:rsidTr="00E201FF">
        <w:trPr>
          <w:trHeight w:val="532"/>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2.</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šie tam tikrą sritį reglamentuojantys Savivaldybės teisės aktai prieštarauja įstatymams ar kitiems valstybiniams teisės aktams?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STRUKTŪRA</w:t>
            </w:r>
          </w:p>
        </w:tc>
      </w:tr>
      <w:tr w:rsidR="00604A0B" w:rsidRPr="00A37C55" w:rsidTr="00E201FF">
        <w:trPr>
          <w:trHeight w:val="93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3.</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suskirstytas į atskiras aiškias dalis, tokias, kaip pavadinimas, preambulė, reglamentavimas, įgyvendinimo taisyklės, atsakomybė, kontrolė ir 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4.</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akto struktūra apima pirmiausia bendrus, o vėliau konkretesnius dalykus?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5.</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akto struktūra atitinka šios srities teisės aktų struktūrą?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6.</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akto skyriai, pastraipos yra ilgesnės nei šios srities kitų teisės aktų?</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7.</w:t>
            </w:r>
          </w:p>
        </w:tc>
        <w:tc>
          <w:tcPr>
            <w:tcW w:w="68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kiekvienos teisės akto nuostatos tikslas yra aiškus?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8.</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tekste yra bendro pobūdžio sąlygų (nuostatų), kurios gali būti aiškinamos skirtingai?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36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9.</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cente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akte pateikiami sąvokų (techninių terminų) apibrėžimai?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10.</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akte vartojami nereikalingi terminai, apsunkinantys teksto suvokimą?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255"/>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ĮGYVENDINAMUMAS</w:t>
            </w:r>
          </w:p>
        </w:tc>
      </w:tr>
      <w:tr w:rsidR="00604A0B" w:rsidRPr="00A37C55" w:rsidTr="00E201FF">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akte numatytas mechanizmas ir struktūra, kad būtų užtikrintas tinkamas įgyvendinimas?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765"/>
        </w:trPr>
        <w:tc>
          <w:tcPr>
            <w:tcW w:w="574" w:type="dxa"/>
            <w:tcBorders>
              <w:top w:val="nil"/>
              <w:left w:val="single" w:sz="4" w:space="0" w:color="auto"/>
              <w:bottom w:val="nil"/>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12.</w:t>
            </w:r>
          </w:p>
        </w:tc>
        <w:tc>
          <w:tcPr>
            <w:tcW w:w="6806" w:type="dxa"/>
            <w:tcBorders>
              <w:top w:val="nil"/>
              <w:left w:val="nil"/>
              <w:bottom w:val="nil"/>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suteikia per daug veiksmų laisvės Savivaldybės administracijos padaliniams, asmenims, asmenų grupėms ar įstaigoms, turinčioms įgyvendinti teisės akte apibrėžtas nuostatas?</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p>
        </w:tc>
      </w:tr>
      <w:tr w:rsidR="00604A0B" w:rsidRPr="00A37C55" w:rsidTr="00E201FF">
        <w:trPr>
          <w:trHeight w:val="495"/>
        </w:trPr>
        <w:tc>
          <w:tcPr>
            <w:tcW w:w="5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13.</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Vidutinis balas (pagal Metodikos 12 punktą)</w:t>
            </w:r>
          </w:p>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p>
        </w:tc>
        <w:tc>
          <w:tcPr>
            <w:tcW w:w="19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0</w:t>
            </w:r>
          </w:p>
        </w:tc>
      </w:tr>
    </w:tbl>
    <w:p w:rsidR="00604A0B" w:rsidRPr="00A37C55" w:rsidRDefault="00604A0B" w:rsidP="00604A0B">
      <w:pPr>
        <w:tabs>
          <w:tab w:val="left" w:pos="7560"/>
        </w:tabs>
        <w:spacing w:after="0" w:line="240" w:lineRule="auto"/>
        <w:jc w:val="center"/>
        <w:rPr>
          <w:rFonts w:ascii="Times New Roman" w:eastAsia="Times New Roman" w:hAnsi="Times New Roman" w:cs="Times New Roman"/>
          <w:sz w:val="24"/>
          <w:szCs w:val="24"/>
          <w:lang w:eastAsia="lt-LT"/>
        </w:rPr>
      </w:pPr>
    </w:p>
    <w:p w:rsidR="00604A0B" w:rsidRPr="00A37C55" w:rsidRDefault="00604A0B" w:rsidP="00604A0B">
      <w:pPr>
        <w:tabs>
          <w:tab w:val="left" w:pos="7560"/>
        </w:tabs>
        <w:spacing w:after="0" w:line="240" w:lineRule="auto"/>
        <w:jc w:val="center"/>
        <w:rPr>
          <w:rFonts w:ascii="Times New Roman" w:eastAsia="Times New Roman" w:hAnsi="Times New Roman" w:cs="Times New Roman"/>
          <w:sz w:val="24"/>
          <w:szCs w:val="24"/>
          <w:lang w:eastAsia="lt-LT"/>
        </w:rPr>
      </w:pPr>
    </w:p>
    <w:p w:rsidR="00604A0B" w:rsidRPr="00A37C55" w:rsidRDefault="00604A0B" w:rsidP="00604A0B">
      <w:pPr>
        <w:tabs>
          <w:tab w:val="left" w:pos="7560"/>
        </w:tabs>
        <w:spacing w:after="0" w:line="240" w:lineRule="auto"/>
        <w:jc w:val="center"/>
        <w:rPr>
          <w:rFonts w:ascii="Times New Roman" w:eastAsia="Times New Roman" w:hAnsi="Times New Roman" w:cs="Times New Roman"/>
          <w:sz w:val="24"/>
          <w:szCs w:val="24"/>
          <w:lang w:eastAsia="lt-LT"/>
        </w:rPr>
      </w:pPr>
    </w:p>
    <w:p w:rsidR="00604A0B" w:rsidRPr="00A37C55"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Pr="00A37C55" w:rsidRDefault="00604A0B" w:rsidP="00604A0B">
      <w:pPr>
        <w:spacing w:after="0" w:line="240" w:lineRule="auto"/>
        <w:ind w:left="5580"/>
        <w:rPr>
          <w:rFonts w:ascii="Times New Roman" w:eastAsia="Times New Roman" w:hAnsi="Times New Roman" w:cs="Times New Roman"/>
          <w:sz w:val="24"/>
          <w:szCs w:val="24"/>
          <w:lang w:eastAsia="lt-LT"/>
        </w:rPr>
      </w:pPr>
    </w:p>
    <w:p w:rsidR="00604A0B" w:rsidRPr="00A37C55" w:rsidRDefault="00604A0B" w:rsidP="00604A0B">
      <w:pPr>
        <w:spacing w:after="0" w:line="240" w:lineRule="auto"/>
        <w:ind w:left="5580"/>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lastRenderedPageBreak/>
        <w:t xml:space="preserve">Panevėžio miesto savivaldybės </w:t>
      </w:r>
    </w:p>
    <w:p w:rsidR="00604A0B" w:rsidRPr="00A37C55" w:rsidRDefault="00604A0B" w:rsidP="00604A0B">
      <w:pPr>
        <w:spacing w:after="0" w:line="240" w:lineRule="auto"/>
        <w:ind w:left="5580"/>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projektų antikorupcinio</w:t>
      </w:r>
    </w:p>
    <w:p w:rsidR="00604A0B" w:rsidRPr="00A37C55" w:rsidRDefault="00604A0B" w:rsidP="00604A0B">
      <w:pPr>
        <w:spacing w:after="0" w:line="240" w:lineRule="auto"/>
        <w:ind w:left="5580"/>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vertinimo metodikos</w:t>
      </w:r>
    </w:p>
    <w:p w:rsidR="00604A0B" w:rsidRPr="00A37C55" w:rsidRDefault="00604A0B" w:rsidP="00604A0B">
      <w:pPr>
        <w:spacing w:after="0" w:line="240" w:lineRule="auto"/>
        <w:ind w:left="5580"/>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2 priedas</w:t>
      </w:r>
    </w:p>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604A0B" w:rsidRPr="00A37C55" w:rsidRDefault="00604A0B" w:rsidP="00604A0B">
      <w:pPr>
        <w:spacing w:after="0" w:line="24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TEISĖS AKTŲ ARBA TEISĖS AKTŲ PROJEKTŲ TURINIO VERTINIMO KLAUSIMYNAS</w:t>
      </w:r>
    </w:p>
    <w:tbl>
      <w:tblPr>
        <w:tblW w:w="9555" w:type="dxa"/>
        <w:tblLayout w:type="fixed"/>
        <w:tblCellMar>
          <w:left w:w="0" w:type="dxa"/>
          <w:right w:w="0" w:type="dxa"/>
        </w:tblCellMar>
        <w:tblLook w:val="0000" w:firstRow="0" w:lastRow="0" w:firstColumn="0" w:lastColumn="0" w:noHBand="0" w:noVBand="0"/>
      </w:tblPr>
      <w:tblGrid>
        <w:gridCol w:w="400"/>
        <w:gridCol w:w="6995"/>
        <w:gridCol w:w="1080"/>
        <w:gridCol w:w="1080"/>
      </w:tblGrid>
      <w:tr w:rsidR="00604A0B" w:rsidRPr="00A37C55" w:rsidTr="00E201FF">
        <w:trPr>
          <w:trHeight w:val="51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bCs/>
                <w:sz w:val="24"/>
                <w:szCs w:val="24"/>
                <w:lang w:eastAsia="lt-LT"/>
              </w:rPr>
            </w:pPr>
          </w:p>
          <w:p w:rsidR="00604A0B" w:rsidRPr="00A37C55" w:rsidRDefault="00604A0B" w:rsidP="00E201FF">
            <w:pPr>
              <w:spacing w:after="0" w:line="240" w:lineRule="auto"/>
              <w:jc w:val="center"/>
              <w:rPr>
                <w:rFonts w:ascii="Times New Roman" w:eastAsia="Times New Roman" w:hAnsi="Times New Roman" w:cs="Times New Roman"/>
                <w:bCs/>
                <w:sz w:val="24"/>
                <w:szCs w:val="24"/>
                <w:lang w:eastAsia="lt-LT"/>
              </w:rPr>
            </w:pPr>
            <w:r w:rsidRPr="00A37C55">
              <w:rPr>
                <w:rFonts w:ascii="Times New Roman" w:eastAsia="Times New Roman" w:hAnsi="Times New Roman" w:cs="Times New Roman"/>
                <w:bCs/>
                <w:sz w:val="24"/>
                <w:szCs w:val="24"/>
                <w:lang w:eastAsia="lt-LT"/>
              </w:rPr>
              <w:t>Eil.</w:t>
            </w:r>
          </w:p>
          <w:p w:rsidR="00604A0B" w:rsidRPr="00A37C55" w:rsidRDefault="00604A0B" w:rsidP="00E201FF">
            <w:pPr>
              <w:spacing w:after="0" w:line="240" w:lineRule="auto"/>
              <w:jc w:val="center"/>
              <w:rPr>
                <w:rFonts w:ascii="Times New Roman" w:eastAsia="Arial Unicode MS" w:hAnsi="Times New Roman" w:cs="Times New Roman"/>
                <w:bCs/>
                <w:sz w:val="24"/>
                <w:szCs w:val="24"/>
                <w:lang w:eastAsia="lt-LT"/>
              </w:rPr>
            </w:pPr>
            <w:r w:rsidRPr="00A37C55">
              <w:rPr>
                <w:rFonts w:ascii="Times New Roman" w:eastAsia="Times New Roman" w:hAnsi="Times New Roman" w:cs="Times New Roman"/>
                <w:bCs/>
                <w:sz w:val="24"/>
                <w:szCs w:val="24"/>
                <w:lang w:eastAsia="lt-LT"/>
              </w:rPr>
              <w:t>Nr.</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bCs/>
                <w:sz w:val="24"/>
                <w:szCs w:val="24"/>
                <w:lang w:eastAsia="lt-LT"/>
              </w:rPr>
            </w:pPr>
            <w:r w:rsidRPr="00A37C55">
              <w:rPr>
                <w:rFonts w:ascii="Times New Roman" w:eastAsia="Times New Roman" w:hAnsi="Times New Roman" w:cs="Times New Roman"/>
                <w:bCs/>
                <w:sz w:val="24"/>
                <w:szCs w:val="24"/>
                <w:lang w:eastAsia="lt-LT"/>
              </w:rPr>
              <w:t>Teisės akto ar jo projekto turinio rodikliai</w:t>
            </w: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bCs/>
                <w:sz w:val="24"/>
                <w:szCs w:val="24"/>
                <w:lang w:eastAsia="lt-LT"/>
              </w:rPr>
            </w:pPr>
            <w:r w:rsidRPr="00A37C55">
              <w:rPr>
                <w:rFonts w:ascii="Times New Roman" w:eastAsia="Times New Roman" w:hAnsi="Times New Roman" w:cs="Times New Roman"/>
                <w:bCs/>
                <w:sz w:val="24"/>
                <w:szCs w:val="24"/>
                <w:lang w:eastAsia="lt-LT"/>
              </w:rPr>
              <w:t>Vertinimas balais</w:t>
            </w:r>
          </w:p>
        </w:tc>
      </w:tr>
      <w:tr w:rsidR="00604A0B" w:rsidRPr="00A37C55" w:rsidTr="00E201FF">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NAUDINGUMAS</w:t>
            </w:r>
          </w:p>
        </w:tc>
      </w:tr>
      <w:tr w:rsidR="00604A0B" w:rsidRPr="00A37C55" w:rsidTr="00E201FF">
        <w:trPr>
          <w:trHeight w:val="51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aktai sustiprina tarnautojų, jiems prilygintų asmenų ar asmenų grupių įgaliojimus teisės akto įgyvendinimo priežiūrai vykdyti?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825"/>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suteikia įgaliojimus priimti sprendimus arba skirti išmokas vienam subjektui (tarnautojui, jam prilygintam asmeniui, komisijai, darbo grupei ir t. 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1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sukuria diskriminuojančias sąlygas konkrečioje srityje veikiantiems subjektams?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106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4.</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87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5.</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sumažina tarnautojų ar jiems prilygintų asmenų, kuriems šiuo teisės aktu suteikiama teisė priimti sprendimus ir (arba) skirti išmokas, sprendimų priėmimo skaidrumą?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35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6.</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cente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aktu pailginamas sandorio vykdymo terminas?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5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7.</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gali trukdyti vykdyti korupcijos prevenciją, prieštarauti kituose teisės aktuose numatytiems antikorupciniams procesams?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0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8.</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sumažina įprastus asmens, asmenų grupės, padalinio ar įstaigos veiksmingos veiklos priežiūros įgyvendinimo reikalavimus?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14"/>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9.</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aktu mažinama tarnautojų arba jiems prilyginamų asmenų kaitos galimybė?</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10.</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aktu sukuriamos arba padidinamos tarnautojų arba jiems prilyginamų asmenų viešųjų ir privačių interesų konfliktų galimybės?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71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numato tarnautojo arba jam prilyginto asmens, kuriam yra suteikta teisė priimti sprendimus ir (arba) skirti išmokas, atsakomybės ir minimo asmens kontrolės formas?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aktu sudaryta galimybė apskųsti tarnautojo arba jam prilyginto asmens sprendimą nepriklausomam asmeniui?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PRIEINAMUMAS</w:t>
            </w:r>
          </w:p>
        </w:tc>
      </w:tr>
      <w:tr w:rsidR="00604A0B" w:rsidRPr="00A37C55" w:rsidTr="00E201FF">
        <w:trPr>
          <w:trHeight w:val="79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sumažina patirties ir profesinius reikalavimus tarnautojams, jiems prilygintiems asmenims, įstaigoms ir kitiems fiziniams bei juridiniams asmenims, dalyvaujantiems teisės aktu apibrėžtoje veikloje?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45"/>
        </w:trPr>
        <w:tc>
          <w:tcPr>
            <w:tcW w:w="400" w:type="dxa"/>
            <w:tcBorders>
              <w:top w:val="nil"/>
              <w:left w:val="single" w:sz="4" w:space="0" w:color="auto"/>
              <w:bottom w:val="nil"/>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14.</w:t>
            </w:r>
          </w:p>
        </w:tc>
        <w:tc>
          <w:tcPr>
            <w:tcW w:w="6995" w:type="dxa"/>
            <w:tcBorders>
              <w:top w:val="nil"/>
              <w:left w:val="nil"/>
              <w:bottom w:val="nil"/>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akte numatoma galimybė patikrinti asmenų kvalifikaciją prieš jiems dalyvaujant teisės aktu apibrėžtoje veikloje?</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Taip (0)</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r>
      <w:tr w:rsidR="00604A0B" w:rsidRPr="00A37C55" w:rsidTr="00E201FF">
        <w:trPr>
          <w:trHeight w:val="30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15.</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aktas susijęs su asmeniniais interesais?</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16.</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Ar teisės aktu nustatomas reguliavimas būtinas, ar dėl jo neatsiras galimybių pasipelnyti tarnybos sąskaita?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Arial Unicode MS" w:hAnsi="Times New Roman" w:cs="Times New Roman"/>
                <w:sz w:val="24"/>
                <w:szCs w:val="24"/>
                <w:lang w:eastAsia="lt-LT"/>
              </w:rPr>
            </w:pPr>
            <w:r w:rsidRPr="00A37C55">
              <w:rPr>
                <w:rFonts w:ascii="Times New Roman" w:eastAsia="Times New Roman" w:hAnsi="Times New Roman" w:cs="Times New Roman"/>
                <w:sz w:val="24"/>
                <w:szCs w:val="24"/>
                <w:lang w:eastAsia="lt-LT"/>
              </w:rPr>
              <w:t>Ne (0)</w:t>
            </w:r>
          </w:p>
        </w:tc>
      </w:tr>
      <w:tr w:rsidR="00604A0B" w:rsidRPr="00A37C55" w:rsidTr="00E201FF">
        <w:trPr>
          <w:trHeight w:val="356"/>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17.</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Vidutinis balas (pagal Metodikos 12 punktą)</w:t>
            </w:r>
          </w:p>
          <w:p w:rsidR="00604A0B" w:rsidRPr="00A37C55" w:rsidRDefault="00604A0B" w:rsidP="00E201FF">
            <w:pPr>
              <w:spacing w:after="0" w:line="240" w:lineRule="auto"/>
              <w:jc w:val="center"/>
              <w:rPr>
                <w:rFonts w:ascii="Times New Roman" w:eastAsia="Times New Roman" w:hAnsi="Times New Roman" w:cs="Times New Roman"/>
                <w:sz w:val="24"/>
                <w:szCs w:val="24"/>
                <w:lang w:eastAsia="lt-LT"/>
              </w:rPr>
            </w:pP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04A0B" w:rsidRPr="00A37C55" w:rsidRDefault="00604A0B" w:rsidP="00E201FF">
            <w:pPr>
              <w:spacing w:after="0" w:line="24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0</w:t>
            </w:r>
          </w:p>
        </w:tc>
      </w:tr>
    </w:tbl>
    <w:p w:rsidR="00604A0B" w:rsidRPr="00A37C55" w:rsidRDefault="00604A0B" w:rsidP="00604A0B">
      <w:pPr>
        <w:spacing w:after="0" w:line="240" w:lineRule="auto"/>
        <w:rPr>
          <w:rFonts w:ascii="Times New Roman" w:eastAsia="Times New Roman" w:hAnsi="Times New Roman" w:cs="Times New Roman"/>
          <w:sz w:val="24"/>
          <w:szCs w:val="24"/>
          <w:lang w:eastAsia="lt-LT"/>
        </w:rPr>
      </w:pPr>
    </w:p>
    <w:p w:rsidR="00DF14C4" w:rsidRDefault="00DF14C4"/>
    <w:sectPr w:rsidR="00DF14C4" w:rsidSect="00A156FB">
      <w:pgSz w:w="11906" w:h="16838"/>
      <w:pgMar w:top="568" w:right="851"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60CE9"/>
    <w:multiLevelType w:val="hybridMultilevel"/>
    <w:tmpl w:val="1F264A94"/>
    <w:lvl w:ilvl="0" w:tplc="75A6FB16">
      <w:start w:val="2009"/>
      <w:numFmt w:val="bullet"/>
      <w:lvlText w:val="-"/>
      <w:lvlJc w:val="left"/>
      <w:pPr>
        <w:tabs>
          <w:tab w:val="num" w:pos="420"/>
        </w:tabs>
        <w:ind w:left="4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413A1AE5"/>
    <w:multiLevelType w:val="hybridMultilevel"/>
    <w:tmpl w:val="C2AA75D6"/>
    <w:lvl w:ilvl="0" w:tplc="F77CDD26">
      <w:start w:val="2"/>
      <w:numFmt w:val="decimal"/>
      <w:lvlText w:val="%1."/>
      <w:lvlJc w:val="left"/>
      <w:pPr>
        <w:tabs>
          <w:tab w:val="num" w:pos="420"/>
        </w:tabs>
        <w:ind w:left="420" w:hanging="360"/>
      </w:pPr>
      <w:rPr>
        <w:rFonts w:hint="default"/>
        <w:b/>
        <w:sz w:val="24"/>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0B"/>
    <w:rsid w:val="00604A0B"/>
    <w:rsid w:val="00DF1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C0352-D936-4171-A54B-D4936D33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A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5497</Words>
  <Characters>3134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1</cp:revision>
  <dcterms:created xsi:type="dcterms:W3CDTF">2014-11-10T16:00:00Z</dcterms:created>
  <dcterms:modified xsi:type="dcterms:W3CDTF">2014-11-10T16:02:00Z</dcterms:modified>
</cp:coreProperties>
</file>