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1BD" w:rsidRPr="007731BD" w:rsidRDefault="007731BD" w:rsidP="007731BD">
      <w:pPr>
        <w:spacing w:before="100" w:beforeAutospacing="1" w:after="100" w:afterAutospacing="1"/>
        <w:rPr>
          <w:rFonts w:eastAsia="Times New Roman"/>
          <w:szCs w:val="24"/>
          <w:lang w:eastAsia="lt-LT"/>
        </w:rPr>
      </w:pPr>
      <w:r w:rsidRPr="007731BD">
        <w:rPr>
          <w:rFonts w:eastAsia="Times New Roman"/>
          <w:b/>
          <w:bCs/>
          <w:sz w:val="22"/>
          <w:szCs w:val="22"/>
          <w:lang w:eastAsia="lt-LT"/>
        </w:rPr>
        <w:t>LIETUVOS RESPUBLIKOS</w:t>
      </w:r>
    </w:p>
    <w:p w:rsidR="007731BD" w:rsidRPr="007731BD" w:rsidRDefault="007731BD" w:rsidP="007731BD">
      <w:pPr>
        <w:spacing w:before="100" w:beforeAutospacing="1" w:after="100" w:afterAutospacing="1"/>
        <w:rPr>
          <w:rFonts w:eastAsia="Times New Roman"/>
          <w:szCs w:val="24"/>
          <w:lang w:eastAsia="lt-LT"/>
        </w:rPr>
      </w:pPr>
      <w:r w:rsidRPr="007731BD">
        <w:rPr>
          <w:rFonts w:eastAsia="Times New Roman"/>
          <w:b/>
          <w:bCs/>
          <w:sz w:val="22"/>
          <w:szCs w:val="22"/>
          <w:lang w:eastAsia="lt-LT"/>
        </w:rPr>
        <w:t>VIEŠŲJŲ PIRKIMŲ</w:t>
      </w:r>
    </w:p>
    <w:p w:rsidR="007731BD" w:rsidRPr="007731BD" w:rsidRDefault="007731BD" w:rsidP="007731BD">
      <w:pPr>
        <w:spacing w:before="100" w:beforeAutospacing="1" w:after="100" w:afterAutospacing="1"/>
        <w:outlineLvl w:val="4"/>
        <w:rPr>
          <w:rFonts w:ascii="Tahoma" w:eastAsia="Times New Roman" w:hAnsi="Tahoma" w:cs="Tahoma"/>
          <w:b/>
          <w:bCs/>
          <w:smallCaps/>
          <w:sz w:val="16"/>
          <w:szCs w:val="16"/>
          <w:lang w:eastAsia="lt-LT"/>
        </w:rPr>
      </w:pPr>
      <w:r w:rsidRPr="007731BD">
        <w:rPr>
          <w:rFonts w:eastAsia="Times New Roman"/>
          <w:b/>
          <w:bCs/>
          <w:smallCaps/>
          <w:sz w:val="22"/>
          <w:szCs w:val="22"/>
          <w:lang w:eastAsia="lt-LT"/>
        </w:rPr>
        <w:t>ĮSTATYMAS</w:t>
      </w:r>
    </w:p>
    <w:p w:rsidR="007731BD" w:rsidRPr="007731BD" w:rsidRDefault="007731BD" w:rsidP="007731BD">
      <w:pPr>
        <w:spacing w:before="100" w:beforeAutospacing="1" w:after="100" w:afterAutospacing="1"/>
        <w:jc w:val="left"/>
        <w:rPr>
          <w:rFonts w:eastAsia="Times New Roman"/>
          <w:szCs w:val="24"/>
          <w:lang w:eastAsia="lt-LT"/>
        </w:rPr>
      </w:pPr>
      <w:r w:rsidRPr="007731BD">
        <w:rPr>
          <w:rFonts w:eastAsia="Times New Roman"/>
          <w:i/>
          <w:iCs/>
          <w:szCs w:val="24"/>
          <w:lang w:eastAsia="lt-LT"/>
        </w:rPr>
        <w:t>Įstatymo pavadinimas keistas:</w:t>
      </w:r>
    </w:p>
    <w:p w:rsidR="007731BD" w:rsidRPr="007731BD" w:rsidRDefault="007731BD" w:rsidP="007731BD">
      <w:pPr>
        <w:spacing w:before="100" w:beforeAutospacing="1" w:after="100" w:afterAutospacing="1"/>
        <w:jc w:val="both"/>
        <w:rPr>
          <w:rFonts w:eastAsia="Times New Roman"/>
          <w:szCs w:val="24"/>
          <w:lang w:eastAsia="lt-LT"/>
        </w:rPr>
      </w:pPr>
      <w:r w:rsidRPr="007731BD">
        <w:rPr>
          <w:rFonts w:eastAsia="Times New Roman"/>
          <w:i/>
          <w:iCs/>
          <w:szCs w:val="24"/>
          <w:lang w:eastAsia="lt-LT"/>
        </w:rPr>
        <w:t xml:space="preserve">Nr. </w:t>
      </w:r>
      <w:hyperlink r:id="rId4" w:history="1">
        <w:r w:rsidRPr="007731BD">
          <w:rPr>
            <w:rFonts w:eastAsia="Times New Roman"/>
            <w:i/>
            <w:iCs/>
            <w:color w:val="000000"/>
            <w:szCs w:val="24"/>
            <w:u w:val="single"/>
            <w:lang w:eastAsia="lt-LT"/>
          </w:rPr>
          <w:t>VIII-1210</w:t>
        </w:r>
      </w:hyperlink>
      <w:r w:rsidRPr="007731BD">
        <w:rPr>
          <w:rFonts w:eastAsia="Times New Roman"/>
          <w:i/>
          <w:iCs/>
          <w:szCs w:val="24"/>
          <w:lang w:eastAsia="lt-LT"/>
        </w:rPr>
        <w:t xml:space="preserve">, 1999 06 03, </w:t>
      </w:r>
      <w:proofErr w:type="spellStart"/>
      <w:r w:rsidRPr="007731BD">
        <w:rPr>
          <w:rFonts w:eastAsia="Times New Roman"/>
          <w:i/>
          <w:iCs/>
          <w:szCs w:val="24"/>
          <w:lang w:eastAsia="lt-LT"/>
        </w:rPr>
        <w:t>Žin</w:t>
      </w:r>
      <w:proofErr w:type="spellEnd"/>
      <w:r w:rsidRPr="007731BD">
        <w:rPr>
          <w:rFonts w:eastAsia="Times New Roman"/>
          <w:i/>
          <w:iCs/>
          <w:szCs w:val="24"/>
          <w:lang w:eastAsia="lt-LT"/>
        </w:rPr>
        <w:t>., 1999, Nr. 56</w:t>
      </w:r>
      <w:proofErr w:type="gramStart"/>
      <w:r w:rsidRPr="007731BD">
        <w:rPr>
          <w:rFonts w:eastAsia="Times New Roman"/>
          <w:i/>
          <w:iCs/>
          <w:szCs w:val="24"/>
          <w:lang w:eastAsia="lt-LT"/>
        </w:rPr>
        <w:t>-</w:t>
      </w:r>
      <w:proofErr w:type="gramEnd"/>
      <w:r w:rsidRPr="007731BD">
        <w:rPr>
          <w:rFonts w:eastAsia="Times New Roman"/>
          <w:i/>
          <w:iCs/>
          <w:szCs w:val="24"/>
          <w:lang w:eastAsia="lt-LT"/>
        </w:rPr>
        <w:t>1809 (1999 06 25)</w:t>
      </w:r>
    </w:p>
    <w:p w:rsidR="007731BD" w:rsidRPr="007731BD" w:rsidRDefault="007731BD" w:rsidP="007731BD">
      <w:pPr>
        <w:spacing w:before="100" w:beforeAutospacing="1" w:after="100" w:afterAutospacing="1"/>
        <w:rPr>
          <w:rFonts w:eastAsia="Times New Roman"/>
          <w:szCs w:val="24"/>
          <w:lang w:eastAsia="lt-LT"/>
        </w:rPr>
      </w:pPr>
      <w:r w:rsidRPr="007731BD">
        <w:rPr>
          <w:rFonts w:eastAsia="Times New Roman"/>
          <w:sz w:val="22"/>
          <w:szCs w:val="22"/>
          <w:lang w:eastAsia="lt-LT"/>
        </w:rPr>
        <w:t>1996 m. rugpjūčio 13 d. Nr. I-1491</w:t>
      </w:r>
    </w:p>
    <w:p w:rsidR="007731BD" w:rsidRPr="007731BD" w:rsidRDefault="007731BD" w:rsidP="007731BD">
      <w:pPr>
        <w:spacing w:before="100" w:beforeAutospacing="1" w:after="100" w:afterAutospacing="1"/>
        <w:rPr>
          <w:rFonts w:eastAsia="Times New Roman"/>
          <w:szCs w:val="24"/>
          <w:lang w:eastAsia="lt-LT"/>
        </w:rPr>
      </w:pPr>
      <w:r w:rsidRPr="007731BD">
        <w:rPr>
          <w:rFonts w:eastAsia="Times New Roman"/>
          <w:sz w:val="22"/>
          <w:szCs w:val="22"/>
          <w:lang w:eastAsia="lt-LT"/>
        </w:rPr>
        <w:t>Vilnius</w:t>
      </w:r>
    </w:p>
    <w:p w:rsidR="007731BD" w:rsidRPr="007731BD" w:rsidRDefault="007731BD" w:rsidP="007731BD">
      <w:pPr>
        <w:spacing w:before="100" w:beforeAutospacing="1" w:after="100" w:afterAutospacing="1"/>
        <w:jc w:val="left"/>
        <w:rPr>
          <w:rFonts w:eastAsia="Times New Roman"/>
          <w:szCs w:val="24"/>
          <w:lang w:eastAsia="lt-LT"/>
        </w:rPr>
      </w:pPr>
      <w:r w:rsidRPr="007731BD">
        <w:rPr>
          <w:rFonts w:eastAsia="Times New Roman"/>
          <w:b/>
          <w:bCs/>
          <w:i/>
          <w:iCs/>
          <w:szCs w:val="24"/>
          <w:lang w:eastAsia="lt-LT"/>
        </w:rPr>
        <w:t>Nauja įstatymo redakcija</w:t>
      </w:r>
      <w:r w:rsidRPr="007731BD">
        <w:rPr>
          <w:rFonts w:eastAsia="Times New Roman"/>
          <w:i/>
          <w:iCs/>
          <w:szCs w:val="24"/>
          <w:lang w:eastAsia="lt-LT"/>
        </w:rPr>
        <w:t xml:space="preserve"> </w:t>
      </w:r>
      <w:r w:rsidRPr="007731BD">
        <w:rPr>
          <w:rFonts w:eastAsia="Times New Roman"/>
          <w:b/>
          <w:bCs/>
          <w:i/>
          <w:iCs/>
          <w:szCs w:val="24"/>
          <w:lang w:eastAsia="lt-LT"/>
        </w:rPr>
        <w:t>nuo 2006-01-31:</w:t>
      </w:r>
    </w:p>
    <w:p w:rsidR="007731BD" w:rsidRDefault="007731BD" w:rsidP="007731BD">
      <w:pPr>
        <w:spacing w:before="100" w:beforeAutospacing="1" w:after="100" w:afterAutospacing="1"/>
        <w:jc w:val="left"/>
        <w:rPr>
          <w:rFonts w:eastAsia="Times New Roman"/>
          <w:i/>
          <w:iCs/>
          <w:sz w:val="18"/>
          <w:szCs w:val="18"/>
          <w:lang w:eastAsia="lt-LT"/>
        </w:rPr>
      </w:pPr>
      <w:r w:rsidRPr="007731BD">
        <w:rPr>
          <w:rFonts w:eastAsia="Times New Roman"/>
          <w:i/>
          <w:iCs/>
          <w:sz w:val="18"/>
          <w:szCs w:val="18"/>
          <w:lang w:eastAsia="lt-LT"/>
        </w:rPr>
        <w:t xml:space="preserve">Nr. </w:t>
      </w:r>
      <w:hyperlink r:id="rId5" w:history="1">
        <w:r w:rsidRPr="007731BD">
          <w:rPr>
            <w:rFonts w:eastAsia="Times New Roman"/>
            <w:i/>
            <w:iCs/>
            <w:color w:val="000000"/>
            <w:sz w:val="18"/>
            <w:szCs w:val="18"/>
            <w:u w:val="single"/>
            <w:lang w:eastAsia="lt-LT"/>
          </w:rPr>
          <w:t>X-471</w:t>
        </w:r>
      </w:hyperlink>
      <w:r w:rsidRPr="007731BD">
        <w:rPr>
          <w:rFonts w:eastAsia="Times New Roman"/>
          <w:i/>
          <w:iCs/>
          <w:sz w:val="18"/>
          <w:szCs w:val="18"/>
          <w:lang w:eastAsia="lt-LT"/>
        </w:rPr>
        <w:t xml:space="preserve">, 2005-12-22, </w:t>
      </w:r>
      <w:proofErr w:type="spellStart"/>
      <w:r w:rsidRPr="007731BD">
        <w:rPr>
          <w:rFonts w:eastAsia="Times New Roman"/>
          <w:i/>
          <w:iCs/>
          <w:sz w:val="18"/>
          <w:szCs w:val="18"/>
          <w:lang w:eastAsia="lt-LT"/>
        </w:rPr>
        <w:t>Žin</w:t>
      </w:r>
      <w:proofErr w:type="spellEnd"/>
      <w:r w:rsidRPr="007731BD">
        <w:rPr>
          <w:rFonts w:eastAsia="Times New Roman"/>
          <w:i/>
          <w:iCs/>
          <w:sz w:val="18"/>
          <w:szCs w:val="18"/>
          <w:lang w:eastAsia="lt-LT"/>
        </w:rPr>
        <w:t>., 2006, Nr. 4</w:t>
      </w:r>
      <w:proofErr w:type="gramStart"/>
      <w:r w:rsidRPr="007731BD">
        <w:rPr>
          <w:rFonts w:eastAsia="Times New Roman"/>
          <w:i/>
          <w:iCs/>
          <w:sz w:val="18"/>
          <w:szCs w:val="18"/>
          <w:lang w:eastAsia="lt-LT"/>
        </w:rPr>
        <w:t>-</w:t>
      </w:r>
      <w:proofErr w:type="gramEnd"/>
      <w:r w:rsidRPr="007731BD">
        <w:rPr>
          <w:rFonts w:eastAsia="Times New Roman"/>
          <w:i/>
          <w:iCs/>
          <w:sz w:val="18"/>
          <w:szCs w:val="18"/>
          <w:lang w:eastAsia="lt-LT"/>
        </w:rPr>
        <w:t>102 (2006-01-12)</w:t>
      </w:r>
    </w:p>
    <w:p w:rsidR="00D55543" w:rsidRPr="007731BD" w:rsidRDefault="00D55543" w:rsidP="007731BD">
      <w:pPr>
        <w:spacing w:before="100" w:beforeAutospacing="1" w:after="100" w:afterAutospacing="1"/>
        <w:jc w:val="left"/>
        <w:rPr>
          <w:rFonts w:ascii="Tahoma" w:eastAsia="Times New Roman" w:hAnsi="Tahoma" w:cs="Tahoma"/>
          <w:sz w:val="18"/>
          <w:szCs w:val="18"/>
          <w:lang w:eastAsia="lt-LT"/>
        </w:rPr>
      </w:pPr>
      <w:r>
        <w:rPr>
          <w:rFonts w:eastAsia="Times New Roman"/>
          <w:i/>
          <w:iCs/>
          <w:sz w:val="18"/>
          <w:szCs w:val="18"/>
          <w:lang w:eastAsia="lt-LT"/>
        </w:rPr>
        <w:t>-----------</w:t>
      </w:r>
    </w:p>
    <w:p w:rsidR="007731BD" w:rsidRDefault="007731BD" w:rsidP="007731BD">
      <w:pPr>
        <w:ind w:firstLine="720"/>
        <w:jc w:val="both"/>
      </w:pPr>
      <w:bookmarkStart w:id="0" w:name="_Toc19335319"/>
      <w:bookmarkStart w:id="1" w:name="_Toc7067129"/>
      <w:bookmarkStart w:id="2" w:name="_Toc6907146"/>
      <w:bookmarkStart w:id="3" w:name="_Ref6395577"/>
      <w:bookmarkStart w:id="4" w:name="_Ref3960844"/>
      <w:bookmarkStart w:id="5" w:name="_Ref3862708"/>
      <w:bookmarkStart w:id="6" w:name="_Ref3862703"/>
      <w:bookmarkStart w:id="7" w:name="_Ref3862701"/>
      <w:bookmarkStart w:id="8" w:name="_Toc673178"/>
      <w:bookmarkStart w:id="9" w:name="_Ref518862993"/>
      <w:bookmarkEnd w:id="0"/>
      <w:bookmarkEnd w:id="1"/>
      <w:bookmarkEnd w:id="2"/>
      <w:bookmarkEnd w:id="3"/>
      <w:bookmarkEnd w:id="4"/>
      <w:bookmarkEnd w:id="5"/>
      <w:bookmarkEnd w:id="6"/>
      <w:bookmarkEnd w:id="7"/>
      <w:bookmarkEnd w:id="8"/>
      <w:r>
        <w:rPr>
          <w:color w:val="000000"/>
          <w:sz w:val="22"/>
          <w:szCs w:val="22"/>
        </w:rPr>
        <w:t xml:space="preserve">5. Šio įstatymo reikalavimai netaikomi pirkimams, jeigu perkančioji organizacija sudaro sutartį su atskirą juridinio asmens statusą turinčiu subjektu, kurį ji kontroliuoja kaip savo pačios tarnybą ar struktūrinį padalinį ir kuriame ji yra vienintelė dalyvė (arba įgyvendina valstybės ar savivaldybės, kaip vienintelės dalyvės, teises ir pareigas), ir jeigu kontroliuojamas subjektas ne mažiau kaip 90 procentų pardavimo pajamų per paskutinius finansinius metus (arba per laiką nuo subjekto įsteigimo dienos, jeigu subjektas vykdė veiklą mažiau kaip </w:t>
      </w:r>
      <w:proofErr w:type="gramStart"/>
      <w:r>
        <w:rPr>
          <w:color w:val="000000"/>
          <w:sz w:val="22"/>
          <w:szCs w:val="22"/>
        </w:rPr>
        <w:t>vienus</w:t>
      </w:r>
      <w:proofErr w:type="gramEnd"/>
      <w:r>
        <w:rPr>
          <w:color w:val="000000"/>
          <w:sz w:val="22"/>
          <w:szCs w:val="22"/>
        </w:rPr>
        <w:t xml:space="preserve"> finansinius metus) gauna iš veiklos, skirtos perkančiosios organizacijos poreikiams tenkinti ar perkančiosios organizacijos funkcijoms atlikti. </w:t>
      </w:r>
      <w:bookmarkEnd w:id="9"/>
      <w:r>
        <w:rPr>
          <w:sz w:val="22"/>
          <w:szCs w:val="22"/>
        </w:rPr>
        <w:t xml:space="preserve">Pirkimas šioje dalyje nurodytu būdu gali būti pradedamas tik gavus Viešųjų pirkimų tarnybos sutikimą. Viešųjų pirkimų tarnyba sprendimą dėl sutikimo priima ne vėliau kaip per 20 darbo dienų nuo perkančiosios organizacijos motyvuoto kreipimosi gavimo Viešųjų pirkimų tarnyboje dienos dėl sutikimo pirkimą atlikti šioje dalyje nurodytu būdu. Viešųjų pirkimų tarnybos direktorius sprendimo dėl sutikimo priėmimo terminą gali pratęsti dar 20 darbo dienų. Jeigu per šioje dalyje nustatytą terminą Viešųjų pirkimų tarnyba nepateikia jokio atsakymo, laikoma, kad sutikimas gautas. Kreipimosi dėl sutikimo pirkimą atlikti šioje dalyje nurodytu būdu tvarką nustato Viešųjų pirkimų tarnyba. </w:t>
      </w:r>
      <w:r>
        <w:rPr>
          <w:color w:val="000000"/>
          <w:sz w:val="22"/>
          <w:szCs w:val="22"/>
        </w:rPr>
        <w:t>Siekiant užtikrinti tokių pirkimų kontrolę, perkančioji organizacija, tvirtindama šio įstatymo 7 straipsnio 1 dalyje nurodytus einamaisiais biudžetiniais metais planuojamų atlikti viešųjų pirkimų planus, juose pateikia informaciją apie planuojamus atlikti šioje dalyje nurodytus pirkimus, o per 30 dienų nuo ataskaitinių kalendorinių metų pabaigos Viešųjų pirkimų tarnybai jos nustatyta tvarka pateikia visų per kalendorinius metus atliktų šioje dalyje nurodytų pirkimų ataskaitas.</w:t>
      </w:r>
    </w:p>
    <w:p w:rsidR="007731BD" w:rsidRDefault="007731BD" w:rsidP="007731BD">
      <w:pPr>
        <w:jc w:val="both"/>
      </w:pPr>
      <w:r>
        <w:rPr>
          <w:b/>
          <w:bCs/>
        </w:rPr>
        <w:t>Redakcija nuo 2014-01-01:</w:t>
      </w:r>
    </w:p>
    <w:p w:rsidR="007731BD" w:rsidRDefault="007731BD" w:rsidP="007731BD">
      <w:pPr>
        <w:ind w:firstLine="720"/>
        <w:jc w:val="both"/>
      </w:pPr>
      <w:r>
        <w:rPr>
          <w:sz w:val="22"/>
          <w:szCs w:val="22"/>
        </w:rPr>
        <w:t xml:space="preserve">5. Šio įstatymo reikalavimai netaikomi pirkimams, jeigu perkančioji organizacija sudaro sutartį su atskirą juridinio asmens statusą turinčiu subjektu, kurį ji kontroliuoja kaip savo pačios tarnybą ar struktūrinį padalinį ir kuriame ji yra vienintelė dalyvė (arba įgyvendina valstybės ar savivaldybės, kaip vienintelės dalyvės, teises ir pareigas), ir jeigu kontroliuojamas subjektas ne mažiau kaip 80 procentų pardavimo pajamų per paskutinius finansinius metus (arba per laiką nuo subjekto įsteigimo dienos, jeigu subjektas vykdė veiklą mažiau kaip </w:t>
      </w:r>
      <w:proofErr w:type="gramStart"/>
      <w:r>
        <w:rPr>
          <w:sz w:val="22"/>
          <w:szCs w:val="22"/>
        </w:rPr>
        <w:t>vienus</w:t>
      </w:r>
      <w:proofErr w:type="gramEnd"/>
      <w:r>
        <w:rPr>
          <w:sz w:val="22"/>
          <w:szCs w:val="22"/>
        </w:rPr>
        <w:t xml:space="preserve"> finansinius metus) gauna iš veiklos, skirtos perkančiosios organizacijos poreikiams tenkinti ar perkančiosios organizacijos funkcijoms atlikti. Pirkimas šioje dalyje nurodytu būdu gali būti pradedamas tik gavus Viešųjų pirkimų tarnybos sutikimą. Viešųjų pirkimų tarnyba sprendimą dėl sutikimo priima ne vėliau kaip per 15 darbo dienų nuo perkančiosios organizacijos motyvuoto kreipimosi dėl sutikimo pirkimą atlikti šioje dalyje nurodytu būdu gavimo Viešųjų pirkimų tarnyboje dienos. Jeigu per šioje dalyje nustatytą terminą Viešųjų pirkimų tarnyba nepateikia jokio atsakymo, laikoma, kad sutikimas gautas. Kreipimosi dėl sutikimo pirkimą atlikti šioje dalyje nurodytu būdu tvarką nustato Viešųjų pirkimų tarnyba. Siekiant užtikrinti tokių pirkimų kontrolę, perkančioji organizacija, tvirtindama šio įstatymo 7 straipsnio 1 dalyje nurodytus einamaisiais biudžetiniais metais planuojamų atlikti viešųjų pirkimų planus, juose pateikia informaciją apie planuojamus atlikti šioje dalyje nurodytus pirkimus, o per 30 dienų nuo ataskaitinių kalendorinių metų pabaigos Viešųjų pirkimų tarnybai jos nustatyta tvarka pateikia visų per kalendorinius metus atliktų šioje dalyje nurodytų pirkimų ataskaitas.</w:t>
      </w:r>
      <w:bookmarkStart w:id="10" w:name="_GoBack"/>
      <w:bookmarkEnd w:id="10"/>
      <w:r>
        <w:rPr>
          <w:sz w:val="22"/>
          <w:szCs w:val="22"/>
        </w:rPr>
        <w:t> </w:t>
      </w:r>
    </w:p>
    <w:sectPr w:rsidR="007731BD"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BD"/>
    <w:rsid w:val="007731BD"/>
    <w:rsid w:val="008A1269"/>
    <w:rsid w:val="00A24063"/>
    <w:rsid w:val="00B56D7B"/>
    <w:rsid w:val="00BE61F1"/>
    <w:rsid w:val="00D55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2F89A-C141-4E39-A8B4-DF876213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7731BD"/>
    <w:pPr>
      <w:spacing w:before="100" w:beforeAutospacing="1" w:after="100" w:afterAutospacing="1"/>
      <w:outlineLvl w:val="1"/>
    </w:pPr>
    <w:rPr>
      <w:rFonts w:ascii="Tahoma" w:eastAsia="Times New Roman" w:hAnsi="Tahoma" w:cs="Tahoma"/>
      <w:b/>
      <w:bCs/>
      <w:sz w:val="28"/>
      <w:szCs w:val="28"/>
      <w:lang w:eastAsia="lt-LT"/>
    </w:rPr>
  </w:style>
  <w:style w:type="paragraph" w:styleId="Antrat3">
    <w:name w:val="heading 3"/>
    <w:basedOn w:val="prastasis"/>
    <w:link w:val="Antrat3Diagrama"/>
    <w:uiPriority w:val="9"/>
    <w:qFormat/>
    <w:rsid w:val="007731BD"/>
    <w:pPr>
      <w:spacing w:before="100" w:beforeAutospacing="1" w:after="100" w:afterAutospacing="1"/>
      <w:jc w:val="left"/>
      <w:outlineLvl w:val="2"/>
    </w:pPr>
    <w:rPr>
      <w:rFonts w:eastAsia="Times New Roman"/>
      <w:b/>
      <w:bCs/>
      <w:sz w:val="27"/>
      <w:szCs w:val="27"/>
      <w:lang w:eastAsia="lt-LT"/>
    </w:rPr>
  </w:style>
  <w:style w:type="paragraph" w:styleId="Antrat4">
    <w:name w:val="heading 4"/>
    <w:basedOn w:val="prastasis"/>
    <w:next w:val="prastasis"/>
    <w:link w:val="Antrat4Diagrama"/>
    <w:uiPriority w:val="9"/>
    <w:semiHidden/>
    <w:unhideWhenUsed/>
    <w:qFormat/>
    <w:rsid w:val="007731B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link w:val="Antrat5Diagrama"/>
    <w:uiPriority w:val="9"/>
    <w:qFormat/>
    <w:rsid w:val="007731BD"/>
    <w:pPr>
      <w:spacing w:before="100" w:beforeAutospacing="1" w:after="100" w:afterAutospacing="1"/>
      <w:outlineLvl w:val="4"/>
    </w:pPr>
    <w:rPr>
      <w:rFonts w:ascii="Tahoma" w:eastAsia="Times New Roman" w:hAnsi="Tahoma" w:cs="Tahoma"/>
      <w:b/>
      <w:bCs/>
      <w:smallCap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31BD"/>
    <w:rPr>
      <w:rFonts w:ascii="Tahoma" w:eastAsia="Times New Roman" w:hAnsi="Tahoma" w:cs="Tahoma"/>
      <w:b/>
      <w:bCs/>
      <w:sz w:val="28"/>
      <w:szCs w:val="28"/>
      <w:lang w:eastAsia="lt-LT"/>
    </w:rPr>
  </w:style>
  <w:style w:type="character" w:customStyle="1" w:styleId="Antrat3Diagrama">
    <w:name w:val="Antraštė 3 Diagrama"/>
    <w:basedOn w:val="Numatytasispastraiposriftas"/>
    <w:link w:val="Antrat3"/>
    <w:uiPriority w:val="9"/>
    <w:rsid w:val="007731BD"/>
    <w:rPr>
      <w:rFonts w:eastAsia="Times New Roman"/>
      <w:b/>
      <w:bCs/>
      <w:sz w:val="27"/>
      <w:szCs w:val="27"/>
      <w:lang w:eastAsia="lt-LT"/>
    </w:rPr>
  </w:style>
  <w:style w:type="character" w:customStyle="1" w:styleId="Antrat5Diagrama">
    <w:name w:val="Antraštė 5 Diagrama"/>
    <w:basedOn w:val="Numatytasispastraiposriftas"/>
    <w:link w:val="Antrat5"/>
    <w:uiPriority w:val="9"/>
    <w:rsid w:val="007731BD"/>
    <w:rPr>
      <w:rFonts w:ascii="Tahoma" w:eastAsia="Times New Roman" w:hAnsi="Tahoma" w:cs="Tahoma"/>
      <w:b/>
      <w:bCs/>
      <w:smallCaps/>
      <w:sz w:val="16"/>
      <w:szCs w:val="16"/>
      <w:lang w:eastAsia="lt-LT"/>
    </w:rPr>
  </w:style>
  <w:style w:type="character" w:styleId="Hipersaitas">
    <w:name w:val="Hyperlink"/>
    <w:basedOn w:val="Numatytasispastraiposriftas"/>
    <w:uiPriority w:val="99"/>
    <w:semiHidden/>
    <w:unhideWhenUsed/>
    <w:rsid w:val="007731BD"/>
    <w:rPr>
      <w:color w:val="000000"/>
      <w:u w:val="single"/>
    </w:rPr>
  </w:style>
  <w:style w:type="paragraph" w:styleId="Paprastasistekstas">
    <w:name w:val="Plain Text"/>
    <w:basedOn w:val="prastasis"/>
    <w:link w:val="PaprastasistekstasDiagrama"/>
    <w:uiPriority w:val="99"/>
    <w:semiHidden/>
    <w:unhideWhenUsed/>
    <w:rsid w:val="007731BD"/>
    <w:pPr>
      <w:spacing w:before="100" w:beforeAutospacing="1" w:after="100" w:afterAutospacing="1"/>
      <w:jc w:val="left"/>
    </w:pPr>
    <w:rPr>
      <w:rFonts w:eastAsia="Times New Roman"/>
      <w:szCs w:val="24"/>
      <w:lang w:eastAsia="lt-LT"/>
    </w:rPr>
  </w:style>
  <w:style w:type="character" w:customStyle="1" w:styleId="PaprastasistekstasDiagrama">
    <w:name w:val="Paprastasis tekstas Diagrama"/>
    <w:basedOn w:val="Numatytasispastraiposriftas"/>
    <w:link w:val="Paprastasistekstas"/>
    <w:uiPriority w:val="99"/>
    <w:semiHidden/>
    <w:rsid w:val="007731BD"/>
    <w:rPr>
      <w:rFonts w:eastAsia="Times New Roman"/>
      <w:szCs w:val="24"/>
      <w:lang w:eastAsia="lt-LT"/>
    </w:rPr>
  </w:style>
  <w:style w:type="paragraph" w:styleId="Pagrindiniotekstotrauka2">
    <w:name w:val="Body Text Indent 2"/>
    <w:basedOn w:val="prastasis"/>
    <w:link w:val="Pagrindiniotekstotrauka2Diagrama"/>
    <w:uiPriority w:val="99"/>
    <w:semiHidden/>
    <w:unhideWhenUsed/>
    <w:rsid w:val="007731BD"/>
    <w:pPr>
      <w:spacing w:before="100" w:beforeAutospacing="1" w:after="100" w:afterAutospacing="1"/>
      <w:jc w:val="left"/>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7731BD"/>
    <w:rPr>
      <w:rFonts w:eastAsia="Times New Roman"/>
      <w:szCs w:val="24"/>
      <w:lang w:eastAsia="lt-LT"/>
    </w:rPr>
  </w:style>
  <w:style w:type="character" w:customStyle="1" w:styleId="Antrat4Diagrama">
    <w:name w:val="Antraštė 4 Diagrama"/>
    <w:basedOn w:val="Numatytasispastraiposriftas"/>
    <w:link w:val="Antrat4"/>
    <w:uiPriority w:val="9"/>
    <w:semiHidden/>
    <w:rsid w:val="007731B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725592">
      <w:bodyDiv w:val="1"/>
      <w:marLeft w:val="225"/>
      <w:marRight w:val="225"/>
      <w:marTop w:val="0"/>
      <w:marBottom w:val="0"/>
      <w:divBdr>
        <w:top w:val="none" w:sz="0" w:space="0" w:color="auto"/>
        <w:left w:val="none" w:sz="0" w:space="0" w:color="auto"/>
        <w:bottom w:val="none" w:sz="0" w:space="0" w:color="auto"/>
        <w:right w:val="none" w:sz="0" w:space="0" w:color="auto"/>
      </w:divBdr>
      <w:divsChild>
        <w:div w:id="588463075">
          <w:marLeft w:val="0"/>
          <w:marRight w:val="0"/>
          <w:marTop w:val="0"/>
          <w:marBottom w:val="0"/>
          <w:divBdr>
            <w:top w:val="none" w:sz="0" w:space="0" w:color="auto"/>
            <w:left w:val="none" w:sz="0" w:space="0" w:color="auto"/>
            <w:bottom w:val="none" w:sz="0" w:space="0" w:color="auto"/>
            <w:right w:val="none" w:sz="0" w:space="0" w:color="auto"/>
          </w:divBdr>
        </w:div>
      </w:divsChild>
    </w:div>
    <w:div w:id="678390865">
      <w:bodyDiv w:val="1"/>
      <w:marLeft w:val="225"/>
      <w:marRight w:val="225"/>
      <w:marTop w:val="0"/>
      <w:marBottom w:val="0"/>
      <w:divBdr>
        <w:top w:val="none" w:sz="0" w:space="0" w:color="auto"/>
        <w:left w:val="none" w:sz="0" w:space="0" w:color="auto"/>
        <w:bottom w:val="none" w:sz="0" w:space="0" w:color="auto"/>
        <w:right w:val="none" w:sz="0" w:space="0" w:color="auto"/>
      </w:divBdr>
      <w:divsChild>
        <w:div w:id="1437627868">
          <w:marLeft w:val="0"/>
          <w:marRight w:val="0"/>
          <w:marTop w:val="0"/>
          <w:marBottom w:val="0"/>
          <w:divBdr>
            <w:top w:val="none" w:sz="0" w:space="0" w:color="auto"/>
            <w:left w:val="none" w:sz="0" w:space="0" w:color="auto"/>
            <w:bottom w:val="none" w:sz="0" w:space="0" w:color="auto"/>
            <w:right w:val="none" w:sz="0" w:space="0" w:color="auto"/>
          </w:divBdr>
        </w:div>
      </w:divsChild>
    </w:div>
    <w:div w:id="1864399008">
      <w:bodyDiv w:val="1"/>
      <w:marLeft w:val="225"/>
      <w:marRight w:val="225"/>
      <w:marTop w:val="0"/>
      <w:marBottom w:val="0"/>
      <w:divBdr>
        <w:top w:val="none" w:sz="0" w:space="0" w:color="auto"/>
        <w:left w:val="none" w:sz="0" w:space="0" w:color="auto"/>
        <w:bottom w:val="none" w:sz="0" w:space="0" w:color="auto"/>
        <w:right w:val="none" w:sz="0" w:space="0" w:color="auto"/>
      </w:divBdr>
      <w:divsChild>
        <w:div w:id="1719550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lrs.lt/cgi-bin/preps2?a=268778&amp;b=" TargetMode="External"/><Relationship Id="rId4" Type="http://schemas.openxmlformats.org/officeDocument/2006/relationships/hyperlink" Target="http://www3.lrs.lt/cgi-bin/preps2?Condition1=82787&amp;Condition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2597</Words>
  <Characters>1481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3</cp:revision>
  <dcterms:created xsi:type="dcterms:W3CDTF">2014-11-06T12:54:00Z</dcterms:created>
  <dcterms:modified xsi:type="dcterms:W3CDTF">2014-11-06T12:56:00Z</dcterms:modified>
</cp:coreProperties>
</file>