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16" w:rsidRPr="00B31AE0" w:rsidRDefault="002F5216" w:rsidP="002F5216">
      <w:pPr>
        <w:jc w:val="center"/>
        <w:rPr>
          <w:sz w:val="24"/>
          <w:szCs w:val="24"/>
        </w:rPr>
      </w:pPr>
      <w:r w:rsidRPr="00B31AE0">
        <w:rPr>
          <w:sz w:val="24"/>
          <w:szCs w:val="24"/>
        </w:rPr>
        <w:t>AIŠKINAMASIS RAŠTAS</w:t>
      </w:r>
    </w:p>
    <w:p w:rsidR="002F5216" w:rsidRPr="00B31AE0" w:rsidRDefault="002F5216" w:rsidP="002F5216">
      <w:pPr>
        <w:jc w:val="center"/>
        <w:rPr>
          <w:sz w:val="24"/>
          <w:szCs w:val="24"/>
        </w:rPr>
      </w:pPr>
    </w:p>
    <w:p w:rsidR="002F5216" w:rsidRPr="00B31AE0" w:rsidRDefault="002F5216" w:rsidP="002F5216">
      <w:pPr>
        <w:jc w:val="center"/>
        <w:rPr>
          <w:b/>
          <w:sz w:val="24"/>
          <w:szCs w:val="24"/>
        </w:rPr>
      </w:pPr>
      <w:r w:rsidRPr="00B31AE0">
        <w:rPr>
          <w:b/>
          <w:sz w:val="24"/>
          <w:szCs w:val="24"/>
        </w:rPr>
        <w:t>DĖL SPRENDIMO</w:t>
      </w:r>
    </w:p>
    <w:p w:rsidR="002F5216" w:rsidRDefault="002F5216" w:rsidP="002F5216">
      <w:pPr>
        <w:jc w:val="center"/>
        <w:rPr>
          <w:b/>
          <w:sz w:val="24"/>
          <w:szCs w:val="24"/>
        </w:rPr>
      </w:pPr>
      <w:bookmarkStart w:id="0" w:name="Pavadinimas"/>
      <w:r w:rsidRPr="00B31AE0">
        <w:rPr>
          <w:b/>
          <w:sz w:val="24"/>
          <w:szCs w:val="24"/>
        </w:rPr>
        <w:t xml:space="preserve">DĖL BŪSTO ŠILDYMO KIETU KURU IŠLAIDŲ KOMPENSACIJAI SKAIČIUOTI VIDUTINĖS KAINOS NUSTATYMO  </w:t>
      </w:r>
      <w:bookmarkEnd w:id="0"/>
      <w:r>
        <w:rPr>
          <w:b/>
          <w:sz w:val="24"/>
          <w:szCs w:val="24"/>
        </w:rPr>
        <w:t>EURAIS</w:t>
      </w:r>
    </w:p>
    <w:p w:rsidR="002F5216" w:rsidRDefault="002F5216" w:rsidP="002F5216">
      <w:pPr>
        <w:jc w:val="center"/>
        <w:rPr>
          <w:b/>
          <w:sz w:val="24"/>
          <w:szCs w:val="24"/>
        </w:rPr>
      </w:pPr>
    </w:p>
    <w:p w:rsidR="002F5216" w:rsidRPr="00B31AE0" w:rsidRDefault="002F5216" w:rsidP="002F5216">
      <w:pPr>
        <w:jc w:val="center"/>
        <w:rPr>
          <w:sz w:val="24"/>
          <w:szCs w:val="24"/>
        </w:rPr>
      </w:pPr>
      <w:r>
        <w:rPr>
          <w:sz w:val="24"/>
          <w:szCs w:val="24"/>
        </w:rPr>
        <w:t>2014</w:t>
      </w:r>
      <w:r w:rsidRPr="00B31AE0">
        <w:rPr>
          <w:sz w:val="24"/>
          <w:szCs w:val="24"/>
        </w:rPr>
        <w:t xml:space="preserve"> – 10 - </w:t>
      </w:r>
      <w:r>
        <w:rPr>
          <w:sz w:val="24"/>
          <w:szCs w:val="24"/>
        </w:rPr>
        <w:t>20</w:t>
      </w:r>
    </w:p>
    <w:p w:rsidR="002F5216" w:rsidRPr="00B31AE0" w:rsidRDefault="002F5216" w:rsidP="002F5216">
      <w:pPr>
        <w:jc w:val="center"/>
        <w:rPr>
          <w:sz w:val="24"/>
          <w:szCs w:val="24"/>
        </w:rPr>
      </w:pPr>
      <w:r w:rsidRPr="00B31AE0">
        <w:rPr>
          <w:sz w:val="24"/>
          <w:szCs w:val="24"/>
        </w:rPr>
        <w:t>Panevėžys</w:t>
      </w:r>
    </w:p>
    <w:p w:rsidR="002F5216" w:rsidRPr="00B31AE0" w:rsidRDefault="002F5216" w:rsidP="002F5216">
      <w:pPr>
        <w:jc w:val="center"/>
        <w:rPr>
          <w:sz w:val="24"/>
          <w:szCs w:val="24"/>
        </w:rPr>
      </w:pPr>
    </w:p>
    <w:p w:rsidR="002F5216" w:rsidRPr="00B31AE0" w:rsidRDefault="002F5216" w:rsidP="002F52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B31AE0">
        <w:rPr>
          <w:b/>
          <w:sz w:val="24"/>
          <w:szCs w:val="24"/>
        </w:rPr>
        <w:t xml:space="preserve">Problemos esmė: </w:t>
      </w:r>
    </w:p>
    <w:p w:rsidR="002F5216" w:rsidRPr="00B31AE0" w:rsidRDefault="002F5216" w:rsidP="002F5216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Nuo 2015 metų Lietuvos Respublikoje įvedamas euras, todėl turi būti nustatyta b</w:t>
      </w:r>
      <w:r w:rsidRPr="00B31AE0">
        <w:rPr>
          <w:sz w:val="24"/>
          <w:szCs w:val="24"/>
        </w:rPr>
        <w:t xml:space="preserve">ūsto šildymo kietu kuru išlaidų kompensacijai skaičiuoti vidutinė 1 kubinio </w:t>
      </w:r>
      <w:r>
        <w:rPr>
          <w:sz w:val="24"/>
          <w:szCs w:val="24"/>
        </w:rPr>
        <w:t xml:space="preserve">kieto kuro t. y. malkų  </w:t>
      </w:r>
      <w:r w:rsidRPr="00B31AE0">
        <w:rPr>
          <w:sz w:val="24"/>
          <w:szCs w:val="24"/>
        </w:rPr>
        <w:t xml:space="preserve"> (su pridėtinės vertės mokesčiu) kaina</w:t>
      </w:r>
      <w:r w:rsidRPr="00B31AE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eurais. </w:t>
      </w:r>
      <w:r w:rsidRPr="00B31AE0">
        <w:rPr>
          <w:sz w:val="24"/>
          <w:szCs w:val="24"/>
        </w:rPr>
        <w:t xml:space="preserve">Kompensacijos yra teikiamos vadovaujantis Lietuvos Respublikos piniginės socialinės paramos nepasiturinčioms šeimoms  ir vieniems gyvenantiems asmenims  įstatymu, kurio  </w:t>
      </w:r>
      <w:r>
        <w:rPr>
          <w:sz w:val="24"/>
          <w:szCs w:val="24"/>
        </w:rPr>
        <w:t>11</w:t>
      </w:r>
      <w:r w:rsidRPr="00B31AE0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3</w:t>
      </w:r>
      <w:r w:rsidRPr="00B31AE0">
        <w:rPr>
          <w:sz w:val="24"/>
          <w:szCs w:val="24"/>
        </w:rPr>
        <w:t xml:space="preserve"> dalimi </w:t>
      </w:r>
      <w:r w:rsidRPr="00B31AE0">
        <w:rPr>
          <w:b/>
          <w:sz w:val="24"/>
          <w:szCs w:val="24"/>
        </w:rPr>
        <w:t xml:space="preserve"> </w:t>
      </w:r>
      <w:r w:rsidRPr="00B31AE0">
        <w:rPr>
          <w:sz w:val="24"/>
          <w:szCs w:val="24"/>
        </w:rPr>
        <w:t xml:space="preserve">nustatyta, kad apskaičiuojant išlaidas būsto šildymui ir karštam vandeniui taikomos savivaldybių patvirtintos vidutinės kietojo kuro kainos. Kieto kuro t. y. malkų kaina nustatoma su pridėtinės vertės mokesčiu </w:t>
      </w:r>
      <w:r>
        <w:rPr>
          <w:sz w:val="24"/>
          <w:szCs w:val="24"/>
        </w:rPr>
        <w:t xml:space="preserve">eurais </w:t>
      </w:r>
      <w:r w:rsidRPr="00B31AE0">
        <w:rPr>
          <w:sz w:val="24"/>
          <w:szCs w:val="24"/>
        </w:rPr>
        <w:t xml:space="preserve"> už vieną kubinį metrą, nes taip nustatyta Lietuvos Respublikos socialinė</w:t>
      </w:r>
      <w:r>
        <w:rPr>
          <w:sz w:val="24"/>
          <w:szCs w:val="24"/>
        </w:rPr>
        <w:t>s apsaugos ir darbo ministro 2012</w:t>
      </w:r>
      <w:r w:rsidRPr="00B31AE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25 </w:t>
      </w:r>
      <w:r w:rsidRPr="00B31AE0">
        <w:rPr>
          <w:sz w:val="24"/>
          <w:szCs w:val="24"/>
        </w:rPr>
        <w:t xml:space="preserve"> d. įsakymu Nr. A1-3</w:t>
      </w:r>
      <w:r>
        <w:rPr>
          <w:sz w:val="24"/>
          <w:szCs w:val="24"/>
        </w:rPr>
        <w:t xml:space="preserve">5 </w:t>
      </w:r>
      <w:r w:rsidRPr="00B31AE0">
        <w:rPr>
          <w:sz w:val="24"/>
          <w:szCs w:val="24"/>
        </w:rPr>
        <w:t xml:space="preserve"> patvirtintame 3 priede Kompensacijos būstui šildyti apskaičiavimas, šildymui naudojant kurą, kurio suvartojimas apskaitos prietaisu kiekvieną mėnesį nenustatomas.</w:t>
      </w:r>
    </w:p>
    <w:p w:rsidR="002F5216" w:rsidRPr="00B31AE0" w:rsidRDefault="002F5216" w:rsidP="002F52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B31AE0">
        <w:rPr>
          <w:b/>
          <w:sz w:val="24"/>
          <w:szCs w:val="24"/>
        </w:rPr>
        <w:t xml:space="preserve">Kaip šiuo metu sprendžiami sprendimo projekte aptarti klausimai: </w:t>
      </w:r>
    </w:p>
    <w:p w:rsidR="002F5216" w:rsidRPr="00B31AE0" w:rsidRDefault="002F5216" w:rsidP="002F5216">
      <w:pPr>
        <w:ind w:firstLine="1296"/>
        <w:jc w:val="both"/>
        <w:rPr>
          <w:sz w:val="24"/>
          <w:szCs w:val="24"/>
        </w:rPr>
      </w:pPr>
      <w:r w:rsidRPr="00B31AE0">
        <w:rPr>
          <w:sz w:val="24"/>
          <w:szCs w:val="24"/>
        </w:rPr>
        <w:t xml:space="preserve">Šiuo metu </w:t>
      </w:r>
      <w:r>
        <w:rPr>
          <w:sz w:val="24"/>
          <w:szCs w:val="24"/>
        </w:rPr>
        <w:t xml:space="preserve">taikoma </w:t>
      </w:r>
      <w:r w:rsidRPr="00B31AE0">
        <w:rPr>
          <w:sz w:val="24"/>
          <w:szCs w:val="24"/>
        </w:rPr>
        <w:tab/>
        <w:t>Panevėžio miesto savivaldybės tarybos 200</w:t>
      </w:r>
      <w:r>
        <w:rPr>
          <w:sz w:val="24"/>
          <w:szCs w:val="24"/>
        </w:rPr>
        <w:t>9</w:t>
      </w:r>
      <w:r w:rsidRPr="00B31AE0">
        <w:rPr>
          <w:sz w:val="24"/>
          <w:szCs w:val="24"/>
        </w:rPr>
        <w:t xml:space="preserve"> m. lapkričio </w:t>
      </w:r>
      <w:r>
        <w:rPr>
          <w:sz w:val="24"/>
          <w:szCs w:val="24"/>
        </w:rPr>
        <w:t>30 d. sprendimu Nr. 1-42</w:t>
      </w:r>
      <w:r w:rsidRPr="00B31AE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31AE0">
        <w:rPr>
          <w:sz w:val="24"/>
          <w:szCs w:val="24"/>
        </w:rPr>
        <w:t>patvirtinta 85 Lt su pridėtinės vertės mokesčiu 1 kubinio metro malkų kaina.</w:t>
      </w:r>
    </w:p>
    <w:p w:rsidR="002F5216" w:rsidRPr="00B31AE0" w:rsidRDefault="002F5216" w:rsidP="002F5216">
      <w:pPr>
        <w:jc w:val="both"/>
        <w:rPr>
          <w:sz w:val="24"/>
          <w:szCs w:val="24"/>
        </w:rPr>
      </w:pPr>
      <w:r w:rsidRPr="00B31AE0">
        <w:rPr>
          <w:b/>
          <w:sz w:val="24"/>
          <w:szCs w:val="24"/>
        </w:rPr>
        <w:t>3.</w:t>
      </w:r>
      <w:r w:rsidRPr="00B31AE0">
        <w:rPr>
          <w:sz w:val="24"/>
          <w:szCs w:val="24"/>
        </w:rPr>
        <w:t xml:space="preserve"> </w:t>
      </w:r>
      <w:r w:rsidRPr="00B31AE0">
        <w:rPr>
          <w:b/>
          <w:sz w:val="24"/>
          <w:szCs w:val="24"/>
        </w:rPr>
        <w:t>Sprendimo priėmimo būtinumo pagrindimas, kokių pozityvių rezultatų laukiama</w:t>
      </w:r>
      <w:r w:rsidRPr="00B31AE0">
        <w:rPr>
          <w:sz w:val="24"/>
          <w:szCs w:val="24"/>
        </w:rPr>
        <w:t xml:space="preserve">: </w:t>
      </w:r>
    </w:p>
    <w:p w:rsidR="002F5216" w:rsidRPr="00BB1CE2" w:rsidRDefault="002F5216" w:rsidP="002F5216">
      <w:pPr>
        <w:pStyle w:val="NormalWeb"/>
        <w:shd w:val="clear" w:color="auto" w:fill="FFFFFF"/>
        <w:spacing w:line="225" w:lineRule="atLeast"/>
        <w:ind w:firstLine="1296"/>
        <w:jc w:val="both"/>
        <w:rPr>
          <w:shd w:val="clear" w:color="auto" w:fill="F3F3F3"/>
        </w:rPr>
      </w:pPr>
      <w:r w:rsidRPr="00BB1CE2">
        <w:t>Sprendimas būtinas šildymo kietu kuru išlaidų kompensacijų  nuo 2015 m. sausio mėnesio dydžių eurais apskaičiavimui. Kaina eurais paskaičiuotas dabar galiojančią kieto kuro kainą litais t. y. 85 pad</w:t>
      </w:r>
      <w:r w:rsidR="00CF2704">
        <w:t>alinus iš 3,45280 t. y. nustatyto</w:t>
      </w:r>
      <w:r w:rsidRPr="00BB1CE2">
        <w:t xml:space="preserve"> </w:t>
      </w:r>
      <w:r w:rsidRPr="00BB1CE2">
        <w:rPr>
          <w:shd w:val="clear" w:color="auto" w:fill="F3F3F3"/>
        </w:rPr>
        <w:t xml:space="preserve"> neatšaukiamą lito ir euro kursą (3,45280 lito už 1 eurą). Rezultatas 24,6177 suapvalintas iki dviejų skaičių po kablelio t. t. 24,62.  </w:t>
      </w:r>
      <w:r>
        <w:rPr>
          <w:shd w:val="clear" w:color="auto" w:fill="F3F3F3"/>
        </w:rPr>
        <w:t>Kaina litais buvo nustatyta be skaičių po kablelio, todėl siūlome ir 24,62 suapvalinti iki sveikųjų skaičių t. y. iki 25, 00.</w:t>
      </w:r>
    </w:p>
    <w:p w:rsidR="002F5216" w:rsidRPr="00B31AE0" w:rsidRDefault="002F5216" w:rsidP="002F52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B31AE0">
        <w:rPr>
          <w:b/>
          <w:sz w:val="24"/>
          <w:szCs w:val="24"/>
        </w:rPr>
        <w:t>Skaičiavimai, išlaidų sąmatos, finansavimo šaltiniai:</w:t>
      </w:r>
    </w:p>
    <w:p w:rsidR="002F5216" w:rsidRPr="00B31AE0" w:rsidRDefault="002F5216" w:rsidP="002F5216">
      <w:pPr>
        <w:ind w:firstLine="1296"/>
        <w:jc w:val="both"/>
        <w:rPr>
          <w:sz w:val="24"/>
          <w:szCs w:val="24"/>
        </w:rPr>
      </w:pPr>
      <w:r w:rsidRPr="00B31AE0">
        <w:rPr>
          <w:sz w:val="24"/>
          <w:szCs w:val="24"/>
        </w:rPr>
        <w:t>Lėšos kompensacijoms yra naudojamos iš specialiosios tikslinės dotacijos valstybinėms (perduotoms savivaldybėms) vykdyt</w:t>
      </w:r>
      <w:r>
        <w:rPr>
          <w:sz w:val="24"/>
          <w:szCs w:val="24"/>
        </w:rPr>
        <w:t xml:space="preserve">i. </w:t>
      </w:r>
    </w:p>
    <w:p w:rsidR="002F5216" w:rsidRPr="00B31AE0" w:rsidRDefault="002F5216" w:rsidP="002F5216">
      <w:pPr>
        <w:jc w:val="both"/>
        <w:rPr>
          <w:sz w:val="24"/>
          <w:szCs w:val="24"/>
        </w:rPr>
      </w:pPr>
      <w:r w:rsidRPr="00B31AE0">
        <w:rPr>
          <w:b/>
          <w:sz w:val="24"/>
          <w:szCs w:val="24"/>
        </w:rPr>
        <w:t>5. Galimos neigiamos pasekmės priėmus sprendimą, kokių priemonių reikėtų imtis, kad tokių pasekmių būtų išvengta</w:t>
      </w:r>
      <w:r w:rsidRPr="00B31AE0">
        <w:rPr>
          <w:sz w:val="24"/>
          <w:szCs w:val="24"/>
        </w:rPr>
        <w:t xml:space="preserve">: </w:t>
      </w:r>
    </w:p>
    <w:p w:rsidR="002F5216" w:rsidRPr="00B31AE0" w:rsidRDefault="002F5216" w:rsidP="002F5216">
      <w:pPr>
        <w:ind w:firstLine="1296"/>
        <w:rPr>
          <w:sz w:val="24"/>
          <w:szCs w:val="24"/>
        </w:rPr>
      </w:pPr>
      <w:proofErr w:type="spellStart"/>
      <w:r w:rsidRPr="00B31AE0">
        <w:rPr>
          <w:sz w:val="24"/>
          <w:szCs w:val="24"/>
        </w:rPr>
        <w:t>Neigamų</w:t>
      </w:r>
      <w:proofErr w:type="spellEnd"/>
      <w:r w:rsidRPr="00B31AE0">
        <w:rPr>
          <w:sz w:val="24"/>
          <w:szCs w:val="24"/>
        </w:rPr>
        <w:t xml:space="preserve"> pasekmių priėmus sprendimą nebus. </w:t>
      </w:r>
    </w:p>
    <w:p w:rsidR="002F5216" w:rsidRPr="00B31AE0" w:rsidRDefault="002F5216" w:rsidP="002F5216">
      <w:pPr>
        <w:jc w:val="both"/>
        <w:rPr>
          <w:b/>
          <w:sz w:val="24"/>
          <w:szCs w:val="24"/>
        </w:rPr>
      </w:pPr>
      <w:r w:rsidRPr="00B31AE0">
        <w:rPr>
          <w:b/>
          <w:sz w:val="24"/>
          <w:szCs w:val="24"/>
        </w:rPr>
        <w:t xml:space="preserve">6.  Antikorupcinio vertinimo rezultatai: </w:t>
      </w:r>
    </w:p>
    <w:p w:rsidR="002F5216" w:rsidRPr="00B31AE0" w:rsidRDefault="002F5216" w:rsidP="002F5216">
      <w:pPr>
        <w:ind w:firstLine="1296"/>
        <w:jc w:val="both"/>
        <w:rPr>
          <w:b/>
          <w:sz w:val="24"/>
          <w:szCs w:val="24"/>
        </w:rPr>
      </w:pPr>
      <w:r w:rsidRPr="00B31AE0">
        <w:rPr>
          <w:sz w:val="24"/>
          <w:szCs w:val="24"/>
        </w:rPr>
        <w:t>Projektas neturi  įtakos korupcijai Savivaldybėje pasireikšti.</w:t>
      </w:r>
    </w:p>
    <w:p w:rsidR="002F5216" w:rsidRPr="00B31AE0" w:rsidRDefault="002F5216" w:rsidP="002F5216">
      <w:pPr>
        <w:rPr>
          <w:sz w:val="24"/>
          <w:szCs w:val="24"/>
        </w:rPr>
      </w:pPr>
      <w:r w:rsidRPr="00B31AE0">
        <w:rPr>
          <w:b/>
          <w:sz w:val="24"/>
          <w:szCs w:val="24"/>
        </w:rPr>
        <w:t>7. Kieno iniciatyva parengtas sprendimo projektas</w:t>
      </w:r>
      <w:r w:rsidRPr="00B31AE0">
        <w:rPr>
          <w:sz w:val="24"/>
          <w:szCs w:val="24"/>
        </w:rPr>
        <w:t>:</w:t>
      </w:r>
    </w:p>
    <w:p w:rsidR="002F5216" w:rsidRDefault="002F5216" w:rsidP="002F5216">
      <w:pPr>
        <w:ind w:firstLine="1296"/>
        <w:rPr>
          <w:sz w:val="24"/>
          <w:szCs w:val="24"/>
        </w:rPr>
      </w:pPr>
      <w:r w:rsidRPr="00B31AE0">
        <w:rPr>
          <w:sz w:val="24"/>
          <w:szCs w:val="24"/>
        </w:rPr>
        <w:t>Socialinės paramos skyriaus iniciatyva.</w:t>
      </w:r>
    </w:p>
    <w:p w:rsidR="002F5216" w:rsidRPr="00B31AE0" w:rsidRDefault="002F5216" w:rsidP="002F5216">
      <w:pPr>
        <w:ind w:firstLine="1296"/>
        <w:rPr>
          <w:sz w:val="24"/>
          <w:szCs w:val="24"/>
        </w:rPr>
      </w:pPr>
    </w:p>
    <w:p w:rsidR="002F5216" w:rsidRPr="00F9529E" w:rsidRDefault="002F5216" w:rsidP="002F5216">
      <w:pPr>
        <w:pStyle w:val="BodyText"/>
        <w:ind w:right="638"/>
        <w:rPr>
          <w:sz w:val="24"/>
          <w:szCs w:val="24"/>
        </w:rPr>
      </w:pPr>
      <w:r>
        <w:rPr>
          <w:sz w:val="24"/>
          <w:szCs w:val="24"/>
        </w:rPr>
        <w:t>PRIDEDAMA</w:t>
      </w:r>
      <w:r w:rsidRPr="00F9529E">
        <w:rPr>
          <w:sz w:val="24"/>
          <w:szCs w:val="24"/>
        </w:rPr>
        <w:t xml:space="preserve">: 1. </w:t>
      </w:r>
      <w:r>
        <w:rPr>
          <w:sz w:val="24"/>
          <w:szCs w:val="24"/>
        </w:rPr>
        <w:t>T</w:t>
      </w:r>
      <w:r w:rsidRPr="00F9529E">
        <w:rPr>
          <w:sz w:val="24"/>
          <w:szCs w:val="24"/>
        </w:rPr>
        <w:t>eisės aktų ar jų projektų kokybės vertinimo klausimynas</w:t>
      </w:r>
      <w:r>
        <w:rPr>
          <w:sz w:val="24"/>
          <w:szCs w:val="24"/>
        </w:rPr>
        <w:t>, 1 lapas;</w:t>
      </w:r>
      <w:r w:rsidRPr="00F9529E">
        <w:rPr>
          <w:sz w:val="24"/>
          <w:szCs w:val="24"/>
        </w:rPr>
        <w:t xml:space="preserve"> </w:t>
      </w:r>
    </w:p>
    <w:p w:rsidR="002F5216" w:rsidRDefault="002F5216" w:rsidP="002F5216">
      <w:pPr>
        <w:pStyle w:val="BodyText"/>
      </w:pPr>
      <w:r w:rsidRPr="00F9529E">
        <w:rPr>
          <w:sz w:val="24"/>
          <w:szCs w:val="24"/>
        </w:rPr>
        <w:tab/>
      </w:r>
      <w:r>
        <w:rPr>
          <w:sz w:val="24"/>
          <w:szCs w:val="24"/>
        </w:rPr>
        <w:t xml:space="preserve">     2. T</w:t>
      </w:r>
      <w:r w:rsidRPr="00F9529E">
        <w:rPr>
          <w:sz w:val="24"/>
          <w:szCs w:val="24"/>
        </w:rPr>
        <w:t>eisės aktų arba teisės aktų projektų turinio vertinimo klausimynas</w:t>
      </w:r>
      <w:r>
        <w:rPr>
          <w:sz w:val="24"/>
          <w:szCs w:val="24"/>
        </w:rPr>
        <w:t>, 1 lapas.</w:t>
      </w:r>
    </w:p>
    <w:p w:rsidR="002F5216" w:rsidRDefault="002F5216" w:rsidP="002F5216"/>
    <w:p w:rsidR="002F5216" w:rsidRPr="00B31AE0" w:rsidRDefault="002F5216" w:rsidP="002F521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31AE0">
        <w:rPr>
          <w:sz w:val="24"/>
          <w:szCs w:val="24"/>
        </w:rPr>
        <w:t>.</w:t>
      </w:r>
    </w:p>
    <w:p w:rsidR="002F5216" w:rsidRPr="00B31AE0" w:rsidRDefault="002F5216" w:rsidP="002F5216">
      <w:pPr>
        <w:ind w:left="360" w:firstLine="360"/>
        <w:rPr>
          <w:sz w:val="24"/>
          <w:szCs w:val="24"/>
        </w:rPr>
      </w:pPr>
    </w:p>
    <w:p w:rsidR="002F5216" w:rsidRPr="00B31AE0" w:rsidRDefault="002F5216" w:rsidP="002F5216">
      <w:pPr>
        <w:rPr>
          <w:sz w:val="24"/>
          <w:szCs w:val="24"/>
        </w:rPr>
      </w:pPr>
    </w:p>
    <w:p w:rsidR="002F5216" w:rsidRPr="00B31AE0" w:rsidRDefault="002F5216" w:rsidP="002F5216">
      <w:pPr>
        <w:rPr>
          <w:sz w:val="24"/>
          <w:szCs w:val="24"/>
        </w:rPr>
      </w:pPr>
    </w:p>
    <w:p w:rsidR="002F5216" w:rsidRPr="00B31AE0" w:rsidRDefault="002F5216" w:rsidP="002F5216">
      <w:pPr>
        <w:rPr>
          <w:sz w:val="24"/>
          <w:szCs w:val="24"/>
        </w:rPr>
      </w:pPr>
      <w:r w:rsidRPr="00B31AE0">
        <w:rPr>
          <w:sz w:val="24"/>
          <w:szCs w:val="24"/>
        </w:rPr>
        <w:t xml:space="preserve">Socialinės paramos skyriaus vedėjo pavaduotoja </w:t>
      </w:r>
      <w:r w:rsidRPr="00B31AE0">
        <w:rPr>
          <w:sz w:val="24"/>
          <w:szCs w:val="24"/>
        </w:rPr>
        <w:tab/>
      </w:r>
      <w:r w:rsidRPr="00B31AE0">
        <w:rPr>
          <w:sz w:val="24"/>
          <w:szCs w:val="24"/>
        </w:rPr>
        <w:tab/>
        <w:t xml:space="preserve">      Zita </w:t>
      </w:r>
      <w:proofErr w:type="spellStart"/>
      <w:r w:rsidRPr="00B31AE0">
        <w:rPr>
          <w:sz w:val="24"/>
          <w:szCs w:val="24"/>
        </w:rPr>
        <w:t>Ragėnienė</w:t>
      </w:r>
      <w:proofErr w:type="spellEnd"/>
      <w:r w:rsidRPr="00B31AE0">
        <w:rPr>
          <w:sz w:val="24"/>
          <w:szCs w:val="24"/>
        </w:rPr>
        <w:t xml:space="preserve"> </w:t>
      </w:r>
    </w:p>
    <w:p w:rsidR="002F5216" w:rsidRPr="00B31AE0" w:rsidRDefault="002F5216" w:rsidP="002F5216">
      <w:pPr>
        <w:rPr>
          <w:sz w:val="24"/>
          <w:szCs w:val="24"/>
        </w:rPr>
      </w:pPr>
      <w:r w:rsidRPr="00B31AE0">
        <w:rPr>
          <w:sz w:val="24"/>
          <w:szCs w:val="24"/>
        </w:rPr>
        <w:t xml:space="preserve">      </w:t>
      </w:r>
    </w:p>
    <w:p w:rsidR="002F5216" w:rsidRPr="00B31AE0" w:rsidRDefault="002F5216" w:rsidP="002F5216">
      <w:pPr>
        <w:spacing w:line="480" w:lineRule="auto"/>
        <w:jc w:val="both"/>
        <w:rPr>
          <w:sz w:val="24"/>
          <w:szCs w:val="24"/>
        </w:rPr>
      </w:pPr>
    </w:p>
    <w:p w:rsidR="003C741F" w:rsidRDefault="003C741F" w:rsidP="003C741F">
      <w:pPr>
        <w:pStyle w:val="Title"/>
        <w:rPr>
          <w:sz w:val="24"/>
        </w:rPr>
      </w:pPr>
    </w:p>
    <w:p w:rsidR="003C741F" w:rsidRPr="003C741F" w:rsidRDefault="003C741F" w:rsidP="003C741F">
      <w:pPr>
        <w:pStyle w:val="Pagrindinistekstas21"/>
        <w:spacing w:line="240" w:lineRule="auto"/>
        <w:ind w:left="5400"/>
        <w:jc w:val="left"/>
      </w:pPr>
      <w:r w:rsidRPr="003C741F">
        <w:lastRenderedPageBreak/>
        <w:t>Panevėžio miesto savivaldybės teisės aktų ar jų projektų antikorupcinio</w:t>
      </w:r>
    </w:p>
    <w:p w:rsidR="003C741F" w:rsidRPr="003C741F" w:rsidRDefault="003C741F" w:rsidP="003C741F">
      <w:pPr>
        <w:ind w:left="5400"/>
        <w:rPr>
          <w:sz w:val="24"/>
          <w:szCs w:val="24"/>
        </w:rPr>
      </w:pPr>
      <w:r w:rsidRPr="003C741F">
        <w:rPr>
          <w:sz w:val="24"/>
          <w:szCs w:val="24"/>
        </w:rPr>
        <w:t>vertinimo metodikos</w:t>
      </w:r>
    </w:p>
    <w:p w:rsidR="003C741F" w:rsidRPr="003C741F" w:rsidRDefault="003C741F" w:rsidP="003C741F">
      <w:pPr>
        <w:ind w:left="5400"/>
        <w:rPr>
          <w:sz w:val="24"/>
          <w:szCs w:val="24"/>
        </w:rPr>
      </w:pPr>
      <w:r w:rsidRPr="003C741F">
        <w:rPr>
          <w:sz w:val="24"/>
          <w:szCs w:val="24"/>
        </w:rPr>
        <w:t>1 priedas</w:t>
      </w:r>
    </w:p>
    <w:p w:rsidR="003C741F" w:rsidRPr="003C741F" w:rsidRDefault="003C741F" w:rsidP="003C741F">
      <w:pPr>
        <w:rPr>
          <w:sz w:val="24"/>
          <w:szCs w:val="24"/>
        </w:rPr>
      </w:pPr>
    </w:p>
    <w:p w:rsidR="003C741F" w:rsidRPr="003C741F" w:rsidRDefault="003C741F" w:rsidP="003C741F">
      <w:pPr>
        <w:pStyle w:val="BodyText"/>
        <w:ind w:right="638"/>
        <w:rPr>
          <w:sz w:val="24"/>
          <w:szCs w:val="24"/>
        </w:rPr>
      </w:pPr>
      <w:r w:rsidRPr="003C741F">
        <w:rPr>
          <w:sz w:val="24"/>
          <w:szCs w:val="24"/>
        </w:rPr>
        <w:t xml:space="preserve">TEISĖS AKTŲ AR JŲ PROJEKTŲ KOKYBĖS VERTINIMO KLAUSIMYNAS </w:t>
      </w:r>
    </w:p>
    <w:p w:rsidR="003C741F" w:rsidRPr="003C741F" w:rsidRDefault="003C741F" w:rsidP="003C741F">
      <w:pPr>
        <w:rPr>
          <w:sz w:val="24"/>
          <w:szCs w:val="24"/>
        </w:rPr>
      </w:pP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6806"/>
        <w:gridCol w:w="1080"/>
        <w:gridCol w:w="910"/>
      </w:tblGrid>
      <w:tr w:rsidR="003C741F" w:rsidRPr="003C741F" w:rsidTr="00841657">
        <w:trPr>
          <w:trHeight w:val="70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3C741F">
              <w:rPr>
                <w:bCs/>
                <w:sz w:val="24"/>
                <w:szCs w:val="24"/>
              </w:rPr>
              <w:t>Eil.</w:t>
            </w:r>
          </w:p>
          <w:p w:rsidR="003C741F" w:rsidRPr="003C741F" w:rsidRDefault="003C741F" w:rsidP="00841657">
            <w:pPr>
              <w:jc w:val="center"/>
              <w:rPr>
                <w:bCs/>
                <w:sz w:val="24"/>
                <w:szCs w:val="24"/>
              </w:rPr>
            </w:pPr>
            <w:r w:rsidRPr="003C741F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pStyle w:val="Heading1"/>
              <w:snapToGrid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 w:val="0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3C741F">
              <w:rPr>
                <w:bCs/>
                <w:sz w:val="24"/>
                <w:szCs w:val="24"/>
              </w:rPr>
              <w:t>Vertinimas balais</w:t>
            </w:r>
          </w:p>
        </w:tc>
      </w:tr>
      <w:tr w:rsidR="003C741F" w:rsidRPr="003C741F" w:rsidTr="00841657">
        <w:tblPrEx>
          <w:tblCellMar>
            <w:top w:w="15" w:type="dxa"/>
            <w:left w:w="15" w:type="dxa"/>
            <w:right w:w="15" w:type="dxa"/>
          </w:tblCellMar>
        </w:tblPrEx>
        <w:trPr>
          <w:trHeight w:val="300"/>
        </w:trPr>
        <w:tc>
          <w:tcPr>
            <w:tcW w:w="9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PAPRASTUMAS</w:t>
            </w:r>
          </w:p>
        </w:tc>
      </w:tr>
      <w:tr w:rsidR="003C741F" w:rsidRPr="003C741F" w:rsidTr="00841657">
        <w:trPr>
          <w:trHeight w:val="51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1.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blPrEx>
          <w:tblCellMar>
            <w:top w:w="15" w:type="dxa"/>
            <w:left w:w="15" w:type="dxa"/>
            <w:right w:w="15" w:type="dxa"/>
          </w:tblCellMar>
        </w:tblPrEx>
        <w:trPr>
          <w:trHeight w:val="255"/>
        </w:trPr>
        <w:tc>
          <w:tcPr>
            <w:tcW w:w="9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NUOSEKLUMAS</w:t>
            </w:r>
          </w:p>
        </w:tc>
      </w:tr>
      <w:tr w:rsidR="003C741F" w:rsidRPr="003C741F" w:rsidTr="00841657">
        <w:trPr>
          <w:trHeight w:val="532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2.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blPrEx>
          <w:tblCellMar>
            <w:top w:w="15" w:type="dxa"/>
            <w:left w:w="15" w:type="dxa"/>
            <w:right w:w="15" w:type="dxa"/>
          </w:tblCellMar>
        </w:tblPrEx>
        <w:trPr>
          <w:trHeight w:val="255"/>
        </w:trPr>
        <w:tc>
          <w:tcPr>
            <w:tcW w:w="9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STRUKTŪRA</w:t>
            </w:r>
          </w:p>
        </w:tc>
      </w:tr>
      <w:tr w:rsidR="003C741F" w:rsidRPr="003C741F" w:rsidTr="00841657">
        <w:trPr>
          <w:trHeight w:val="936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3.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Taip (0)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C741F" w:rsidRPr="003C741F" w:rsidTr="00841657">
        <w:trPr>
          <w:trHeight w:val="51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4.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  <w:r w:rsidRPr="003C741F">
              <w:rPr>
                <w:rFonts w:eastAsia="Arial Unicode MS"/>
                <w:sz w:val="24"/>
                <w:szCs w:val="24"/>
              </w:rPr>
              <w:t>Taip (0)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C741F" w:rsidRPr="003C741F" w:rsidTr="00841657">
        <w:trPr>
          <w:trHeight w:val="51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5.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Taip (0)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C741F" w:rsidRPr="003C741F" w:rsidTr="00841657">
        <w:trPr>
          <w:trHeight w:val="51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6.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255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7.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Taip (0)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C741F" w:rsidRPr="003C741F" w:rsidTr="00841657">
        <w:trPr>
          <w:trHeight w:val="51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8.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366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9.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  <w:r w:rsidRPr="003C741F">
              <w:rPr>
                <w:rFonts w:eastAsia="Arial Unicode MS"/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51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10.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blPrEx>
          <w:tblCellMar>
            <w:top w:w="15" w:type="dxa"/>
            <w:left w:w="15" w:type="dxa"/>
            <w:right w:w="15" w:type="dxa"/>
          </w:tblCellMar>
        </w:tblPrEx>
        <w:trPr>
          <w:trHeight w:val="255"/>
        </w:trPr>
        <w:tc>
          <w:tcPr>
            <w:tcW w:w="9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ĮGYVENDINAMUMAS</w:t>
            </w:r>
          </w:p>
        </w:tc>
      </w:tr>
      <w:tr w:rsidR="003C741F" w:rsidRPr="003C741F" w:rsidTr="00841657">
        <w:trPr>
          <w:trHeight w:val="51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11.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C741F" w:rsidRPr="003C741F" w:rsidTr="00841657">
        <w:trPr>
          <w:trHeight w:val="765"/>
        </w:trPr>
        <w:tc>
          <w:tcPr>
            <w:tcW w:w="574" w:type="dxa"/>
            <w:tcBorders>
              <w:left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12.</w:t>
            </w:r>
          </w:p>
        </w:tc>
        <w:tc>
          <w:tcPr>
            <w:tcW w:w="6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255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C741F" w:rsidRPr="003C741F" w:rsidTr="00841657">
        <w:trPr>
          <w:trHeight w:val="49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13.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Vidutinis balas (pagal Metodikos 12 punktą)</w:t>
            </w:r>
          </w:p>
          <w:p w:rsidR="003C741F" w:rsidRPr="003C741F" w:rsidRDefault="003C741F" w:rsidP="008416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0</w:t>
            </w:r>
          </w:p>
        </w:tc>
      </w:tr>
    </w:tbl>
    <w:p w:rsidR="003C741F" w:rsidRPr="003C741F" w:rsidRDefault="003C741F" w:rsidP="003C741F">
      <w:pPr>
        <w:tabs>
          <w:tab w:val="left" w:pos="7560"/>
        </w:tabs>
        <w:jc w:val="center"/>
        <w:rPr>
          <w:sz w:val="24"/>
          <w:szCs w:val="24"/>
        </w:rPr>
      </w:pPr>
    </w:p>
    <w:p w:rsidR="003C741F" w:rsidRPr="003C741F" w:rsidRDefault="003C741F" w:rsidP="003C741F">
      <w:pPr>
        <w:tabs>
          <w:tab w:val="left" w:pos="7560"/>
        </w:tabs>
        <w:jc w:val="center"/>
        <w:rPr>
          <w:sz w:val="24"/>
          <w:szCs w:val="24"/>
        </w:rPr>
      </w:pPr>
      <w:r w:rsidRPr="003C741F">
        <w:rPr>
          <w:sz w:val="24"/>
          <w:szCs w:val="24"/>
        </w:rPr>
        <w:t>_____________________________</w:t>
      </w:r>
    </w:p>
    <w:p w:rsidR="003C741F" w:rsidRPr="003C741F" w:rsidRDefault="003C741F" w:rsidP="003C741F">
      <w:pPr>
        <w:tabs>
          <w:tab w:val="left" w:pos="7560"/>
        </w:tabs>
        <w:jc w:val="center"/>
        <w:rPr>
          <w:sz w:val="24"/>
          <w:szCs w:val="24"/>
        </w:rPr>
      </w:pPr>
    </w:p>
    <w:p w:rsidR="003C741F" w:rsidRPr="003C741F" w:rsidRDefault="003C741F" w:rsidP="003C741F">
      <w:pPr>
        <w:tabs>
          <w:tab w:val="left" w:pos="7560"/>
        </w:tabs>
        <w:jc w:val="center"/>
        <w:rPr>
          <w:sz w:val="24"/>
          <w:szCs w:val="24"/>
        </w:rPr>
      </w:pPr>
    </w:p>
    <w:p w:rsidR="003C741F" w:rsidRPr="003C741F" w:rsidRDefault="003C741F" w:rsidP="003C741F">
      <w:pPr>
        <w:pStyle w:val="Pagrindinistekstas21"/>
        <w:spacing w:line="240" w:lineRule="auto"/>
        <w:ind w:left="5580"/>
        <w:jc w:val="left"/>
      </w:pPr>
    </w:p>
    <w:p w:rsidR="003C741F" w:rsidRPr="003C741F" w:rsidRDefault="003C741F" w:rsidP="003C741F">
      <w:pPr>
        <w:pStyle w:val="Pagrindinistekstas21"/>
        <w:spacing w:line="240" w:lineRule="auto"/>
        <w:ind w:left="5580"/>
        <w:jc w:val="left"/>
      </w:pPr>
    </w:p>
    <w:p w:rsidR="003C741F" w:rsidRPr="003C741F" w:rsidRDefault="003C741F" w:rsidP="003C741F">
      <w:pPr>
        <w:pStyle w:val="Pagrindinistekstas21"/>
        <w:spacing w:line="240" w:lineRule="auto"/>
        <w:ind w:left="5580"/>
        <w:jc w:val="left"/>
      </w:pPr>
    </w:p>
    <w:p w:rsidR="003C741F" w:rsidRPr="003C741F" w:rsidRDefault="003C741F" w:rsidP="003C741F">
      <w:pPr>
        <w:pStyle w:val="Pagrindinistekstas21"/>
        <w:spacing w:line="240" w:lineRule="auto"/>
        <w:jc w:val="left"/>
      </w:pPr>
    </w:p>
    <w:p w:rsidR="003C741F" w:rsidRPr="003C741F" w:rsidRDefault="003C741F" w:rsidP="003C741F">
      <w:pPr>
        <w:pStyle w:val="Pagrindinistekstas21"/>
        <w:spacing w:line="240" w:lineRule="auto"/>
        <w:jc w:val="left"/>
      </w:pPr>
    </w:p>
    <w:p w:rsidR="003C741F" w:rsidRPr="003C741F" w:rsidRDefault="003C741F" w:rsidP="003C741F">
      <w:pPr>
        <w:pStyle w:val="Pagrindinistekstas21"/>
        <w:spacing w:line="240" w:lineRule="auto"/>
        <w:jc w:val="left"/>
      </w:pPr>
    </w:p>
    <w:p w:rsidR="003C741F" w:rsidRPr="003C741F" w:rsidRDefault="003C741F" w:rsidP="003C741F">
      <w:pPr>
        <w:pStyle w:val="Pagrindinistekstas21"/>
        <w:spacing w:line="240" w:lineRule="auto"/>
        <w:jc w:val="left"/>
      </w:pPr>
    </w:p>
    <w:p w:rsidR="003C741F" w:rsidRPr="003C741F" w:rsidRDefault="003C741F" w:rsidP="003C741F">
      <w:pPr>
        <w:pStyle w:val="Pagrindinistekstas21"/>
        <w:spacing w:line="240" w:lineRule="auto"/>
        <w:jc w:val="left"/>
      </w:pPr>
    </w:p>
    <w:p w:rsidR="003C741F" w:rsidRDefault="003C741F" w:rsidP="003C741F">
      <w:pPr>
        <w:pStyle w:val="Pagrindinistekstas21"/>
        <w:spacing w:line="240" w:lineRule="auto"/>
        <w:ind w:left="2592" w:firstLine="1296"/>
        <w:jc w:val="left"/>
      </w:pPr>
      <w:r w:rsidRPr="003C741F">
        <w:lastRenderedPageBreak/>
        <w:t xml:space="preserve">               </w:t>
      </w:r>
    </w:p>
    <w:p w:rsidR="003C741F" w:rsidRPr="003C741F" w:rsidRDefault="003C741F" w:rsidP="003C741F">
      <w:pPr>
        <w:pStyle w:val="Pagrindinistekstas21"/>
        <w:spacing w:line="240" w:lineRule="auto"/>
        <w:ind w:left="3888" w:firstLine="1296"/>
        <w:jc w:val="left"/>
      </w:pPr>
      <w:r w:rsidRPr="003C741F">
        <w:t xml:space="preserve">  Panevėžio miesto savivaldybės teisės aktų</w:t>
      </w:r>
    </w:p>
    <w:p w:rsidR="003C741F" w:rsidRPr="003C741F" w:rsidRDefault="003C741F" w:rsidP="003C741F">
      <w:pPr>
        <w:pStyle w:val="Pagrindinistekstas21"/>
        <w:spacing w:line="240" w:lineRule="auto"/>
        <w:jc w:val="left"/>
      </w:pPr>
      <w:r w:rsidRPr="003C741F">
        <w:t xml:space="preserve">                                                                                </w:t>
      </w:r>
      <w:r>
        <w:t xml:space="preserve">     </w:t>
      </w:r>
      <w:r w:rsidRPr="003C741F">
        <w:t xml:space="preserve"> </w:t>
      </w:r>
      <w:r>
        <w:t xml:space="preserve"> </w:t>
      </w:r>
      <w:r w:rsidRPr="003C741F">
        <w:t xml:space="preserve"> ar jų projektų antikorupcinio </w:t>
      </w:r>
    </w:p>
    <w:p w:rsidR="003C741F" w:rsidRPr="003C741F" w:rsidRDefault="003C741F" w:rsidP="003C741F">
      <w:pPr>
        <w:rPr>
          <w:sz w:val="24"/>
          <w:szCs w:val="24"/>
        </w:rPr>
      </w:pPr>
      <w:r w:rsidRPr="003C741F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3C741F">
        <w:rPr>
          <w:sz w:val="24"/>
          <w:szCs w:val="24"/>
        </w:rPr>
        <w:t>vertinimo metodikos</w:t>
      </w:r>
    </w:p>
    <w:p w:rsidR="003C741F" w:rsidRPr="003C741F" w:rsidRDefault="003C741F" w:rsidP="003C741F">
      <w:pPr>
        <w:rPr>
          <w:sz w:val="24"/>
          <w:szCs w:val="24"/>
        </w:rPr>
      </w:pPr>
      <w:r w:rsidRPr="003C741F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3C741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3C741F">
        <w:rPr>
          <w:sz w:val="24"/>
          <w:szCs w:val="24"/>
        </w:rPr>
        <w:t>2 priedas</w:t>
      </w:r>
    </w:p>
    <w:p w:rsidR="003C741F" w:rsidRPr="003C741F" w:rsidRDefault="003C741F" w:rsidP="003C741F">
      <w:pPr>
        <w:pStyle w:val="BodyText"/>
        <w:rPr>
          <w:sz w:val="24"/>
          <w:szCs w:val="24"/>
        </w:rPr>
      </w:pPr>
    </w:p>
    <w:p w:rsidR="003C741F" w:rsidRPr="003C741F" w:rsidRDefault="003C741F" w:rsidP="003C741F">
      <w:pPr>
        <w:pStyle w:val="BodyText"/>
        <w:rPr>
          <w:sz w:val="24"/>
          <w:szCs w:val="24"/>
        </w:rPr>
      </w:pPr>
      <w:r w:rsidRPr="003C741F">
        <w:rPr>
          <w:sz w:val="24"/>
          <w:szCs w:val="24"/>
        </w:rPr>
        <w:t>TEISĖS AKTŲ ARBA TEISĖS AKTŲ PROJEKTŲ TURINIO VERTINIMO KLAUSIMYNAS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6995"/>
        <w:gridCol w:w="1080"/>
        <w:gridCol w:w="1090"/>
      </w:tblGrid>
      <w:tr w:rsidR="003C741F" w:rsidRPr="003C741F" w:rsidTr="00841657">
        <w:trPr>
          <w:trHeight w:val="51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  <w:p w:rsidR="003C741F" w:rsidRPr="003C741F" w:rsidRDefault="003C741F" w:rsidP="00841657">
            <w:pPr>
              <w:jc w:val="center"/>
              <w:rPr>
                <w:bCs/>
                <w:sz w:val="24"/>
                <w:szCs w:val="24"/>
              </w:rPr>
            </w:pPr>
            <w:r w:rsidRPr="003C741F">
              <w:rPr>
                <w:bCs/>
                <w:sz w:val="24"/>
                <w:szCs w:val="24"/>
              </w:rPr>
              <w:t>Eil.</w:t>
            </w:r>
          </w:p>
          <w:p w:rsidR="003C741F" w:rsidRPr="003C741F" w:rsidRDefault="003C741F" w:rsidP="00841657">
            <w:pPr>
              <w:jc w:val="center"/>
              <w:rPr>
                <w:bCs/>
                <w:sz w:val="24"/>
                <w:szCs w:val="24"/>
              </w:rPr>
            </w:pPr>
            <w:r w:rsidRPr="003C741F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3C741F">
              <w:rPr>
                <w:bCs/>
                <w:sz w:val="24"/>
                <w:szCs w:val="24"/>
              </w:rPr>
              <w:t>Teisės akto ar jo projekto turinio rodikliai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3C741F">
              <w:rPr>
                <w:bCs/>
                <w:sz w:val="24"/>
                <w:szCs w:val="24"/>
              </w:rPr>
              <w:t>Vertinimas balais</w:t>
            </w:r>
          </w:p>
        </w:tc>
      </w:tr>
      <w:tr w:rsidR="003C741F" w:rsidRPr="003C741F" w:rsidTr="00841657">
        <w:tblPrEx>
          <w:tblCellMar>
            <w:top w:w="15" w:type="dxa"/>
            <w:left w:w="15" w:type="dxa"/>
            <w:right w:w="15" w:type="dxa"/>
          </w:tblCellMar>
        </w:tblPrEx>
        <w:trPr>
          <w:trHeight w:val="255"/>
        </w:trPr>
        <w:tc>
          <w:tcPr>
            <w:tcW w:w="9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NAUDINGUMAS</w:t>
            </w:r>
          </w:p>
        </w:tc>
      </w:tr>
      <w:tr w:rsidR="003C741F" w:rsidRPr="003C741F" w:rsidTr="00841657">
        <w:trPr>
          <w:trHeight w:val="513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1.</w:t>
            </w: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  <w:r w:rsidRPr="003C741F">
              <w:rPr>
                <w:rFonts w:eastAsia="Arial Unicode MS"/>
                <w:sz w:val="24"/>
                <w:szCs w:val="24"/>
              </w:rPr>
              <w:t>Taip (0)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C741F" w:rsidRPr="003C741F" w:rsidTr="00841657">
        <w:trPr>
          <w:trHeight w:val="825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2.</w:t>
            </w: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516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3.</w:t>
            </w: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1063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4.</w:t>
            </w: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C741F" w:rsidRPr="003C741F" w:rsidTr="00841657">
        <w:trPr>
          <w:trHeight w:val="872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5.</w:t>
            </w: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  <w:r w:rsidRPr="003C741F">
              <w:rPr>
                <w:rFonts w:eastAsia="Arial Unicode MS"/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350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6.</w:t>
            </w: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C741F" w:rsidRPr="003C741F" w:rsidTr="00841657">
        <w:trPr>
          <w:trHeight w:val="552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7.</w:t>
            </w: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506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8.</w:t>
            </w: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514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9.</w:t>
            </w: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522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10.</w:t>
            </w: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710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11.</w:t>
            </w: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  <w:r w:rsidRPr="003C741F">
              <w:rPr>
                <w:rFonts w:eastAsia="Arial Unicode MS"/>
                <w:sz w:val="24"/>
                <w:szCs w:val="24"/>
              </w:rPr>
              <w:t>Taip (0)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C741F" w:rsidRPr="003C741F" w:rsidTr="00841657">
        <w:trPr>
          <w:trHeight w:val="522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12.</w:t>
            </w: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  <w:r w:rsidRPr="003C741F">
              <w:rPr>
                <w:rFonts w:eastAsia="Arial Unicode MS"/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blPrEx>
          <w:tblCellMar>
            <w:top w:w="15" w:type="dxa"/>
            <w:left w:w="15" w:type="dxa"/>
            <w:right w:w="15" w:type="dxa"/>
          </w:tblCellMar>
        </w:tblPrEx>
        <w:trPr>
          <w:trHeight w:val="255"/>
        </w:trPr>
        <w:tc>
          <w:tcPr>
            <w:tcW w:w="9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PRIEINAMUMAS</w:t>
            </w:r>
          </w:p>
        </w:tc>
      </w:tr>
      <w:tr w:rsidR="003C741F" w:rsidRPr="003C741F" w:rsidTr="00841657">
        <w:trPr>
          <w:trHeight w:val="790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13.</w:t>
            </w: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545"/>
        </w:trPr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14.</w:t>
            </w:r>
          </w:p>
        </w:tc>
        <w:tc>
          <w:tcPr>
            <w:tcW w:w="69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  <w:r w:rsidRPr="003C741F">
              <w:rPr>
                <w:rFonts w:eastAsia="Arial Unicode MS"/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240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C741F" w:rsidRPr="003C741F" w:rsidTr="00841657">
        <w:trPr>
          <w:trHeight w:val="3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15.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54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16.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Ne (0)</w:t>
            </w:r>
          </w:p>
        </w:tc>
      </w:tr>
      <w:tr w:rsidR="003C741F" w:rsidRPr="003C741F" w:rsidTr="00841657">
        <w:trPr>
          <w:trHeight w:val="54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17.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Vidutinis balas (pagal Metodikos 12 punktą)</w:t>
            </w:r>
          </w:p>
          <w:p w:rsidR="003C741F" w:rsidRPr="003C741F" w:rsidRDefault="003C741F" w:rsidP="008416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41F" w:rsidRPr="003C741F" w:rsidRDefault="003C741F" w:rsidP="00841657">
            <w:pPr>
              <w:snapToGrid w:val="0"/>
              <w:jc w:val="center"/>
              <w:rPr>
                <w:sz w:val="24"/>
                <w:szCs w:val="24"/>
              </w:rPr>
            </w:pPr>
            <w:r w:rsidRPr="003C741F">
              <w:rPr>
                <w:sz w:val="24"/>
                <w:szCs w:val="24"/>
              </w:rPr>
              <w:t>0</w:t>
            </w:r>
          </w:p>
        </w:tc>
      </w:tr>
    </w:tbl>
    <w:p w:rsidR="00301385" w:rsidRPr="003C741F" w:rsidRDefault="003C741F" w:rsidP="003C741F">
      <w:pPr>
        <w:jc w:val="center"/>
        <w:rPr>
          <w:sz w:val="24"/>
          <w:szCs w:val="24"/>
        </w:rPr>
      </w:pPr>
      <w:r w:rsidRPr="003C741F">
        <w:rPr>
          <w:sz w:val="24"/>
          <w:szCs w:val="24"/>
        </w:rPr>
        <w:t>________________________________</w:t>
      </w:r>
    </w:p>
    <w:sectPr w:rsidR="00301385" w:rsidRPr="003C741F" w:rsidSect="008E64A7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F5216"/>
    <w:rsid w:val="00112898"/>
    <w:rsid w:val="001D6DBD"/>
    <w:rsid w:val="002F5216"/>
    <w:rsid w:val="00301385"/>
    <w:rsid w:val="003C741F"/>
    <w:rsid w:val="008C081E"/>
    <w:rsid w:val="009C40DB"/>
    <w:rsid w:val="00CF2704"/>
    <w:rsid w:val="00D37C10"/>
    <w:rsid w:val="00FB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16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C741F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F52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216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F5216"/>
    <w:rPr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rsid w:val="003C741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itle">
    <w:name w:val="Title"/>
    <w:basedOn w:val="Normal"/>
    <w:next w:val="Normal"/>
    <w:link w:val="TitleChar"/>
    <w:qFormat/>
    <w:rsid w:val="003C741F"/>
    <w:pPr>
      <w:suppressAutoHyphens/>
      <w:jc w:val="center"/>
    </w:pPr>
    <w:rPr>
      <w:b/>
      <w:sz w:val="22"/>
      <w:lang w:eastAsia="ar-SA"/>
    </w:rPr>
  </w:style>
  <w:style w:type="character" w:customStyle="1" w:styleId="TitleChar">
    <w:name w:val="Title Char"/>
    <w:basedOn w:val="DefaultParagraphFont"/>
    <w:link w:val="Title"/>
    <w:rsid w:val="003C741F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Pagrindinistekstas21">
    <w:name w:val="Pagrindinis tekstas 21"/>
    <w:basedOn w:val="Normal"/>
    <w:rsid w:val="003C741F"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4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74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1112</Words>
  <Characters>6342</Characters>
  <Application>Microsoft Office Word</Application>
  <DocSecurity>0</DocSecurity>
  <Lines>52</Lines>
  <Paragraphs>14</Paragraphs>
  <ScaleCrop>false</ScaleCrop>
  <Company>PMS</Company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Asta3</cp:lastModifiedBy>
  <cp:revision>2</cp:revision>
  <cp:lastPrinted>2014-11-04T13:03:00Z</cp:lastPrinted>
  <dcterms:created xsi:type="dcterms:W3CDTF">2014-11-05T12:00:00Z</dcterms:created>
  <dcterms:modified xsi:type="dcterms:W3CDTF">2014-11-05T12:00:00Z</dcterms:modified>
</cp:coreProperties>
</file>