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C1" w:rsidRPr="00DF3162" w:rsidRDefault="00DF44C1" w:rsidP="006C3D95">
      <w:pPr>
        <w:pStyle w:val="Pavadinimas"/>
        <w:jc w:val="left"/>
        <w:rPr>
          <w:sz w:val="24"/>
        </w:rPr>
      </w:pPr>
    </w:p>
    <w:p w:rsidR="007F4AAB" w:rsidRPr="0091369E" w:rsidRDefault="007F4AAB" w:rsidP="007F4AAB">
      <w:pPr>
        <w:pStyle w:val="Pagrindinistekstas2"/>
        <w:spacing w:line="240" w:lineRule="auto"/>
        <w:ind w:left="5400"/>
        <w:jc w:val="left"/>
      </w:pPr>
      <w:r w:rsidRPr="0091369E">
        <w:t>Panevėžio miesto savivaldybės teisės aktų ar jų projektų antikorupcinio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vertinimo metodikos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1 priedas</w:t>
      </w:r>
    </w:p>
    <w:p w:rsidR="007F4AAB" w:rsidRPr="00DF3162" w:rsidRDefault="007F4AAB" w:rsidP="007F4AAB"/>
    <w:p w:rsidR="007F4AAB" w:rsidRDefault="007F4AAB" w:rsidP="007F4AAB">
      <w:pPr>
        <w:pStyle w:val="Pagrindinistekstas"/>
        <w:ind w:right="638"/>
      </w:pPr>
      <w:r w:rsidRPr="00DF3162">
        <w:t xml:space="preserve">TEISĖS AKTŲ AR JŲ PROJEKTŲ KOKYBĖS VERTINIMO KLAUSIMYNAS </w:t>
      </w: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513104" w:rsidRPr="00513104" w:rsidRDefault="00093DAB" w:rsidP="00513104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VIETINĖS RINKLIAVOS, NUSTATYTOS UŽ LEIDIMO ATLIKTI KASINĖJIMO DARBUS </w:t>
      </w:r>
      <w:r w:rsidR="00FB67B2">
        <w:rPr>
          <w:b/>
          <w:sz w:val="24"/>
          <w:szCs w:val="24"/>
        </w:rPr>
        <w:t>SAVIVALDYBĖS VIEŠOJO NAUDOJIMO</w:t>
      </w:r>
      <w:r>
        <w:rPr>
          <w:b/>
          <w:sz w:val="24"/>
          <w:szCs w:val="24"/>
        </w:rPr>
        <w:t xml:space="preserve"> TERITORIJOJE, ATITVERTI JĄ AR JOS DALĮ ARBA APRIBOTI EISMĄ JOJE IŠDAVIMĄ, NUOSTATŲ, PATVIRTINTŲ SAVIVALDYBĖS TARYBOS 2011 M.</w:t>
      </w:r>
      <w:r w:rsidR="00FB67B2">
        <w:rPr>
          <w:b/>
          <w:sz w:val="24"/>
          <w:szCs w:val="24"/>
        </w:rPr>
        <w:t xml:space="preserve"> KOVO 31 D.</w:t>
      </w:r>
      <w:r>
        <w:rPr>
          <w:b/>
          <w:sz w:val="24"/>
          <w:szCs w:val="24"/>
        </w:rPr>
        <w:t xml:space="preserve"> SPRENDIMU NR. 1-</w:t>
      </w:r>
      <w:r w:rsidR="00513104" w:rsidRPr="005131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68-39</w:t>
      </w:r>
      <w:r w:rsidR="002B161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6 PUNKTO </w:t>
      </w:r>
      <w:r w:rsidR="00DB7BDC">
        <w:rPr>
          <w:b/>
          <w:sz w:val="24"/>
          <w:szCs w:val="24"/>
        </w:rPr>
        <w:t>PAKEITIMO</w:t>
      </w:r>
    </w:p>
    <w:p w:rsidR="007A7552" w:rsidRDefault="007A7552" w:rsidP="007A7552">
      <w:pPr>
        <w:jc w:val="center"/>
        <w:rPr>
          <w:b/>
          <w:caps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7F4AAB" w:rsidRPr="0091369E" w:rsidTr="00E529B1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Eil.</w:t>
            </w:r>
          </w:p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91369E" w:rsidP="0091369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Teisės akto ar jo projekto turinio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91369E" w:rsidTr="00E529B1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PAPRASTUMAS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NUOSEKLUMAS</w:t>
            </w:r>
          </w:p>
        </w:tc>
      </w:tr>
      <w:tr w:rsidR="007F4AAB" w:rsidRPr="0091369E" w:rsidTr="00E529B1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STRUKTŪRA</w:t>
            </w:r>
          </w:p>
        </w:tc>
      </w:tr>
      <w:tr w:rsidR="007F4AAB" w:rsidRPr="0091369E" w:rsidTr="00E529B1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529B1">
              <w:rPr>
                <w:sz w:val="24"/>
                <w:szCs w:val="24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B42B6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ĮGYVENDINAMUMAS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FE4CC2" w:rsidP="00DC392B">
            <w:pPr>
              <w:jc w:val="center"/>
              <w:rPr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0,0</w:t>
            </w:r>
            <w:r w:rsidR="00DC392B">
              <w:rPr>
                <w:b/>
                <w:sz w:val="24"/>
                <w:szCs w:val="24"/>
              </w:rPr>
              <w:t>83</w:t>
            </w:r>
          </w:p>
        </w:tc>
      </w:tr>
    </w:tbl>
    <w:p w:rsidR="00347AAC" w:rsidRDefault="00347AAC" w:rsidP="006E0D0C">
      <w:pPr>
        <w:tabs>
          <w:tab w:val="left" w:pos="7560"/>
        </w:tabs>
      </w:pPr>
    </w:p>
    <w:p w:rsidR="00347AAC" w:rsidRPr="00DF3162" w:rsidRDefault="00347AAC" w:rsidP="007F4AAB">
      <w:pPr>
        <w:tabs>
          <w:tab w:val="left" w:pos="7560"/>
        </w:tabs>
        <w:jc w:val="center"/>
      </w:pPr>
    </w:p>
    <w:p w:rsidR="0091369E" w:rsidRDefault="0091369E" w:rsidP="00347AAC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  <w:r w:rsidR="00FB67B2">
        <w:rPr>
          <w:sz w:val="24"/>
          <w:szCs w:val="24"/>
        </w:rPr>
        <w:t>vyriausioji infrastruktūros</w:t>
      </w:r>
    </w:p>
    <w:p w:rsidR="00FB67B2" w:rsidRDefault="00FB67B2" w:rsidP="00347AAC">
      <w:pPr>
        <w:rPr>
          <w:sz w:val="24"/>
          <w:szCs w:val="24"/>
        </w:rPr>
      </w:pPr>
      <w:r>
        <w:rPr>
          <w:sz w:val="24"/>
          <w:szCs w:val="24"/>
        </w:rPr>
        <w:t>objektų</w:t>
      </w:r>
      <w:r w:rsidRPr="00FB67B2">
        <w:rPr>
          <w:sz w:val="24"/>
          <w:szCs w:val="24"/>
        </w:rPr>
        <w:t xml:space="preserve"> </w:t>
      </w:r>
      <w:r>
        <w:rPr>
          <w:sz w:val="24"/>
          <w:szCs w:val="24"/>
        </w:rPr>
        <w:t>priežiūros specialistė</w:t>
      </w:r>
      <w:proofErr w:type="gramStart"/>
      <w:r w:rsidRPr="00FB67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</w:t>
      </w:r>
      <w:proofErr w:type="gramEnd"/>
      <w:r>
        <w:rPr>
          <w:sz w:val="24"/>
          <w:szCs w:val="24"/>
        </w:rPr>
        <w:t>Irena Krivickienė</w:t>
      </w:r>
    </w:p>
    <w:p w:rsidR="003874EA" w:rsidRPr="003874EA" w:rsidRDefault="003874EA" w:rsidP="00347AAC">
      <w:pPr>
        <w:rPr>
          <w:sz w:val="24"/>
          <w:szCs w:val="24"/>
        </w:rPr>
      </w:pPr>
      <w:r w:rsidRPr="003874EA">
        <w:rPr>
          <w:sz w:val="24"/>
          <w:szCs w:val="24"/>
        </w:rPr>
        <w:tab/>
      </w:r>
      <w:r w:rsidRPr="003874EA">
        <w:rPr>
          <w:sz w:val="24"/>
          <w:szCs w:val="24"/>
        </w:rPr>
        <w:tab/>
      </w:r>
      <w:r w:rsidRPr="003874EA">
        <w:rPr>
          <w:sz w:val="24"/>
          <w:szCs w:val="24"/>
        </w:rPr>
        <w:tab/>
      </w:r>
      <w:r w:rsidRPr="003874EA">
        <w:rPr>
          <w:sz w:val="24"/>
          <w:szCs w:val="24"/>
        </w:rPr>
        <w:tab/>
      </w:r>
      <w:r w:rsidR="00FB67B2">
        <w:rPr>
          <w:sz w:val="24"/>
          <w:szCs w:val="24"/>
        </w:rPr>
        <w:t xml:space="preserve">                       </w:t>
      </w:r>
    </w:p>
    <w:p w:rsidR="006E0D0C" w:rsidRDefault="006E0D0C" w:rsidP="00DC242E">
      <w:pPr>
        <w:pStyle w:val="Pagrindinistekstas2"/>
        <w:spacing w:line="240" w:lineRule="auto"/>
        <w:ind w:left="5040" w:firstLine="360"/>
        <w:jc w:val="left"/>
      </w:pPr>
    </w:p>
    <w:p w:rsidR="00DC242E" w:rsidRPr="00272350" w:rsidRDefault="00DC242E" w:rsidP="00DC242E">
      <w:pPr>
        <w:pStyle w:val="Pagrindinistekstas2"/>
        <w:spacing w:line="240" w:lineRule="auto"/>
        <w:ind w:left="5040" w:firstLine="360"/>
        <w:jc w:val="left"/>
      </w:pPr>
      <w:r w:rsidRPr="00272350">
        <w:t xml:space="preserve">Panevėžio miesto savivaldybės teisės aktų ar </w:t>
      </w:r>
    </w:p>
    <w:p w:rsidR="00DC242E" w:rsidRPr="00272350" w:rsidRDefault="00DC242E" w:rsidP="00DC242E">
      <w:pPr>
        <w:pStyle w:val="Pagrindinistekstas2"/>
        <w:spacing w:line="240" w:lineRule="auto"/>
        <w:ind w:left="5040" w:firstLine="360"/>
        <w:jc w:val="left"/>
      </w:pPr>
      <w:r w:rsidRPr="00272350">
        <w:t>jų projektų antikorupcinio</w:t>
      </w:r>
    </w:p>
    <w:p w:rsidR="00DC242E" w:rsidRPr="00272350" w:rsidRDefault="00DC242E" w:rsidP="00DC242E">
      <w:pPr>
        <w:ind w:left="5040" w:firstLine="360"/>
        <w:rPr>
          <w:sz w:val="24"/>
          <w:szCs w:val="24"/>
        </w:rPr>
      </w:pPr>
      <w:r w:rsidRPr="00272350">
        <w:rPr>
          <w:sz w:val="24"/>
          <w:szCs w:val="24"/>
        </w:rPr>
        <w:t>vertinimo metodikos</w:t>
      </w:r>
    </w:p>
    <w:p w:rsidR="007F4AAB" w:rsidRPr="00272350" w:rsidRDefault="007F4AAB" w:rsidP="00C87C3B">
      <w:pPr>
        <w:ind w:left="3888" w:firstLine="1512"/>
        <w:rPr>
          <w:sz w:val="24"/>
          <w:szCs w:val="24"/>
        </w:rPr>
      </w:pPr>
      <w:r w:rsidRPr="00272350">
        <w:rPr>
          <w:sz w:val="24"/>
          <w:szCs w:val="24"/>
        </w:rPr>
        <w:t>2 priedas</w:t>
      </w:r>
    </w:p>
    <w:p w:rsidR="00272350" w:rsidRDefault="00272350" w:rsidP="007F4AAB">
      <w:pPr>
        <w:pStyle w:val="Pagrindinistekstas"/>
      </w:pPr>
    </w:p>
    <w:p w:rsidR="007F4AAB" w:rsidRDefault="007F4AAB" w:rsidP="007F4AAB">
      <w:pPr>
        <w:pStyle w:val="Pagrindinistekstas"/>
      </w:pPr>
      <w:r w:rsidRPr="00DF3162">
        <w:t>TEISĖS AKTŲ ARBA TEISĖS AKTŲ PROJEKTŲ TURINIO VERTINIMO KLAUSIMYNAS</w:t>
      </w:r>
    </w:p>
    <w:p w:rsidR="00C87C3B" w:rsidRDefault="00C87C3B" w:rsidP="00970B47">
      <w:pPr>
        <w:jc w:val="center"/>
        <w:rPr>
          <w:b/>
          <w:caps/>
          <w:sz w:val="24"/>
          <w:szCs w:val="24"/>
        </w:rPr>
      </w:pP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543D6C" w:rsidRPr="00513104" w:rsidRDefault="00543D6C" w:rsidP="00543D6C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513104">
        <w:rPr>
          <w:b/>
          <w:sz w:val="24"/>
          <w:szCs w:val="24"/>
        </w:rPr>
        <w:t>DĖL VIETINĖS RINKLIAVOS</w:t>
      </w:r>
      <w:r w:rsidR="00121CFC">
        <w:rPr>
          <w:b/>
          <w:sz w:val="24"/>
          <w:szCs w:val="24"/>
        </w:rPr>
        <w:t xml:space="preserve">, NUSTATYTOS UŽ LEIDIMO ATLIKTI KASINĖJIMO DABUS SAVIVALDYBĖS </w:t>
      </w:r>
      <w:r w:rsidR="00FB67B2">
        <w:rPr>
          <w:b/>
          <w:sz w:val="24"/>
          <w:szCs w:val="24"/>
        </w:rPr>
        <w:t xml:space="preserve">VIEŠOJO NAUDOJIMO TERITORIJOJE, </w:t>
      </w:r>
      <w:r w:rsidR="00121CFC">
        <w:rPr>
          <w:b/>
          <w:sz w:val="24"/>
          <w:szCs w:val="24"/>
        </w:rPr>
        <w:t xml:space="preserve">ATITVERTI JĄ AR JOS DALĮ ARBA APRIBOTI EISMĄ JOJE IŠDAVIMĄ, NUOSTATŲ, PATVIRTINTŲ SAVIVALDYBĖS TARYBOS </w:t>
      </w:r>
      <w:r w:rsidR="00FB67B2">
        <w:rPr>
          <w:b/>
          <w:sz w:val="24"/>
          <w:szCs w:val="24"/>
        </w:rPr>
        <w:t>2011 M. KOVO 31 D. SPRENDIMU NR. 1-68-39</w:t>
      </w:r>
      <w:r w:rsidR="002B161A">
        <w:rPr>
          <w:b/>
          <w:sz w:val="24"/>
          <w:szCs w:val="24"/>
        </w:rPr>
        <w:t>,</w:t>
      </w:r>
      <w:bookmarkStart w:id="0" w:name="_GoBack"/>
      <w:bookmarkEnd w:id="0"/>
      <w:r w:rsidR="00FB67B2">
        <w:rPr>
          <w:b/>
          <w:sz w:val="24"/>
          <w:szCs w:val="24"/>
        </w:rPr>
        <w:t xml:space="preserve"> 6 PUNKTO PAKEITIMO</w:t>
      </w:r>
      <w:r w:rsidRPr="00513104">
        <w:rPr>
          <w:b/>
          <w:sz w:val="24"/>
          <w:szCs w:val="24"/>
        </w:rPr>
        <w:t xml:space="preserve"> </w:t>
      </w:r>
    </w:p>
    <w:p w:rsidR="00226724" w:rsidRPr="00137E22" w:rsidRDefault="00226724" w:rsidP="00272350">
      <w:pPr>
        <w:jc w:val="center"/>
        <w:rPr>
          <w:b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7F4AAB" w:rsidRPr="00272350" w:rsidTr="00272350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Eil.</w:t>
            </w:r>
          </w:p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272350" w:rsidTr="00272350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NAUDINGUMAS</w:t>
            </w:r>
          </w:p>
        </w:tc>
      </w:tr>
      <w:tr w:rsidR="007F4AAB" w:rsidRPr="00272350" w:rsidTr="00272350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C392B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C392B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07A22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07A22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E529B1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9E4577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PRIEINAMUMAS</w:t>
            </w:r>
          </w:p>
        </w:tc>
      </w:tr>
      <w:tr w:rsidR="007F4AAB" w:rsidRPr="00272350" w:rsidTr="00DC392B">
        <w:trPr>
          <w:trHeight w:val="7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13.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DC392B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14.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272350" w:rsidTr="00DC392B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B51FE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FE4CC2" w:rsidP="007F4AAB">
            <w:pPr>
              <w:jc w:val="center"/>
              <w:rPr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0,</w:t>
            </w:r>
            <w:r w:rsidR="005B6158">
              <w:rPr>
                <w:b/>
                <w:sz w:val="24"/>
                <w:szCs w:val="24"/>
              </w:rPr>
              <w:t>063</w:t>
            </w:r>
          </w:p>
        </w:tc>
      </w:tr>
    </w:tbl>
    <w:p w:rsidR="00DC242E" w:rsidRDefault="00DC242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  <w:r w:rsidR="00FB67B2">
        <w:rPr>
          <w:sz w:val="24"/>
          <w:szCs w:val="24"/>
        </w:rPr>
        <w:t>vyriausioji infrastruktūros</w:t>
      </w:r>
    </w:p>
    <w:p w:rsidR="00FB67B2" w:rsidRDefault="00FB67B2" w:rsidP="00FF2EB0">
      <w:pPr>
        <w:rPr>
          <w:sz w:val="24"/>
          <w:szCs w:val="24"/>
        </w:rPr>
      </w:pPr>
      <w:r>
        <w:rPr>
          <w:sz w:val="24"/>
          <w:szCs w:val="24"/>
        </w:rPr>
        <w:t>objektų priežiūros specialistė</w:t>
      </w:r>
    </w:p>
    <w:p w:rsidR="002B51FE" w:rsidRPr="00272350" w:rsidRDefault="002B51FE" w:rsidP="00FF2E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F86F8C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</w:t>
      </w:r>
      <w:r w:rsidR="00FB67B2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</w:t>
      </w:r>
      <w:r w:rsidR="00FB67B2">
        <w:rPr>
          <w:sz w:val="24"/>
          <w:szCs w:val="24"/>
        </w:rPr>
        <w:t>Irena Krivickienė</w:t>
      </w:r>
    </w:p>
    <w:sectPr w:rsidR="002B51FE" w:rsidRPr="00272350" w:rsidSect="009E4577">
      <w:headerReference w:type="even" r:id="rId7"/>
      <w:headerReference w:type="default" r:id="rId8"/>
      <w:headerReference w:type="first" r:id="rId9"/>
      <w:pgSz w:w="11907" w:h="16840" w:code="9"/>
      <w:pgMar w:top="1134" w:right="567" w:bottom="454" w:left="1440" w:header="567" w:footer="567" w:gutter="0"/>
      <w:cols w:space="1296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5A" w:rsidRDefault="00771F5A">
      <w:r>
        <w:separator/>
      </w:r>
    </w:p>
  </w:endnote>
  <w:endnote w:type="continuationSeparator" w:id="0">
    <w:p w:rsidR="00771F5A" w:rsidRDefault="0077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5A" w:rsidRDefault="00771F5A">
      <w:r>
        <w:separator/>
      </w:r>
    </w:p>
  </w:footnote>
  <w:footnote w:type="continuationSeparator" w:id="0">
    <w:p w:rsidR="00771F5A" w:rsidRDefault="0077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74" w:rsidRDefault="005D11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71D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71D74" w:rsidRDefault="00971D7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74" w:rsidRDefault="005D11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71D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161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71D74" w:rsidRDefault="00971D7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74" w:rsidRDefault="00971D74">
    <w:pPr>
      <w:pStyle w:val="Antrats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3DD"/>
    <w:multiLevelType w:val="hybridMultilevel"/>
    <w:tmpl w:val="306CFB0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F5540"/>
    <w:multiLevelType w:val="multilevel"/>
    <w:tmpl w:val="7180D0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2">
    <w:nsid w:val="2FE05A2F"/>
    <w:multiLevelType w:val="multilevel"/>
    <w:tmpl w:val="135028D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3">
    <w:nsid w:val="55F437BF"/>
    <w:multiLevelType w:val="hybridMultilevel"/>
    <w:tmpl w:val="761C9D7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030A0"/>
    <w:multiLevelType w:val="hybridMultilevel"/>
    <w:tmpl w:val="9E64E686"/>
    <w:lvl w:ilvl="0" w:tplc="5D32B3BA">
      <w:start w:val="2"/>
      <w:numFmt w:val="decimal"/>
      <w:lvlText w:val="%1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1" w:tplc="55B21D44">
      <w:numFmt w:val="none"/>
      <w:lvlText w:val=""/>
      <w:lvlJc w:val="left"/>
      <w:pPr>
        <w:tabs>
          <w:tab w:val="num" w:pos="360"/>
        </w:tabs>
      </w:pPr>
    </w:lvl>
    <w:lvl w:ilvl="2" w:tplc="3782D27C">
      <w:numFmt w:val="none"/>
      <w:lvlText w:val=""/>
      <w:lvlJc w:val="left"/>
      <w:pPr>
        <w:tabs>
          <w:tab w:val="num" w:pos="360"/>
        </w:tabs>
      </w:pPr>
    </w:lvl>
    <w:lvl w:ilvl="3" w:tplc="972283CA">
      <w:numFmt w:val="none"/>
      <w:lvlText w:val=""/>
      <w:lvlJc w:val="left"/>
      <w:pPr>
        <w:tabs>
          <w:tab w:val="num" w:pos="360"/>
        </w:tabs>
      </w:pPr>
    </w:lvl>
    <w:lvl w:ilvl="4" w:tplc="79B69FC4">
      <w:numFmt w:val="none"/>
      <w:lvlText w:val=""/>
      <w:lvlJc w:val="left"/>
      <w:pPr>
        <w:tabs>
          <w:tab w:val="num" w:pos="360"/>
        </w:tabs>
      </w:pPr>
    </w:lvl>
    <w:lvl w:ilvl="5" w:tplc="D42AD978">
      <w:numFmt w:val="none"/>
      <w:lvlText w:val=""/>
      <w:lvlJc w:val="left"/>
      <w:pPr>
        <w:tabs>
          <w:tab w:val="num" w:pos="360"/>
        </w:tabs>
      </w:pPr>
    </w:lvl>
    <w:lvl w:ilvl="6" w:tplc="6024CA96">
      <w:numFmt w:val="none"/>
      <w:lvlText w:val=""/>
      <w:lvlJc w:val="left"/>
      <w:pPr>
        <w:tabs>
          <w:tab w:val="num" w:pos="360"/>
        </w:tabs>
      </w:pPr>
    </w:lvl>
    <w:lvl w:ilvl="7" w:tplc="61BE2AB8">
      <w:numFmt w:val="none"/>
      <w:lvlText w:val=""/>
      <w:lvlJc w:val="left"/>
      <w:pPr>
        <w:tabs>
          <w:tab w:val="num" w:pos="360"/>
        </w:tabs>
      </w:pPr>
    </w:lvl>
    <w:lvl w:ilvl="8" w:tplc="461CF1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8B62AC9"/>
    <w:multiLevelType w:val="hybridMultilevel"/>
    <w:tmpl w:val="B808B7A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67BE2"/>
    <w:rsid w:val="000917EE"/>
    <w:rsid w:val="00093DAB"/>
    <w:rsid w:val="000F63CA"/>
    <w:rsid w:val="00121CFC"/>
    <w:rsid w:val="00126472"/>
    <w:rsid w:val="00226724"/>
    <w:rsid w:val="00242F36"/>
    <w:rsid w:val="00253E48"/>
    <w:rsid w:val="0025595A"/>
    <w:rsid w:val="00255A8B"/>
    <w:rsid w:val="00272350"/>
    <w:rsid w:val="002973A3"/>
    <w:rsid w:val="002B161A"/>
    <w:rsid w:val="002B51FE"/>
    <w:rsid w:val="00340AFB"/>
    <w:rsid w:val="00347AAC"/>
    <w:rsid w:val="00365DD6"/>
    <w:rsid w:val="003874EA"/>
    <w:rsid w:val="00390693"/>
    <w:rsid w:val="003C34F6"/>
    <w:rsid w:val="003D07C8"/>
    <w:rsid w:val="003D5AEF"/>
    <w:rsid w:val="00437677"/>
    <w:rsid w:val="004936FC"/>
    <w:rsid w:val="004D0117"/>
    <w:rsid w:val="005048C8"/>
    <w:rsid w:val="00513104"/>
    <w:rsid w:val="00515E8A"/>
    <w:rsid w:val="00532372"/>
    <w:rsid w:val="00536028"/>
    <w:rsid w:val="00543D6C"/>
    <w:rsid w:val="00565B05"/>
    <w:rsid w:val="0058689F"/>
    <w:rsid w:val="005B3F7B"/>
    <w:rsid w:val="005B6158"/>
    <w:rsid w:val="005D11DB"/>
    <w:rsid w:val="005F3720"/>
    <w:rsid w:val="00620807"/>
    <w:rsid w:val="00641E0F"/>
    <w:rsid w:val="006533BD"/>
    <w:rsid w:val="00666E3E"/>
    <w:rsid w:val="0068121E"/>
    <w:rsid w:val="006C3D95"/>
    <w:rsid w:val="006E0D0C"/>
    <w:rsid w:val="006E245B"/>
    <w:rsid w:val="006F4441"/>
    <w:rsid w:val="00707A22"/>
    <w:rsid w:val="00734ED7"/>
    <w:rsid w:val="007527A6"/>
    <w:rsid w:val="0076119E"/>
    <w:rsid w:val="00771F5A"/>
    <w:rsid w:val="007A03F9"/>
    <w:rsid w:val="007A7552"/>
    <w:rsid w:val="007C165A"/>
    <w:rsid w:val="007C764F"/>
    <w:rsid w:val="007E716C"/>
    <w:rsid w:val="007F4AAB"/>
    <w:rsid w:val="008245CF"/>
    <w:rsid w:val="00825094"/>
    <w:rsid w:val="008577B4"/>
    <w:rsid w:val="008940CF"/>
    <w:rsid w:val="008B0D0C"/>
    <w:rsid w:val="008B0F83"/>
    <w:rsid w:val="008B5BA0"/>
    <w:rsid w:val="008C0D94"/>
    <w:rsid w:val="008D2CBA"/>
    <w:rsid w:val="00906971"/>
    <w:rsid w:val="009123EE"/>
    <w:rsid w:val="0091369E"/>
    <w:rsid w:val="0095353F"/>
    <w:rsid w:val="00970B47"/>
    <w:rsid w:val="00971D74"/>
    <w:rsid w:val="0098733C"/>
    <w:rsid w:val="009B10C5"/>
    <w:rsid w:val="009D08E8"/>
    <w:rsid w:val="009D5E15"/>
    <w:rsid w:val="009E4577"/>
    <w:rsid w:val="00A23104"/>
    <w:rsid w:val="00A308BB"/>
    <w:rsid w:val="00A610B8"/>
    <w:rsid w:val="00A668FA"/>
    <w:rsid w:val="00B1354A"/>
    <w:rsid w:val="00B34F10"/>
    <w:rsid w:val="00B42B60"/>
    <w:rsid w:val="00BE1DC8"/>
    <w:rsid w:val="00C15646"/>
    <w:rsid w:val="00C15EBF"/>
    <w:rsid w:val="00C27E17"/>
    <w:rsid w:val="00C508B5"/>
    <w:rsid w:val="00C70DED"/>
    <w:rsid w:val="00C87C3B"/>
    <w:rsid w:val="00CB42F0"/>
    <w:rsid w:val="00D20893"/>
    <w:rsid w:val="00D43A89"/>
    <w:rsid w:val="00D614FD"/>
    <w:rsid w:val="00DB7BDC"/>
    <w:rsid w:val="00DC242E"/>
    <w:rsid w:val="00DC392B"/>
    <w:rsid w:val="00DE2797"/>
    <w:rsid w:val="00DF3162"/>
    <w:rsid w:val="00DF44C1"/>
    <w:rsid w:val="00E019B3"/>
    <w:rsid w:val="00E14208"/>
    <w:rsid w:val="00E529B1"/>
    <w:rsid w:val="00EF597D"/>
    <w:rsid w:val="00F34DE4"/>
    <w:rsid w:val="00F86F8C"/>
    <w:rsid w:val="00FB67B2"/>
    <w:rsid w:val="00FE4CC2"/>
    <w:rsid w:val="00FF2EB0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D9DE90-3754-422D-83F9-98035C39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2"/>
      <w:lang w:val="lt-LT"/>
    </w:rPr>
  </w:style>
  <w:style w:type="paragraph" w:styleId="Antrat1">
    <w:name w:val="heading 1"/>
    <w:basedOn w:val="prastasis"/>
    <w:next w:val="prastasis"/>
    <w:qFormat/>
    <w:rsid w:val="007F4A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 w:val="24"/>
      <w:szCs w:val="24"/>
    </w:rPr>
  </w:style>
  <w:style w:type="paragraph" w:styleId="Pagrindinistekstas">
    <w:name w:val="Body Text"/>
    <w:basedOn w:val="prastasis"/>
    <w:rsid w:val="007F4AAB"/>
    <w:pPr>
      <w:jc w:val="center"/>
    </w:pPr>
    <w:rPr>
      <w:b/>
      <w:bCs/>
      <w:sz w:val="24"/>
      <w:szCs w:val="24"/>
      <w:lang w:eastAsia="lt-LT"/>
    </w:rPr>
  </w:style>
  <w:style w:type="paragraph" w:styleId="Pagrindinistekstas2">
    <w:name w:val="Body Text 2"/>
    <w:basedOn w:val="prastasis"/>
    <w:rsid w:val="007F4AAB"/>
    <w:pPr>
      <w:spacing w:line="360" w:lineRule="auto"/>
      <w:jc w:val="both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7F4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Pagrindiniotekstotrauka2">
    <w:name w:val="Body Text Indent 2"/>
    <w:basedOn w:val="prastasis"/>
    <w:rsid w:val="007F4AAB"/>
    <w:pPr>
      <w:ind w:left="5761" w:firstLine="720"/>
      <w:jc w:val="right"/>
    </w:pPr>
    <w:rPr>
      <w:sz w:val="24"/>
      <w:szCs w:val="24"/>
      <w:lang w:eastAsia="lt-LT"/>
    </w:rPr>
  </w:style>
  <w:style w:type="paragraph" w:customStyle="1" w:styleId="DiagramaDiagramaCharChar">
    <w:name w:val="Diagrama Diagrama Char Char"/>
    <w:basedOn w:val="prastasis"/>
    <w:rsid w:val="00DC242E"/>
    <w:pPr>
      <w:spacing w:after="160" w:line="240" w:lineRule="exact"/>
    </w:pPr>
    <w:rPr>
      <w:rFonts w:ascii="Tahoma" w:hAnsi="Tahoma"/>
      <w:sz w:val="24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rsid w:val="00B1354A"/>
    <w:pPr>
      <w:spacing w:after="160" w:line="240" w:lineRule="exact"/>
    </w:pPr>
    <w:rPr>
      <w:rFonts w:ascii="Tahoma" w:hAnsi="Tahoma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3577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Irena Krivickienė</cp:lastModifiedBy>
  <cp:revision>7</cp:revision>
  <cp:lastPrinted>2014-06-17T12:01:00Z</cp:lastPrinted>
  <dcterms:created xsi:type="dcterms:W3CDTF">2014-09-08T11:13:00Z</dcterms:created>
  <dcterms:modified xsi:type="dcterms:W3CDTF">2014-10-02T13:37:00Z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91F88B41-B4AE-4F89-AAB4-BCB9275C49DA</vt:lpwstr>
  </property>
</Properties>
</file>