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9C" w:rsidRPr="009D143B" w:rsidRDefault="006E14D9">
      <w:pPr>
        <w:rPr>
          <w:b/>
        </w:rPr>
      </w:pPr>
      <w:r w:rsidRPr="009D143B">
        <w:rPr>
          <w:b/>
        </w:rPr>
        <w:t>PRIEDAS PRIE AIŠKINAMOJO RAŠTO</w:t>
      </w:r>
    </w:p>
    <w:p w:rsidR="00FC334F" w:rsidRPr="009D143B" w:rsidRDefault="00FC334F" w:rsidP="00FC334F">
      <w:pPr>
        <w:jc w:val="both"/>
        <w:rPr>
          <w:b/>
        </w:rPr>
      </w:pPr>
    </w:p>
    <w:p w:rsidR="00616E08" w:rsidRPr="009D143B" w:rsidRDefault="00F42A7F" w:rsidP="00616E08">
      <w:pPr>
        <w:ind w:firstLine="748"/>
        <w:jc w:val="both"/>
      </w:pPr>
      <w:r w:rsidRPr="009D143B">
        <w:t xml:space="preserve"> </w:t>
      </w:r>
      <w:r w:rsidR="00845C55" w:rsidRPr="009D143B">
        <w:t xml:space="preserve">Sprendimo projektą sudaro </w:t>
      </w:r>
      <w:r w:rsidR="00616E08" w:rsidRPr="009D143B">
        <w:t>4</w:t>
      </w:r>
      <w:r w:rsidR="00845C55" w:rsidRPr="009D143B">
        <w:t xml:space="preserve"> priedai</w:t>
      </w:r>
      <w:r w:rsidR="00616E08" w:rsidRPr="009D143B">
        <w:t>: 1 priedas. Panevėžio miesto plėtros strateginio plano įgyvendinimo vizijos rodikliai; 2 priedas. Panevėžio miesto plėtros 2004-2013 metų strateginio plano tikslų, uždavinių ir priemonių  įgyvendinimo ataskaita už 201</w:t>
      </w:r>
      <w:r w:rsidR="009D143B" w:rsidRPr="009D143B">
        <w:t>3</w:t>
      </w:r>
      <w:r w:rsidR="00616E08" w:rsidRPr="009D143B">
        <w:t xml:space="preserve"> metus; 3 priedas. Panevėžio miesto plėtros 2004-2013 metų strateginio plano tikslų, uždavinių ir priemonių įgyvendinimo 201</w:t>
      </w:r>
      <w:r w:rsidR="009D143B" w:rsidRPr="009D143B">
        <w:t>3</w:t>
      </w:r>
      <w:r w:rsidR="00616E08" w:rsidRPr="009D143B">
        <w:t xml:space="preserve"> m. suvestinė  ataskaita; 4 priedas. Panevėžio miesto plėtros 2004-2013 m. strateginio plano priežiūros rodiklių sąrašas.</w:t>
      </w:r>
    </w:p>
    <w:p w:rsidR="00616E08" w:rsidRPr="009D143B" w:rsidRDefault="00616E08" w:rsidP="00616E08">
      <w:pPr>
        <w:ind w:firstLine="748"/>
        <w:jc w:val="both"/>
      </w:pPr>
    </w:p>
    <w:p w:rsidR="00845C55" w:rsidRPr="009D143B" w:rsidRDefault="00845C55" w:rsidP="00845C55">
      <w:pPr>
        <w:ind w:firstLine="748"/>
        <w:jc w:val="both"/>
      </w:pPr>
      <w:r w:rsidRPr="009D143B">
        <w:t>20</w:t>
      </w:r>
      <w:r w:rsidR="00DA50A8" w:rsidRPr="009D143B">
        <w:t>1</w:t>
      </w:r>
      <w:r w:rsidR="009D143B" w:rsidRPr="009D143B">
        <w:t>3</w:t>
      </w:r>
      <w:r w:rsidRPr="009D143B">
        <w:t xml:space="preserve"> m. numatyta įgyvendinti </w:t>
      </w:r>
      <w:r w:rsidR="00A770CB" w:rsidRPr="009D143B">
        <w:t>11</w:t>
      </w:r>
      <w:r w:rsidR="009D143B" w:rsidRPr="009D143B">
        <w:t>6</w:t>
      </w:r>
      <w:r w:rsidR="00FD4BC4" w:rsidRPr="009D143B">
        <w:t xml:space="preserve"> priemonių</w:t>
      </w:r>
      <w:r w:rsidRPr="009D143B">
        <w:t>. Strateginio plano įgyvendinimas už 20</w:t>
      </w:r>
      <w:r w:rsidR="00FD4BC4" w:rsidRPr="009D143B">
        <w:t>1</w:t>
      </w:r>
      <w:r w:rsidR="009D143B" w:rsidRPr="009D143B">
        <w:t>3</w:t>
      </w:r>
      <w:r w:rsidRPr="009D143B">
        <w:t xml:space="preserve"> m. siekia </w:t>
      </w:r>
      <w:r w:rsidR="009D143B" w:rsidRPr="009D143B">
        <w:t>87</w:t>
      </w:r>
      <w:r w:rsidRPr="009D143B">
        <w:t xml:space="preserve"> proc., t.y. buvo vykdom</w:t>
      </w:r>
      <w:r w:rsidR="00710EBA">
        <w:t>a</w:t>
      </w:r>
      <w:r w:rsidRPr="009D143B">
        <w:t xml:space="preserve"> </w:t>
      </w:r>
      <w:r w:rsidR="009D143B" w:rsidRPr="009D143B">
        <w:t>101</w:t>
      </w:r>
      <w:r w:rsidRPr="009D143B">
        <w:t>, nevykdoma</w:t>
      </w:r>
      <w:r w:rsidR="00CB2843" w:rsidRPr="009D143B">
        <w:t xml:space="preserve"> ar vykdoma dalinai</w:t>
      </w:r>
      <w:r w:rsidRPr="009D143B">
        <w:t xml:space="preserve"> </w:t>
      </w:r>
      <w:r w:rsidR="009D143B" w:rsidRPr="009D143B">
        <w:t>15</w:t>
      </w:r>
      <w:r w:rsidRPr="009D143B">
        <w:t xml:space="preserve"> (</w:t>
      </w:r>
      <w:r w:rsidR="005A7C18" w:rsidRPr="009D143B">
        <w:t>1</w:t>
      </w:r>
      <w:r w:rsidR="009D143B" w:rsidRPr="009D143B">
        <w:t>3</w:t>
      </w:r>
      <w:r w:rsidRPr="009D143B">
        <w:t xml:space="preserve"> proc.) miesto plėtros strateginio plano priemonių (žr.1 diagramą). </w:t>
      </w:r>
    </w:p>
    <w:p w:rsidR="00CB2843" w:rsidRPr="0055270D" w:rsidRDefault="003E03D1" w:rsidP="00845C55">
      <w:pPr>
        <w:ind w:firstLine="748"/>
        <w:jc w:val="both"/>
        <w:rPr>
          <w:color w:val="FF0000"/>
        </w:rPr>
      </w:pPr>
      <w:r w:rsidRPr="0055270D">
        <w:rPr>
          <w:noProof/>
          <w:color w:val="FF0000"/>
          <w:lang w:val="en-US" w:eastAsia="en-US"/>
        </w:rPr>
        <w:drawing>
          <wp:inline distT="0" distB="0" distL="0" distR="0">
            <wp:extent cx="4514850" cy="3114675"/>
            <wp:effectExtent l="0" t="0" r="0" b="0"/>
            <wp:docPr id="1"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5C55" w:rsidRPr="00F029C0" w:rsidRDefault="00845C55" w:rsidP="005251A3">
      <w:pPr>
        <w:tabs>
          <w:tab w:val="left" w:pos="748"/>
        </w:tabs>
        <w:jc w:val="both"/>
        <w:rPr>
          <w:noProof/>
        </w:rPr>
      </w:pPr>
      <w:r w:rsidRPr="0055270D">
        <w:rPr>
          <w:b/>
          <w:noProof/>
          <w:color w:val="FF0000"/>
        </w:rPr>
        <w:tab/>
      </w:r>
      <w:r w:rsidRPr="00F029C0">
        <w:rPr>
          <w:noProof/>
        </w:rPr>
        <w:t>20</w:t>
      </w:r>
      <w:r w:rsidR="00FD4BC4" w:rsidRPr="00F029C0">
        <w:rPr>
          <w:noProof/>
        </w:rPr>
        <w:t>1</w:t>
      </w:r>
      <w:r w:rsidR="00F029C0" w:rsidRPr="00F029C0">
        <w:rPr>
          <w:noProof/>
        </w:rPr>
        <w:t>3</w:t>
      </w:r>
      <w:r w:rsidRPr="00F029C0">
        <w:rPr>
          <w:noProof/>
        </w:rPr>
        <w:t xml:space="preserve"> m.</w:t>
      </w:r>
      <w:r w:rsidR="00936D8B" w:rsidRPr="00F029C0">
        <w:rPr>
          <w:noProof/>
        </w:rPr>
        <w:t xml:space="preserve"> </w:t>
      </w:r>
      <w:r w:rsidRPr="00F029C0">
        <w:rPr>
          <w:noProof/>
        </w:rPr>
        <w:t xml:space="preserve">Panevėžio miesto plėtros strateginiam planui įgyvendinti </w:t>
      </w:r>
      <w:r w:rsidR="00EE29EC" w:rsidRPr="00F029C0">
        <w:rPr>
          <w:noProof/>
        </w:rPr>
        <w:t xml:space="preserve">buvo panaudota </w:t>
      </w:r>
      <w:r w:rsidR="00F029C0" w:rsidRPr="00F029C0">
        <w:rPr>
          <w:noProof/>
        </w:rPr>
        <w:t>58500</w:t>
      </w:r>
      <w:r w:rsidR="00936D8B" w:rsidRPr="00F029C0">
        <w:rPr>
          <w:noProof/>
        </w:rPr>
        <w:t>,</w:t>
      </w:r>
      <w:r w:rsidR="00F029C0" w:rsidRPr="00F029C0">
        <w:rPr>
          <w:noProof/>
        </w:rPr>
        <w:t>4</w:t>
      </w:r>
      <w:r w:rsidR="00936D8B" w:rsidRPr="00F029C0">
        <w:rPr>
          <w:noProof/>
        </w:rPr>
        <w:t xml:space="preserve"> </w:t>
      </w:r>
      <w:r w:rsidR="00EE29EC" w:rsidRPr="00F029C0">
        <w:rPr>
          <w:noProof/>
        </w:rPr>
        <w:t xml:space="preserve"> tūkst.</w:t>
      </w:r>
      <w:r w:rsidR="00710EBA">
        <w:rPr>
          <w:noProof/>
        </w:rPr>
        <w:t xml:space="preserve"> </w:t>
      </w:r>
      <w:r w:rsidR="00EE29EC" w:rsidRPr="00F029C0">
        <w:rPr>
          <w:noProof/>
        </w:rPr>
        <w:t xml:space="preserve">Lt. Detalesnis </w:t>
      </w:r>
      <w:r w:rsidRPr="00F029C0">
        <w:rPr>
          <w:noProof/>
        </w:rPr>
        <w:t>lėšų pasiskirstymas parodytas 2 diagramoje.</w:t>
      </w:r>
    </w:p>
    <w:p w:rsidR="00845C55" w:rsidRPr="0055270D" w:rsidRDefault="00845C55" w:rsidP="00845C55">
      <w:pPr>
        <w:ind w:firstLine="748"/>
        <w:jc w:val="both"/>
        <w:rPr>
          <w:color w:val="FF0000"/>
        </w:rPr>
      </w:pPr>
    </w:p>
    <w:p w:rsidR="00B27777" w:rsidRPr="0055270D" w:rsidRDefault="00717293" w:rsidP="00845C55">
      <w:pPr>
        <w:ind w:firstLine="748"/>
        <w:jc w:val="both"/>
        <w:rPr>
          <w:noProof/>
          <w:color w:val="FF0000"/>
        </w:rPr>
      </w:pPr>
      <w:r w:rsidRPr="00717293">
        <w:rPr>
          <w:noProof/>
          <w:color w:val="FF0000"/>
          <w:lang w:val="en-US" w:eastAsia="en-US"/>
        </w:rPr>
        <w:drawing>
          <wp:inline distT="0" distB="0" distL="0" distR="0">
            <wp:extent cx="5248275" cy="3057525"/>
            <wp:effectExtent l="19050" t="0" r="0"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5C55" w:rsidRPr="003E75F3" w:rsidRDefault="00700F2A" w:rsidP="00845C55">
      <w:pPr>
        <w:tabs>
          <w:tab w:val="left" w:pos="748"/>
        </w:tabs>
        <w:jc w:val="both"/>
      </w:pPr>
      <w:r w:rsidRPr="003E75F3">
        <w:tab/>
        <w:t xml:space="preserve">Strateginiam planui įgyvendinti </w:t>
      </w:r>
      <w:r w:rsidR="00845C55" w:rsidRPr="003E75F3">
        <w:t xml:space="preserve"> </w:t>
      </w:r>
      <w:r w:rsidRPr="003E75F3">
        <w:t>lėšų pasiskirstymas pagal prioritetus pavaizduotas 3 diagramoje. I prioritetas „</w:t>
      </w:r>
      <w:r w:rsidRPr="003E75F3">
        <w:rPr>
          <w:i/>
        </w:rPr>
        <w:t>Progresyvi ir nuolat auganti ekonomika</w:t>
      </w:r>
      <w:r w:rsidRPr="003E75F3">
        <w:t xml:space="preserve">“ panaudota </w:t>
      </w:r>
      <w:r w:rsidR="003E75F3" w:rsidRPr="003E75F3">
        <w:t>10721,7</w:t>
      </w:r>
      <w:r w:rsidRPr="003E75F3">
        <w:t xml:space="preserve"> tūkst.</w:t>
      </w:r>
      <w:r w:rsidR="003E75F3" w:rsidRPr="003E75F3">
        <w:t xml:space="preserve"> </w:t>
      </w:r>
      <w:r w:rsidRPr="003E75F3">
        <w:t>Lt. II prioritetas</w:t>
      </w:r>
      <w:r w:rsidRPr="003E75F3">
        <w:rPr>
          <w:i/>
        </w:rPr>
        <w:t xml:space="preserve"> „Sveika ir kokybiška gyvenimo aplinka</w:t>
      </w:r>
      <w:r w:rsidRPr="003E75F3">
        <w:t xml:space="preserve">“ panaudota </w:t>
      </w:r>
      <w:r w:rsidR="003E75F3" w:rsidRPr="003E75F3">
        <w:t>36498,7</w:t>
      </w:r>
      <w:r w:rsidRPr="003E75F3">
        <w:t xml:space="preserve"> tūkst.</w:t>
      </w:r>
      <w:r w:rsidR="003E75F3" w:rsidRPr="003E75F3">
        <w:t xml:space="preserve"> </w:t>
      </w:r>
      <w:r w:rsidRPr="003E75F3">
        <w:t xml:space="preserve">Lt. </w:t>
      </w:r>
      <w:smartTag w:uri="urn:schemas-microsoft-com:office:smarttags" w:element="stockticker">
        <w:r w:rsidRPr="003E75F3">
          <w:t>III</w:t>
        </w:r>
      </w:smartTag>
      <w:r w:rsidRPr="003E75F3">
        <w:t xml:space="preserve"> prioritetas</w:t>
      </w:r>
      <w:r w:rsidRPr="003E75F3">
        <w:rPr>
          <w:i/>
        </w:rPr>
        <w:t xml:space="preserve"> „ Produktyvūs ir konkurencingi žmogiškieji i</w:t>
      </w:r>
      <w:r w:rsidR="00E848D4" w:rsidRPr="003E75F3">
        <w:rPr>
          <w:i/>
        </w:rPr>
        <w:t>š</w:t>
      </w:r>
      <w:r w:rsidRPr="003E75F3">
        <w:rPr>
          <w:i/>
        </w:rPr>
        <w:t>tekliai“</w:t>
      </w:r>
      <w:r w:rsidRPr="003E75F3">
        <w:t xml:space="preserve"> panaudota </w:t>
      </w:r>
      <w:r w:rsidR="003E75F3" w:rsidRPr="003E75F3">
        <w:t xml:space="preserve">11280,0 </w:t>
      </w:r>
      <w:r w:rsidRPr="003E75F3">
        <w:t xml:space="preserve"> tūkst.</w:t>
      </w:r>
      <w:r w:rsidR="003E75F3" w:rsidRPr="003E75F3">
        <w:t xml:space="preserve"> </w:t>
      </w:r>
      <w:r w:rsidRPr="003E75F3">
        <w:t>Lt</w:t>
      </w:r>
    </w:p>
    <w:p w:rsidR="00845C55" w:rsidRPr="0055270D" w:rsidRDefault="003E75F3" w:rsidP="00845C55">
      <w:pPr>
        <w:ind w:firstLine="748"/>
        <w:jc w:val="both"/>
        <w:rPr>
          <w:noProof/>
          <w:color w:val="FF0000"/>
        </w:rPr>
      </w:pPr>
      <w:r w:rsidRPr="003E75F3">
        <w:rPr>
          <w:noProof/>
          <w:color w:val="FF0000"/>
          <w:lang w:val="en-US" w:eastAsia="en-US"/>
        </w:rPr>
        <w:lastRenderedPageBreak/>
        <w:drawing>
          <wp:inline distT="0" distB="0" distL="0" distR="0">
            <wp:extent cx="4676775" cy="2733675"/>
            <wp:effectExtent l="19050" t="0" r="0" b="0"/>
            <wp:docPr id="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5C55" w:rsidRPr="003E75F3" w:rsidRDefault="00845C55" w:rsidP="00180A40">
      <w:pPr>
        <w:tabs>
          <w:tab w:val="left" w:pos="748"/>
        </w:tabs>
        <w:jc w:val="both"/>
        <w:rPr>
          <w:noProof/>
        </w:rPr>
      </w:pPr>
      <w:r w:rsidRPr="0055270D">
        <w:rPr>
          <w:color w:val="FF0000"/>
        </w:rPr>
        <w:tab/>
      </w:r>
      <w:r w:rsidR="00180A40" w:rsidRPr="0055270D">
        <w:rPr>
          <w:color w:val="FF0000"/>
        </w:rPr>
        <w:tab/>
      </w:r>
      <w:r w:rsidRPr="003E75F3">
        <w:rPr>
          <w:b/>
          <w:noProof/>
        </w:rPr>
        <w:t>I</w:t>
      </w:r>
      <w:r w:rsidRPr="0055270D">
        <w:rPr>
          <w:b/>
          <w:noProof/>
          <w:color w:val="FF0000"/>
        </w:rPr>
        <w:t xml:space="preserve"> </w:t>
      </w:r>
      <w:r w:rsidRPr="003E75F3">
        <w:rPr>
          <w:b/>
          <w:noProof/>
        </w:rPr>
        <w:t xml:space="preserve">prioritetas. </w:t>
      </w:r>
      <w:r w:rsidR="00180A40" w:rsidRPr="003E75F3">
        <w:t xml:space="preserve">Progresyvi ir nuolat auganti ekonomika. </w:t>
      </w:r>
      <w:r w:rsidRPr="003E75F3">
        <w:rPr>
          <w:noProof/>
        </w:rPr>
        <w:t>Strateginio plano I-o prioriteto priemonių vykdymas pavaizduotas 4 diagramoje.</w:t>
      </w:r>
    </w:p>
    <w:p w:rsidR="00845C55" w:rsidRPr="0055270D" w:rsidRDefault="003E03D1" w:rsidP="00845C55">
      <w:pPr>
        <w:ind w:firstLine="748"/>
        <w:jc w:val="both"/>
        <w:rPr>
          <w:noProof/>
          <w:color w:val="FF0000"/>
        </w:rPr>
      </w:pPr>
      <w:r w:rsidRPr="0055270D">
        <w:rPr>
          <w:noProof/>
          <w:color w:val="FF0000"/>
          <w:lang w:val="en-US" w:eastAsia="en-US"/>
        </w:rPr>
        <w:drawing>
          <wp:inline distT="0" distB="0" distL="0" distR="0">
            <wp:extent cx="4676775" cy="2733675"/>
            <wp:effectExtent l="0" t="0" r="0" b="0"/>
            <wp:docPr id="4"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5C55" w:rsidRPr="00C65708" w:rsidRDefault="00845C55" w:rsidP="00845C55">
      <w:pPr>
        <w:ind w:firstLine="748"/>
        <w:jc w:val="both"/>
        <w:rPr>
          <w:noProof/>
        </w:rPr>
      </w:pPr>
      <w:r w:rsidRPr="00C65708">
        <w:rPr>
          <w:noProof/>
        </w:rPr>
        <w:t xml:space="preserve"> I prioriteto neįgyvendintos priemonės per 20</w:t>
      </w:r>
      <w:r w:rsidR="00180A40" w:rsidRPr="00C65708">
        <w:rPr>
          <w:noProof/>
        </w:rPr>
        <w:t>1</w:t>
      </w:r>
      <w:r w:rsidR="003B3532" w:rsidRPr="00C65708">
        <w:rPr>
          <w:noProof/>
        </w:rPr>
        <w:t>3</w:t>
      </w:r>
      <w:r w:rsidRPr="00C65708">
        <w:rPr>
          <w:noProof/>
        </w:rPr>
        <w:t xml:space="preserve"> m.:</w:t>
      </w:r>
    </w:p>
    <w:p w:rsidR="003B3532" w:rsidRPr="00C65708" w:rsidRDefault="003B3532" w:rsidP="003B3532">
      <w:pPr>
        <w:ind w:firstLine="720"/>
        <w:jc w:val="both"/>
      </w:pPr>
      <w:r w:rsidRPr="00C65708">
        <w:t>1.1.5.2. „Dalyvauti tarptautinio tinklo „</w:t>
      </w:r>
      <w:proofErr w:type="spellStart"/>
      <w:r w:rsidRPr="00C65708">
        <w:t>Cities</w:t>
      </w:r>
      <w:proofErr w:type="spellEnd"/>
      <w:r w:rsidRPr="00C65708">
        <w:t xml:space="preserve"> </w:t>
      </w:r>
      <w:proofErr w:type="spellStart"/>
      <w:r w:rsidRPr="00C65708">
        <w:t>for</w:t>
      </w:r>
      <w:proofErr w:type="spellEnd"/>
      <w:r w:rsidRPr="00C65708">
        <w:t xml:space="preserve"> </w:t>
      </w:r>
      <w:proofErr w:type="spellStart"/>
      <w:r w:rsidRPr="00C65708">
        <w:t>Children</w:t>
      </w:r>
      <w:proofErr w:type="spellEnd"/>
      <w:r w:rsidRPr="00C65708">
        <w:t>“ („Miestai vaikams“) veikloje.“ Priemonės vykdymui neskirta lėšų iš biudžeto.</w:t>
      </w:r>
    </w:p>
    <w:p w:rsidR="003B3532" w:rsidRPr="00C65708" w:rsidRDefault="003B3532" w:rsidP="003B3532">
      <w:pPr>
        <w:ind w:firstLine="720"/>
        <w:jc w:val="both"/>
      </w:pPr>
      <w:r w:rsidRPr="00C65708">
        <w:t xml:space="preserve">1.1.10.1. „Plėtoti keitimosi elektroniniais dokumentais tarp savivaldos ir kitų institucijų sistemą.“ Neįsigaliojus LR teisės </w:t>
      </w:r>
      <w:smartTag w:uri="schemas-tilde-lt/tildestengine" w:element="templates">
        <w:smartTagPr>
          <w:attr w:name="baseform" w:val="akt|as"/>
          <w:attr w:name="id" w:val="-1"/>
          <w:attr w:name="text" w:val="aktams"/>
        </w:smartTagPr>
        <w:r w:rsidRPr="00C65708">
          <w:t>aktams</w:t>
        </w:r>
      </w:smartTag>
      <w:r w:rsidRPr="00C65708">
        <w:t>, susijusiems su el. dokumentų keitim</w:t>
      </w:r>
      <w:r w:rsidR="00C65708" w:rsidRPr="00C65708">
        <w:t>u</w:t>
      </w:r>
      <w:r w:rsidRPr="00C65708">
        <w:t>si, nebuvo sudaryta galimybių keistis el. dokumentais.</w:t>
      </w:r>
    </w:p>
    <w:p w:rsidR="003B3532" w:rsidRPr="00C65708" w:rsidRDefault="003B3532" w:rsidP="003B3532">
      <w:pPr>
        <w:ind w:firstLine="720"/>
        <w:jc w:val="both"/>
      </w:pPr>
      <w:r w:rsidRPr="00C65708">
        <w:t>1.1.11.3. „Vykdyti miesto ir išorės susisiekimo sistemos priežiūrą ir sukurti susisiekimo sistemos duomenų bazę (E-bilieto sukūrimas)“.  Dėl įgyvendinamų prioritetinių projektų – dujų kompresorinės statybos ir suspaustomis gamtinėmis dujomis varomų naujų 9 vnt.  autobusų įsigijimo, taip pat dėl neatidėliotinai būtinos naujos autobusų gamybinės bazės statybos, bendrovė nepajėgi finansuoti elektroninio bilieto įdiegimą Panevėžio mieste. Šis projektas ekonomiškai neatsiperkantis. Elektroninio bilieto projektą Panevėžyje galima būtų įgyvendinti, gavus tikslinę finansinę paramą.</w:t>
      </w:r>
    </w:p>
    <w:p w:rsidR="003B3532" w:rsidRPr="00A12687" w:rsidRDefault="003B3532" w:rsidP="00845C55">
      <w:pPr>
        <w:ind w:firstLine="748"/>
        <w:jc w:val="both"/>
        <w:rPr>
          <w:noProof/>
          <w:color w:val="FF0000"/>
        </w:rPr>
      </w:pPr>
    </w:p>
    <w:p w:rsidR="00E31BA3" w:rsidRPr="00A12687" w:rsidRDefault="008F6506" w:rsidP="00845C55">
      <w:pPr>
        <w:ind w:firstLine="748"/>
        <w:jc w:val="both"/>
      </w:pPr>
      <w:r w:rsidRPr="00A12687">
        <w:rPr>
          <w:noProof/>
        </w:rPr>
        <w:t xml:space="preserve">I Prioritetas apima </w:t>
      </w:r>
      <w:r w:rsidR="00E31BA3" w:rsidRPr="00A12687">
        <w:t>palanki</w:t>
      </w:r>
      <w:r w:rsidR="00544F6A" w:rsidRPr="00A12687">
        <w:t>os</w:t>
      </w:r>
      <w:r w:rsidR="00E31BA3" w:rsidRPr="00A12687">
        <w:t xml:space="preserve"> investicijoms ir bendradarbiavimui aplinkos sudarymą, darbo vietų kūrimą ir užimtumo didinimą</w:t>
      </w:r>
      <w:r w:rsidR="00831E03" w:rsidRPr="00A12687">
        <w:t>.</w:t>
      </w:r>
    </w:p>
    <w:p w:rsidR="00E31BA3" w:rsidRPr="0055270D" w:rsidRDefault="00E31BA3" w:rsidP="00845C55">
      <w:pPr>
        <w:ind w:firstLine="748"/>
        <w:jc w:val="both"/>
        <w:rPr>
          <w:noProof/>
          <w:color w:val="FF0000"/>
        </w:rPr>
      </w:pPr>
    </w:p>
    <w:p w:rsidR="00942ED9" w:rsidRPr="00F0782E" w:rsidRDefault="00F8757C" w:rsidP="003D57F9">
      <w:pPr>
        <w:ind w:firstLine="748"/>
        <w:jc w:val="both"/>
        <w:rPr>
          <w:noProof/>
        </w:rPr>
      </w:pPr>
      <w:r w:rsidRPr="00F0782E">
        <w:rPr>
          <w:noProof/>
        </w:rPr>
        <w:t xml:space="preserve">Pagal bendrąjį vidaus produktą, tenkantį vienam gyventojui, Panevėžio apskritis užima </w:t>
      </w:r>
      <w:r w:rsidR="00F0782E">
        <w:rPr>
          <w:noProof/>
        </w:rPr>
        <w:t>5</w:t>
      </w:r>
      <w:r w:rsidRPr="00F0782E">
        <w:rPr>
          <w:noProof/>
        </w:rPr>
        <w:t xml:space="preserve">-ąją vietą </w:t>
      </w:r>
      <w:r w:rsidR="00D0777F" w:rsidRPr="00F0782E">
        <w:rPr>
          <w:noProof/>
        </w:rPr>
        <w:t>(iš penkių didžiųjų Lietuvos  miestų)</w:t>
      </w:r>
      <w:r w:rsidR="003D57F9" w:rsidRPr="00F0782E">
        <w:rPr>
          <w:noProof/>
        </w:rPr>
        <w:t>, tačiau pagal šį rodiklį</w:t>
      </w:r>
      <w:r w:rsidR="00544F6A" w:rsidRPr="00F0782E">
        <w:rPr>
          <w:noProof/>
        </w:rPr>
        <w:t>,</w:t>
      </w:r>
      <w:r w:rsidR="00D0777F" w:rsidRPr="00F0782E">
        <w:rPr>
          <w:noProof/>
        </w:rPr>
        <w:t xml:space="preserve"> </w:t>
      </w:r>
      <w:r w:rsidR="003D57F9" w:rsidRPr="00F0782E">
        <w:rPr>
          <w:noProof/>
        </w:rPr>
        <w:t xml:space="preserve"> </w:t>
      </w:r>
      <w:r w:rsidR="003D57F9" w:rsidRPr="00F0782E">
        <w:t>Panevėžio apskritis tesiekia apie 7</w:t>
      </w:r>
      <w:r w:rsidR="00F0782E">
        <w:t>5</w:t>
      </w:r>
      <w:r w:rsidR="003D57F9" w:rsidRPr="00F0782E">
        <w:t xml:space="preserve"> % šalies lygio ir nusileidžia mažesn</w:t>
      </w:r>
      <w:r w:rsidR="00F0782E">
        <w:t>ei</w:t>
      </w:r>
      <w:r w:rsidR="003D57F9" w:rsidRPr="00F0782E">
        <w:t xml:space="preserve"> </w:t>
      </w:r>
      <w:r w:rsidR="00544F6A" w:rsidRPr="00F0782E">
        <w:t xml:space="preserve">- </w:t>
      </w:r>
      <w:r w:rsidR="00A34283">
        <w:t>Telšių</w:t>
      </w:r>
      <w:r w:rsidR="00F0782E">
        <w:t xml:space="preserve"> apskričiai</w:t>
      </w:r>
      <w:r w:rsidR="003D57F9" w:rsidRPr="00F0782E">
        <w:t xml:space="preserve">  </w:t>
      </w:r>
      <w:r w:rsidR="00942ED9" w:rsidRPr="00F0782E">
        <w:rPr>
          <w:noProof/>
        </w:rPr>
        <w:t>(5 diagrama)</w:t>
      </w:r>
      <w:r w:rsidRPr="00F0782E">
        <w:rPr>
          <w:noProof/>
        </w:rPr>
        <w:t>.</w:t>
      </w:r>
      <w:r w:rsidR="001232DD" w:rsidRPr="00F0782E">
        <w:rPr>
          <w:noProof/>
        </w:rPr>
        <w:t xml:space="preserve"> </w:t>
      </w:r>
    </w:p>
    <w:p w:rsidR="003D57F9" w:rsidRPr="0055270D" w:rsidRDefault="003D57F9" w:rsidP="00845C55">
      <w:pPr>
        <w:ind w:firstLine="748"/>
        <w:jc w:val="both"/>
        <w:rPr>
          <w:noProof/>
          <w:color w:val="FF0000"/>
        </w:rPr>
      </w:pPr>
    </w:p>
    <w:p w:rsidR="003D57F9" w:rsidRPr="0055270D" w:rsidRDefault="003D57F9" w:rsidP="00845C55">
      <w:pPr>
        <w:ind w:firstLine="748"/>
        <w:jc w:val="both"/>
        <w:rPr>
          <w:noProof/>
          <w:color w:val="FF0000"/>
        </w:rPr>
      </w:pPr>
    </w:p>
    <w:p w:rsidR="00942ED9" w:rsidRPr="00C22151" w:rsidRDefault="00942ED9" w:rsidP="00845C55">
      <w:pPr>
        <w:ind w:firstLine="748"/>
        <w:jc w:val="both"/>
        <w:rPr>
          <w:noProof/>
        </w:rPr>
      </w:pPr>
      <w:r w:rsidRPr="00C22151">
        <w:rPr>
          <w:noProof/>
        </w:rPr>
        <w:t>5. diagrama. Bendrasis vidaus produktas, tenkantis 1-am gyventojui</w:t>
      </w:r>
      <w:r w:rsidR="001232DD" w:rsidRPr="00C22151">
        <w:rPr>
          <w:noProof/>
        </w:rPr>
        <w:t xml:space="preserve"> Panevėžio apskrityje</w:t>
      </w:r>
      <w:r w:rsidR="00853117">
        <w:rPr>
          <w:noProof/>
        </w:rPr>
        <w:t xml:space="preserve"> (Lt)</w:t>
      </w:r>
      <w:r w:rsidR="001232DD" w:rsidRPr="00C22151">
        <w:rPr>
          <w:noProof/>
        </w:rPr>
        <w:t>.</w:t>
      </w:r>
    </w:p>
    <w:p w:rsidR="00F8757C" w:rsidRPr="0055270D" w:rsidRDefault="003E03D1" w:rsidP="00845C55">
      <w:pPr>
        <w:ind w:firstLine="748"/>
        <w:jc w:val="both"/>
        <w:rPr>
          <w:noProof/>
          <w:color w:val="FF0000"/>
        </w:rPr>
      </w:pPr>
      <w:r w:rsidRPr="0055270D">
        <w:rPr>
          <w:noProof/>
          <w:color w:val="FF0000"/>
          <w:lang w:val="en-US" w:eastAsia="en-US"/>
        </w:rPr>
        <w:drawing>
          <wp:inline distT="0" distB="0" distL="0" distR="0">
            <wp:extent cx="4152900" cy="182880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3F59" w:rsidRPr="0055270D" w:rsidRDefault="00E63F59" w:rsidP="00845C55">
      <w:pPr>
        <w:ind w:firstLine="748"/>
        <w:jc w:val="both"/>
        <w:rPr>
          <w:noProof/>
          <w:color w:val="FF0000"/>
        </w:rPr>
      </w:pPr>
    </w:p>
    <w:p w:rsidR="00845C55" w:rsidRPr="00DE5705" w:rsidRDefault="00E63F59" w:rsidP="00471FC2">
      <w:pPr>
        <w:ind w:firstLine="748"/>
        <w:jc w:val="both"/>
        <w:rPr>
          <w:noProof/>
        </w:rPr>
      </w:pPr>
      <w:r w:rsidRPr="00C22151">
        <w:t xml:space="preserve">Vienas svarbiausių konkurencingumo rodiklių yra pritraukiamos tiesioginės užsienio investicijos (toliau – </w:t>
      </w:r>
      <w:smartTag w:uri="urn:schemas-microsoft-com:office:smarttags" w:element="stockticker">
        <w:r w:rsidRPr="00C22151">
          <w:t>TUI</w:t>
        </w:r>
      </w:smartTag>
      <w:r w:rsidR="009807B7" w:rsidRPr="00C22151">
        <w:t xml:space="preserve">) šalyje, nes </w:t>
      </w:r>
      <w:smartTag w:uri="urn:schemas-microsoft-com:office:smarttags" w:element="stockticker">
        <w:r w:rsidR="009807B7" w:rsidRPr="00C22151">
          <w:t>TUI</w:t>
        </w:r>
      </w:smartTag>
      <w:r w:rsidR="009807B7" w:rsidRPr="00C22151">
        <w:t xml:space="preserve"> – labai svarbi ekonomikos augimo prielaida. Statistikos departamento duomenimis </w:t>
      </w:r>
      <w:r w:rsidR="0011554D" w:rsidRPr="00C22151">
        <w:t>Panevėžyje</w:t>
      </w:r>
      <w:r w:rsidR="009807B7" w:rsidRPr="00C22151">
        <w:t xml:space="preserve"> 20</w:t>
      </w:r>
      <w:r w:rsidR="0011554D" w:rsidRPr="00C22151">
        <w:t>1</w:t>
      </w:r>
      <w:r w:rsidR="00C22151" w:rsidRPr="00C22151">
        <w:t>2</w:t>
      </w:r>
      <w:r w:rsidR="009807B7" w:rsidRPr="00C22151">
        <w:t xml:space="preserve"> m. buvo sukaupta </w:t>
      </w:r>
      <w:r w:rsidR="00C22151" w:rsidRPr="00C22151">
        <w:t xml:space="preserve">761,4 </w:t>
      </w:r>
      <w:r w:rsidR="0011554D" w:rsidRPr="00C22151">
        <w:t>mln.</w:t>
      </w:r>
      <w:r w:rsidR="009807B7" w:rsidRPr="00C22151">
        <w:t xml:space="preserve"> litų </w:t>
      </w:r>
      <w:smartTag w:uri="urn:schemas-microsoft-com:office:smarttags" w:element="stockticker">
        <w:r w:rsidR="009807B7" w:rsidRPr="00C22151">
          <w:t>TUI</w:t>
        </w:r>
      </w:smartTag>
      <w:r w:rsidR="009807B7" w:rsidRPr="00C22151">
        <w:t xml:space="preserve">, tai sudaro </w:t>
      </w:r>
      <w:r w:rsidR="0035744B" w:rsidRPr="00C22151">
        <w:t>apie 2</w:t>
      </w:r>
      <w:r w:rsidR="009807B7" w:rsidRPr="00C22151">
        <w:t xml:space="preserve"> % šalies </w:t>
      </w:r>
      <w:smartTag w:uri="urn:schemas-microsoft-com:office:smarttags" w:element="stockticker">
        <w:r w:rsidR="009807B7" w:rsidRPr="00C22151">
          <w:t>TUI</w:t>
        </w:r>
      </w:smartTag>
      <w:r w:rsidR="009807B7" w:rsidRPr="00C22151">
        <w:t xml:space="preserve">. </w:t>
      </w:r>
      <w:r w:rsidR="00845C55" w:rsidRPr="00C22151">
        <w:rPr>
          <w:noProof/>
        </w:rPr>
        <w:t xml:space="preserve"> Pagal </w:t>
      </w:r>
      <w:smartTag w:uri="urn:schemas-microsoft-com:office:smarttags" w:element="stockticker">
        <w:r w:rsidR="00845C55" w:rsidRPr="00C22151">
          <w:rPr>
            <w:noProof/>
          </w:rPr>
          <w:t>TUI</w:t>
        </w:r>
      </w:smartTag>
      <w:r w:rsidR="00845C55" w:rsidRPr="00C22151">
        <w:rPr>
          <w:noProof/>
        </w:rPr>
        <w:t xml:space="preserve"> tenkančias vienam gyventojui iš penkių didžiųjų Lietuvos miestų Panevėžys užima 4-ą vietą (</w:t>
      </w:r>
      <w:r w:rsidR="00942ED9" w:rsidRPr="00C22151">
        <w:rPr>
          <w:noProof/>
        </w:rPr>
        <w:t>6</w:t>
      </w:r>
      <w:r w:rsidR="00845C55" w:rsidRPr="00C22151">
        <w:rPr>
          <w:noProof/>
        </w:rPr>
        <w:t xml:space="preserve"> diagrama),</w:t>
      </w:r>
      <w:r w:rsidR="00845C55" w:rsidRPr="0055270D">
        <w:rPr>
          <w:noProof/>
          <w:color w:val="FF0000"/>
        </w:rPr>
        <w:t xml:space="preserve"> </w:t>
      </w:r>
      <w:r w:rsidR="00845C55" w:rsidRPr="00DE5705">
        <w:rPr>
          <w:noProof/>
        </w:rPr>
        <w:t xml:space="preserve">tačiau jos </w:t>
      </w:r>
      <w:r w:rsidR="00DE5705">
        <w:rPr>
          <w:noProof/>
        </w:rPr>
        <w:t xml:space="preserve">beveik du kartus mažesnės nei </w:t>
      </w:r>
      <w:r w:rsidR="00845C55" w:rsidRPr="00DE5705">
        <w:rPr>
          <w:noProof/>
        </w:rPr>
        <w:t>Lietuvos Respublikos vidurki</w:t>
      </w:r>
      <w:r w:rsidR="00DE5705">
        <w:rPr>
          <w:noProof/>
        </w:rPr>
        <w:t xml:space="preserve">s </w:t>
      </w:r>
      <w:r w:rsidR="00474C90" w:rsidRPr="00DE5705">
        <w:rPr>
          <w:noProof/>
        </w:rPr>
        <w:t xml:space="preserve"> (</w:t>
      </w:r>
      <w:r w:rsidR="00DE5705">
        <w:rPr>
          <w:noProof/>
        </w:rPr>
        <w:t>14059 Lt</w:t>
      </w:r>
      <w:r w:rsidR="00474C90" w:rsidRPr="00DE5705">
        <w:rPr>
          <w:noProof/>
        </w:rPr>
        <w:t>)</w:t>
      </w:r>
      <w:r w:rsidR="00845C55" w:rsidRPr="00DE5705">
        <w:rPr>
          <w:noProof/>
        </w:rPr>
        <w:t>.</w:t>
      </w:r>
    </w:p>
    <w:p w:rsidR="00845C55" w:rsidRPr="0055270D" w:rsidRDefault="00845C55" w:rsidP="00845C55">
      <w:pPr>
        <w:ind w:firstLine="748"/>
        <w:jc w:val="both"/>
        <w:rPr>
          <w:noProof/>
          <w:color w:val="FF0000"/>
        </w:rPr>
      </w:pPr>
    </w:p>
    <w:p w:rsidR="00845C55" w:rsidRDefault="00942ED9" w:rsidP="00845C55">
      <w:pPr>
        <w:ind w:firstLine="748"/>
        <w:jc w:val="both"/>
        <w:rPr>
          <w:noProof/>
        </w:rPr>
      </w:pPr>
      <w:r w:rsidRPr="00DE5705">
        <w:rPr>
          <w:noProof/>
        </w:rPr>
        <w:t>6</w:t>
      </w:r>
      <w:r w:rsidR="00845C55" w:rsidRPr="00DE5705">
        <w:rPr>
          <w:noProof/>
        </w:rPr>
        <w:t xml:space="preserve"> diagrama. Tiesioginės užsienio investicijos tenkančios vienam gyventojui, Lt</w:t>
      </w:r>
    </w:p>
    <w:p w:rsidR="00955A2F" w:rsidRPr="00DE5705" w:rsidRDefault="00955A2F" w:rsidP="00845C55">
      <w:pPr>
        <w:ind w:firstLine="748"/>
        <w:jc w:val="both"/>
        <w:rPr>
          <w:noProof/>
        </w:rPr>
      </w:pPr>
    </w:p>
    <w:p w:rsidR="00845C55" w:rsidRPr="0055270D" w:rsidRDefault="00955A2F" w:rsidP="00845C55">
      <w:pPr>
        <w:ind w:firstLine="748"/>
        <w:jc w:val="both"/>
        <w:rPr>
          <w:noProof/>
          <w:color w:val="FF0000"/>
        </w:rPr>
      </w:pPr>
      <w:r w:rsidRPr="00955A2F">
        <w:rPr>
          <w:noProof/>
          <w:color w:val="FF0000"/>
          <w:lang w:val="en-US" w:eastAsia="en-US"/>
        </w:rPr>
        <w:drawing>
          <wp:inline distT="0" distB="0" distL="0" distR="0">
            <wp:extent cx="5095875" cy="2228850"/>
            <wp:effectExtent l="19050" t="0" r="9525" b="0"/>
            <wp:docPr id="2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5705" w:rsidRDefault="00DE5705" w:rsidP="00845C55">
      <w:pPr>
        <w:ind w:firstLine="748"/>
        <w:jc w:val="both"/>
        <w:rPr>
          <w:noProof/>
          <w:color w:val="FF0000"/>
        </w:rPr>
      </w:pPr>
    </w:p>
    <w:p w:rsidR="00955A2F" w:rsidRDefault="00955A2F" w:rsidP="00845C55">
      <w:pPr>
        <w:ind w:firstLine="748"/>
        <w:jc w:val="both"/>
        <w:rPr>
          <w:noProof/>
          <w:color w:val="FF0000"/>
        </w:rPr>
      </w:pPr>
    </w:p>
    <w:p w:rsidR="00955A2F" w:rsidRDefault="00955A2F" w:rsidP="00845C55">
      <w:pPr>
        <w:ind w:firstLine="748"/>
        <w:jc w:val="both"/>
        <w:rPr>
          <w:noProof/>
          <w:color w:val="FF0000"/>
        </w:rPr>
      </w:pPr>
    </w:p>
    <w:p w:rsidR="00845C55" w:rsidRPr="00A12687" w:rsidRDefault="00845C55" w:rsidP="00845C55">
      <w:pPr>
        <w:ind w:firstLine="748"/>
        <w:jc w:val="both"/>
        <w:rPr>
          <w:noProof/>
        </w:rPr>
      </w:pPr>
      <w:r w:rsidRPr="00A12687">
        <w:rPr>
          <w:noProof/>
        </w:rPr>
        <w:t>Panevėžio miesto tiesioginės užsienio investicijos per 5 metus (nuo 200</w:t>
      </w:r>
      <w:r w:rsidR="008936BF" w:rsidRPr="00A12687">
        <w:rPr>
          <w:noProof/>
        </w:rPr>
        <w:t>8</w:t>
      </w:r>
      <w:r w:rsidRPr="00A12687">
        <w:rPr>
          <w:noProof/>
        </w:rPr>
        <w:t xml:space="preserve"> iki 20</w:t>
      </w:r>
      <w:r w:rsidR="00A3762B" w:rsidRPr="00A12687">
        <w:rPr>
          <w:noProof/>
        </w:rPr>
        <w:t>1</w:t>
      </w:r>
      <w:r w:rsidR="008936BF" w:rsidRPr="00A12687">
        <w:rPr>
          <w:noProof/>
        </w:rPr>
        <w:t>2</w:t>
      </w:r>
      <w:r w:rsidR="00A12687">
        <w:rPr>
          <w:noProof/>
        </w:rPr>
        <w:t xml:space="preserve"> </w:t>
      </w:r>
      <w:r w:rsidRPr="00A12687">
        <w:rPr>
          <w:noProof/>
        </w:rPr>
        <w:t xml:space="preserve">m.) </w:t>
      </w:r>
      <w:r w:rsidR="00A3762B" w:rsidRPr="00A12687">
        <w:rPr>
          <w:noProof/>
        </w:rPr>
        <w:t>didėjo</w:t>
      </w:r>
      <w:r w:rsidRPr="00A12687">
        <w:rPr>
          <w:noProof/>
        </w:rPr>
        <w:t xml:space="preserve"> apie </w:t>
      </w:r>
      <w:r w:rsidR="00A12687" w:rsidRPr="00A12687">
        <w:rPr>
          <w:noProof/>
        </w:rPr>
        <w:t xml:space="preserve">50 </w:t>
      </w:r>
      <w:r w:rsidRPr="00A12687">
        <w:rPr>
          <w:noProof/>
        </w:rPr>
        <w:t>proc. (</w:t>
      </w:r>
      <w:r w:rsidR="00942ED9" w:rsidRPr="00A12687">
        <w:rPr>
          <w:noProof/>
        </w:rPr>
        <w:t>7</w:t>
      </w:r>
      <w:r w:rsidRPr="00A12687">
        <w:rPr>
          <w:noProof/>
        </w:rPr>
        <w:t xml:space="preserve"> diagrama).</w:t>
      </w:r>
      <w:r w:rsidR="00465149" w:rsidRPr="00A12687">
        <w:rPr>
          <w:noProof/>
        </w:rPr>
        <w:t xml:space="preserve"> </w:t>
      </w:r>
    </w:p>
    <w:p w:rsidR="00845C55" w:rsidRPr="0055270D" w:rsidRDefault="00845C55" w:rsidP="00465149">
      <w:pPr>
        <w:tabs>
          <w:tab w:val="left" w:pos="3735"/>
        </w:tabs>
        <w:ind w:firstLine="748"/>
        <w:jc w:val="both"/>
        <w:rPr>
          <w:noProof/>
          <w:color w:val="FF0000"/>
        </w:rPr>
      </w:pPr>
      <w:r w:rsidRPr="0055270D">
        <w:rPr>
          <w:noProof/>
          <w:color w:val="FF0000"/>
        </w:rPr>
        <w:t xml:space="preserve"> </w:t>
      </w:r>
      <w:r w:rsidR="00465149" w:rsidRPr="0055270D">
        <w:rPr>
          <w:noProof/>
          <w:color w:val="FF0000"/>
        </w:rPr>
        <w:tab/>
      </w:r>
    </w:p>
    <w:p w:rsidR="00845C55" w:rsidRPr="00A12687" w:rsidRDefault="00942ED9" w:rsidP="00845C55">
      <w:pPr>
        <w:ind w:firstLine="748"/>
        <w:jc w:val="both"/>
        <w:rPr>
          <w:noProof/>
        </w:rPr>
      </w:pPr>
      <w:r w:rsidRPr="00A12687">
        <w:rPr>
          <w:noProof/>
        </w:rPr>
        <w:t>7</w:t>
      </w:r>
      <w:r w:rsidR="00845C55" w:rsidRPr="00A12687">
        <w:rPr>
          <w:noProof/>
        </w:rPr>
        <w:t xml:space="preserve"> diagrama. Tiesioginių užsienio investicijų dinamika Panevėžio mieste</w:t>
      </w:r>
      <w:r w:rsidR="00DB173E" w:rsidRPr="00A12687">
        <w:rPr>
          <w:noProof/>
        </w:rPr>
        <w:t>, tūkst.Lt</w:t>
      </w:r>
    </w:p>
    <w:p w:rsidR="00A12687" w:rsidRPr="0055270D" w:rsidRDefault="00A12687" w:rsidP="00845C55">
      <w:pPr>
        <w:ind w:firstLine="748"/>
        <w:jc w:val="both"/>
        <w:rPr>
          <w:noProof/>
          <w:color w:val="FF0000"/>
        </w:rPr>
      </w:pPr>
    </w:p>
    <w:p w:rsidR="00845C55" w:rsidRPr="0055270D" w:rsidRDefault="003E03D1" w:rsidP="00845C55">
      <w:pPr>
        <w:ind w:firstLine="748"/>
        <w:jc w:val="both"/>
        <w:rPr>
          <w:noProof/>
          <w:color w:val="FF0000"/>
        </w:rPr>
      </w:pPr>
      <w:r w:rsidRPr="0055270D">
        <w:rPr>
          <w:noProof/>
          <w:color w:val="FF0000"/>
          <w:lang w:val="en-US" w:eastAsia="en-US"/>
        </w:rPr>
        <w:drawing>
          <wp:inline distT="0" distB="0" distL="0" distR="0">
            <wp:extent cx="5076825" cy="1724025"/>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428B" w:rsidRPr="002C206A" w:rsidRDefault="00AF428B" w:rsidP="00AF428B">
      <w:pPr>
        <w:ind w:firstLine="748"/>
        <w:jc w:val="both"/>
      </w:pPr>
      <w:r w:rsidRPr="002C206A">
        <w:lastRenderedPageBreak/>
        <w:t xml:space="preserve">Į Panevėžio įmones investuota per 2 proc. viso Lietuvoje investuoto kapitalo. Savo verslo vystymui Panevėžio apskritį pasirinko tokios šalys, kaip Danija, Vokietija, Norvegija,  Estija, </w:t>
      </w:r>
      <w:r w:rsidR="002C206A" w:rsidRPr="002C206A">
        <w:t xml:space="preserve">Prancūzija, Švedija, JK, </w:t>
      </w:r>
      <w:r w:rsidR="00DF4BC3">
        <w:t xml:space="preserve">Latvija, </w:t>
      </w:r>
      <w:r w:rsidR="002C206A" w:rsidRPr="002C206A">
        <w:t>Lenkija</w:t>
      </w:r>
      <w:r w:rsidRPr="002C206A">
        <w:t>. (8 diagrama).</w:t>
      </w:r>
    </w:p>
    <w:p w:rsidR="00AF428B" w:rsidRPr="002C206A" w:rsidRDefault="00AF428B" w:rsidP="00AF428B">
      <w:pPr>
        <w:ind w:firstLine="748"/>
        <w:jc w:val="both"/>
      </w:pPr>
    </w:p>
    <w:p w:rsidR="00AF428B" w:rsidRPr="002C206A" w:rsidRDefault="00AF428B" w:rsidP="00AF428B">
      <w:pPr>
        <w:ind w:firstLine="748"/>
        <w:jc w:val="both"/>
      </w:pPr>
      <w:r w:rsidRPr="002C206A">
        <w:t>8 diagrama. Šalys investuotojos į Panevėžio apskritį 201</w:t>
      </w:r>
      <w:r w:rsidR="00A12687" w:rsidRPr="002C206A">
        <w:t>3</w:t>
      </w:r>
      <w:r w:rsidRPr="002C206A">
        <w:t xml:space="preserve"> metai (mln.</w:t>
      </w:r>
      <w:r w:rsidR="008B1D34" w:rsidRPr="002C206A">
        <w:t xml:space="preserve"> </w:t>
      </w:r>
      <w:r w:rsidRPr="002C206A">
        <w:t>Lt)</w:t>
      </w:r>
    </w:p>
    <w:p w:rsidR="00AF428B" w:rsidRPr="00811507" w:rsidRDefault="002C206A" w:rsidP="00AF428B">
      <w:pPr>
        <w:ind w:firstLine="748"/>
        <w:jc w:val="both"/>
        <w:rPr>
          <w:noProof/>
        </w:rPr>
      </w:pPr>
      <w:r w:rsidRPr="0055270D">
        <w:rPr>
          <w:noProof/>
          <w:color w:val="FF0000"/>
          <w:lang w:val="en-US" w:eastAsia="en-US"/>
        </w:rPr>
        <w:drawing>
          <wp:inline distT="0" distB="0" distL="0" distR="0">
            <wp:extent cx="5915025" cy="1893928"/>
            <wp:effectExtent l="0" t="0" r="0" b="0"/>
            <wp:docPr id="27"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A02EF" w:rsidRPr="00811507">
        <w:t>Naujau</w:t>
      </w:r>
      <w:r w:rsidR="00AF428B" w:rsidRPr="00811507">
        <w:t xml:space="preserve">si materialinių investicijų duomenys rodo, kad  verslas atsargiai vertina ateities perspektyvas. Materialinių investicijų apimtys per paskutinius 5 metus Panevėžio mieste sumažėjo beveik </w:t>
      </w:r>
      <w:r w:rsidR="00811507" w:rsidRPr="00811507">
        <w:t>2</w:t>
      </w:r>
      <w:r w:rsidR="00AF428B" w:rsidRPr="00811507">
        <w:t xml:space="preserve"> kartus. Šio rodiklio mažėjimas stabdo inovacijų ir naujų technologijų diegimą, konkurencingą verslo plėtrą. </w:t>
      </w:r>
    </w:p>
    <w:p w:rsidR="00AF428B" w:rsidRPr="00811507" w:rsidRDefault="00AF428B" w:rsidP="00AF428B">
      <w:pPr>
        <w:ind w:firstLine="748"/>
      </w:pPr>
    </w:p>
    <w:p w:rsidR="00C0558F" w:rsidRPr="00DB173E" w:rsidRDefault="00C0558F" w:rsidP="00C0558F">
      <w:pPr>
        <w:ind w:firstLine="748"/>
        <w:rPr>
          <w:noProof/>
        </w:rPr>
      </w:pPr>
      <w:r>
        <w:rPr>
          <w:noProof/>
        </w:rPr>
        <w:t>Materialinių</w:t>
      </w:r>
      <w:r w:rsidRPr="00DB173E">
        <w:rPr>
          <w:noProof/>
        </w:rPr>
        <w:t xml:space="preserve"> užsienio investicijų dinamika Panevėžio mieste</w:t>
      </w:r>
      <w:r>
        <w:rPr>
          <w:noProof/>
        </w:rPr>
        <w:t>, mln.Lt</w:t>
      </w:r>
      <w:r w:rsidRPr="00DB173E">
        <w:rPr>
          <w:noProof/>
        </w:rPr>
        <w:t>.</w:t>
      </w:r>
    </w:p>
    <w:p w:rsidR="00C0558F" w:rsidRDefault="00C0558F" w:rsidP="00C0558F">
      <w:pPr>
        <w:ind w:firstLine="748"/>
        <w:rPr>
          <w:color w:val="000000"/>
        </w:rPr>
      </w:pPr>
      <w:r>
        <w:rPr>
          <w:noProof/>
          <w:color w:val="4F81BD"/>
          <w:lang w:val="en-US" w:eastAsia="en-US"/>
        </w:rPr>
        <w:drawing>
          <wp:inline distT="0" distB="0" distL="0" distR="0">
            <wp:extent cx="5076825" cy="1724025"/>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B173E" w:rsidRPr="0055270D" w:rsidRDefault="00DB173E" w:rsidP="00DB173E">
      <w:pPr>
        <w:ind w:firstLine="748"/>
        <w:rPr>
          <w:color w:val="FF0000"/>
        </w:rPr>
      </w:pPr>
    </w:p>
    <w:p w:rsidR="00845C55" w:rsidRPr="00E64FB5" w:rsidRDefault="00845C55" w:rsidP="00845C55">
      <w:pPr>
        <w:ind w:firstLine="748"/>
        <w:jc w:val="both"/>
      </w:pPr>
      <w:r w:rsidRPr="00E64FB5">
        <w:rPr>
          <w:noProof/>
        </w:rPr>
        <w:t xml:space="preserve">Siekiant </w:t>
      </w:r>
      <w:r w:rsidR="00465149" w:rsidRPr="00E64FB5">
        <w:rPr>
          <w:noProof/>
        </w:rPr>
        <w:t>plėtoti</w:t>
      </w:r>
      <w:r w:rsidRPr="00E64FB5">
        <w:rPr>
          <w:noProof/>
        </w:rPr>
        <w:t xml:space="preserve"> palankią investicijoms</w:t>
      </w:r>
      <w:r w:rsidR="00465149" w:rsidRPr="00E64FB5">
        <w:rPr>
          <w:noProof/>
        </w:rPr>
        <w:t xml:space="preserve"> ir bendradarbiavimui aplinką</w:t>
      </w:r>
      <w:r w:rsidRPr="00E64FB5">
        <w:rPr>
          <w:noProof/>
        </w:rPr>
        <w:t>,</w:t>
      </w:r>
      <w:r w:rsidR="00234FE0" w:rsidRPr="00E64FB5">
        <w:rPr>
          <w:noProof/>
        </w:rPr>
        <w:t xml:space="preserve"> k</w:t>
      </w:r>
      <w:r w:rsidR="00465149" w:rsidRPr="00E64FB5">
        <w:rPr>
          <w:noProof/>
        </w:rPr>
        <w:t xml:space="preserve">artu su </w:t>
      </w:r>
      <w:r w:rsidRPr="00E64FB5">
        <w:rPr>
          <w:noProof/>
        </w:rPr>
        <w:t xml:space="preserve"> Panevėžio </w:t>
      </w:r>
      <w:r w:rsidRPr="00E64FB5">
        <w:t xml:space="preserve"> prekybos, pramonės ir amatų rūmai</w:t>
      </w:r>
      <w:r w:rsidR="00465149" w:rsidRPr="00E64FB5">
        <w:t>s</w:t>
      </w:r>
      <w:r w:rsidRPr="00E64FB5">
        <w:t xml:space="preserve"> (PPAR) 20</w:t>
      </w:r>
      <w:r w:rsidR="00465149" w:rsidRPr="00E64FB5">
        <w:t>1</w:t>
      </w:r>
      <w:r w:rsidR="003B3532" w:rsidRPr="00E64FB5">
        <w:t>3</w:t>
      </w:r>
      <w:r w:rsidRPr="00E64FB5">
        <w:t xml:space="preserve"> m. organiz</w:t>
      </w:r>
      <w:r w:rsidR="00465149" w:rsidRPr="00E64FB5">
        <w:t>uotos</w:t>
      </w:r>
      <w:r w:rsidR="00731FE7" w:rsidRPr="00E64FB5">
        <w:t xml:space="preserve"> miesto verslininkų misijo</w:t>
      </w:r>
      <w:r w:rsidRPr="00E64FB5">
        <w:t xml:space="preserve">s </w:t>
      </w:r>
      <w:r w:rsidR="00731FE7" w:rsidRPr="00E64FB5">
        <w:t>tikslinėse užsienio rinkose, organizuot</w:t>
      </w:r>
      <w:r w:rsidR="0086595C" w:rsidRPr="00E64FB5">
        <w:t>os konferencijos verslo temomis</w:t>
      </w:r>
      <w:r w:rsidR="00731FE7" w:rsidRPr="00E64FB5">
        <w:t>, dalyvauta tarptautinėje parodoje „</w:t>
      </w:r>
      <w:proofErr w:type="spellStart"/>
      <w:r w:rsidR="00731FE7" w:rsidRPr="00E64FB5">
        <w:t>Expo</w:t>
      </w:r>
      <w:proofErr w:type="spellEnd"/>
      <w:r w:rsidR="00731FE7" w:rsidRPr="00E64FB5">
        <w:t xml:space="preserve"> Aukštaitija</w:t>
      </w:r>
      <w:r w:rsidR="007F0118" w:rsidRPr="00E64FB5">
        <w:t xml:space="preserve"> 201</w:t>
      </w:r>
      <w:r w:rsidR="003B3532" w:rsidRPr="00E64FB5">
        <w:t>3</w:t>
      </w:r>
      <w:r w:rsidR="00731FE7" w:rsidRPr="00E64FB5">
        <w:t>“.</w:t>
      </w:r>
    </w:p>
    <w:p w:rsidR="00731FE7" w:rsidRPr="00E64FB5" w:rsidRDefault="00731FE7" w:rsidP="00845C55">
      <w:pPr>
        <w:ind w:firstLine="748"/>
        <w:jc w:val="both"/>
      </w:pPr>
    </w:p>
    <w:p w:rsidR="00731FE7" w:rsidRPr="00E64FB5" w:rsidRDefault="005251A3" w:rsidP="005251A3">
      <w:pPr>
        <w:jc w:val="both"/>
        <w:rPr>
          <w:rFonts w:eastAsia="Arial Unicode MS"/>
        </w:rPr>
      </w:pPr>
      <w:r w:rsidRPr="0055270D">
        <w:rPr>
          <w:color w:val="FF0000"/>
        </w:rPr>
        <w:tab/>
      </w:r>
      <w:r w:rsidR="00731FE7" w:rsidRPr="00E64FB5">
        <w:t>Stiprinant miesto rinkodarą šalyje ir užsienyje</w:t>
      </w:r>
      <w:r w:rsidR="0020318A" w:rsidRPr="00E64FB5">
        <w:t>,</w:t>
      </w:r>
      <w:r w:rsidR="00731FE7" w:rsidRPr="00E64FB5">
        <w:t xml:space="preserve"> Savivaldybė įgyvendino rinkodaros programą</w:t>
      </w:r>
      <w:r w:rsidR="009125B1" w:rsidRPr="00E64FB5">
        <w:t>, 201</w:t>
      </w:r>
      <w:r w:rsidR="00E64FB5" w:rsidRPr="00E64FB5">
        <w:t>3</w:t>
      </w:r>
      <w:r w:rsidR="009125B1" w:rsidRPr="00E64FB5">
        <w:t xml:space="preserve"> metais tęsiama Laisvės a.</w:t>
      </w:r>
      <w:r w:rsidR="007F0118" w:rsidRPr="00E64FB5">
        <w:t xml:space="preserve"> </w:t>
      </w:r>
      <w:r w:rsidR="009125B1" w:rsidRPr="00E64FB5">
        <w:t>atgaivinimo programa</w:t>
      </w:r>
      <w:r w:rsidR="00731FE7" w:rsidRPr="00E64FB5">
        <w:t xml:space="preserve">. </w:t>
      </w:r>
    </w:p>
    <w:p w:rsidR="00495476" w:rsidRPr="00E64FB5" w:rsidRDefault="00495476" w:rsidP="00495476">
      <w:pPr>
        <w:ind w:firstLine="748"/>
        <w:jc w:val="both"/>
      </w:pPr>
      <w:r w:rsidRPr="00E64FB5">
        <w:t xml:space="preserve">Tobulinant Savivaldybės veiklą,  </w:t>
      </w:r>
      <w:r w:rsidR="002022F4" w:rsidRPr="00E64FB5">
        <w:rPr>
          <w:rFonts w:eastAsia="Arial Unicode MS"/>
        </w:rPr>
        <w:t>201</w:t>
      </w:r>
      <w:r w:rsidR="00E64FB5" w:rsidRPr="00E64FB5">
        <w:rPr>
          <w:rFonts w:eastAsia="Arial Unicode MS"/>
        </w:rPr>
        <w:t>3</w:t>
      </w:r>
      <w:r w:rsidR="00E20E4F" w:rsidRPr="00E64FB5">
        <w:rPr>
          <w:rFonts w:eastAsia="Arial Unicode MS"/>
        </w:rPr>
        <w:t xml:space="preserve"> metais buvo toliau plėtojamos visų lygių viešosios ir administravimo paslaugos viešojoje erdvėje</w:t>
      </w:r>
      <w:r w:rsidR="002022F4" w:rsidRPr="00E64FB5">
        <w:rPr>
          <w:rFonts w:eastAsia="Arial Unicode MS"/>
        </w:rPr>
        <w:t xml:space="preserve">. </w:t>
      </w:r>
    </w:p>
    <w:p w:rsidR="00731FE7" w:rsidRPr="00E64FB5" w:rsidRDefault="000139A5" w:rsidP="00845C55">
      <w:pPr>
        <w:ind w:firstLine="748"/>
        <w:jc w:val="both"/>
        <w:rPr>
          <w:noProof/>
        </w:rPr>
      </w:pPr>
      <w:r w:rsidRPr="00E64FB5">
        <w:rPr>
          <w:noProof/>
        </w:rPr>
        <w:t xml:space="preserve">Strateginiame plane nemažas dėmesys skiriamas </w:t>
      </w:r>
      <w:r w:rsidR="00E20E4F" w:rsidRPr="00E64FB5">
        <w:rPr>
          <w:noProof/>
        </w:rPr>
        <w:t xml:space="preserve">plėtoti E administravimą. </w:t>
      </w:r>
      <w:r w:rsidRPr="00E64FB5">
        <w:rPr>
          <w:noProof/>
        </w:rPr>
        <w:t>201</w:t>
      </w:r>
      <w:r w:rsidR="00E64FB5" w:rsidRPr="00E64FB5">
        <w:rPr>
          <w:noProof/>
        </w:rPr>
        <w:t>3</w:t>
      </w:r>
      <w:r w:rsidRPr="00E64FB5">
        <w:rPr>
          <w:noProof/>
        </w:rPr>
        <w:t xml:space="preserve"> m. </w:t>
      </w:r>
      <w:r w:rsidR="00E64FB5" w:rsidRPr="00E64FB5">
        <w:rPr>
          <w:noProof/>
        </w:rPr>
        <w:t>baigtas</w:t>
      </w:r>
      <w:r w:rsidR="00E20E4F" w:rsidRPr="00E64FB5">
        <w:rPr>
          <w:noProof/>
        </w:rPr>
        <w:t xml:space="preserve"> įgyvendinti</w:t>
      </w:r>
      <w:r w:rsidRPr="00E64FB5">
        <w:rPr>
          <w:noProof/>
        </w:rPr>
        <w:t xml:space="preserve"> projektas </w:t>
      </w:r>
      <w:r w:rsidRPr="00E64FB5">
        <w:rPr>
          <w:bCs/>
          <w:iCs/>
        </w:rPr>
        <w:t>„</w:t>
      </w:r>
      <w:r w:rsidR="00E20E4F" w:rsidRPr="00E64FB5">
        <w:t>Panevėžio miesto savivaldybės dokumentų ir finansų valdymo, apskaitos ir atskaitomybės informacinių sistemų diegimas ir plėtra</w:t>
      </w:r>
      <w:r w:rsidRPr="00E64FB5">
        <w:rPr>
          <w:bCs/>
          <w:iCs/>
        </w:rPr>
        <w:t xml:space="preserve">“. </w:t>
      </w:r>
    </w:p>
    <w:p w:rsidR="00845C55" w:rsidRPr="0055270D" w:rsidRDefault="00845C55" w:rsidP="00845C55">
      <w:pPr>
        <w:ind w:firstLine="748"/>
        <w:jc w:val="both"/>
        <w:rPr>
          <w:color w:val="FF0000"/>
        </w:rPr>
      </w:pPr>
    </w:p>
    <w:p w:rsidR="00AF402B" w:rsidRPr="00C0558F" w:rsidRDefault="005C2893" w:rsidP="00AF402B">
      <w:pPr>
        <w:ind w:firstLine="748"/>
        <w:jc w:val="both"/>
      </w:pPr>
      <w:r w:rsidRPr="00C0558F">
        <w:t>I prioriteto vienas iš tikslų – sudaryti sąlygas smulkiojo ir vidutinio verslo plėtrai. 201</w:t>
      </w:r>
      <w:r w:rsidR="00AF402B" w:rsidRPr="00C0558F">
        <w:t>3</w:t>
      </w:r>
      <w:r w:rsidRPr="00C0558F">
        <w:t xml:space="preserve"> m. toliau plėtojamas Panevėžio pramoninis parkas</w:t>
      </w:r>
      <w:r w:rsidR="00164E07" w:rsidRPr="00C0558F">
        <w:t>.</w:t>
      </w:r>
      <w:r w:rsidRPr="00C0558F">
        <w:t xml:space="preserve"> </w:t>
      </w:r>
      <w:r w:rsidR="00AF402B" w:rsidRPr="00C0558F">
        <w:t xml:space="preserve">2013 m. pasirašytos naujojo vartotojo elektros įrenginių prijungimo prie operatoriaus elektros tinklų ir elektros įrenginių iškėlimo paslaugos sutartys. </w:t>
      </w:r>
      <w:r w:rsidR="00C0558F" w:rsidRPr="00C0558F">
        <w:t xml:space="preserve">Įsipareigojimus planuojama </w:t>
      </w:r>
      <w:r w:rsidR="00AF402B" w:rsidRPr="00C0558F">
        <w:t>įvykdyti 2014 metais.</w:t>
      </w:r>
    </w:p>
    <w:p w:rsidR="00B123CD" w:rsidRPr="00C0558F" w:rsidRDefault="001232DD" w:rsidP="007D7E44">
      <w:pPr>
        <w:ind w:firstLine="748"/>
        <w:jc w:val="both"/>
      </w:pPr>
      <w:r w:rsidRPr="00C0558F">
        <w:t>201</w:t>
      </w:r>
      <w:r w:rsidR="00C0558F" w:rsidRPr="00C0558F">
        <w:t>3</w:t>
      </w:r>
      <w:r w:rsidRPr="00C0558F">
        <w:t xml:space="preserve"> m. </w:t>
      </w:r>
      <w:r w:rsidR="00C0558F" w:rsidRPr="00C0558F">
        <w:t xml:space="preserve">tęsiamas </w:t>
      </w:r>
      <w:r w:rsidRPr="00C0558F">
        <w:t>Panevėžio pramoninio parko rinkodaros projekt</w:t>
      </w:r>
      <w:r w:rsidR="00C0558F" w:rsidRPr="00C0558F">
        <w:t>o įgyvendinimas</w:t>
      </w:r>
      <w:r w:rsidR="00C0558F">
        <w:t>. (p</w:t>
      </w:r>
      <w:r w:rsidRPr="00C0558F">
        <w:t>arengta rinkodaros strategija</w:t>
      </w:r>
      <w:r w:rsidR="003B3264" w:rsidRPr="00C0558F">
        <w:t>, sukurtas filmas, dalyvauta viešinimo renginiuose</w:t>
      </w:r>
      <w:r w:rsidR="00C0558F">
        <w:t>).</w:t>
      </w:r>
    </w:p>
    <w:p w:rsidR="007D7E44" w:rsidRPr="00C41C15" w:rsidRDefault="00C0558F" w:rsidP="007D7E44">
      <w:pPr>
        <w:ind w:firstLine="748"/>
        <w:jc w:val="both"/>
      </w:pPr>
      <w:r w:rsidRPr="00C41C15">
        <w:t xml:space="preserve">Baigtas </w:t>
      </w:r>
      <w:r w:rsidR="00C41C15" w:rsidRPr="00C41C15">
        <w:t xml:space="preserve">įgyvendinti </w:t>
      </w:r>
      <w:r w:rsidR="007D7E44" w:rsidRPr="00C41C15">
        <w:t xml:space="preserve"> projektas  „</w:t>
      </w:r>
      <w:proofErr w:type="spellStart"/>
      <w:r w:rsidR="007D7E44" w:rsidRPr="00C41C15">
        <w:t>Mikrosistemų</w:t>
      </w:r>
      <w:proofErr w:type="spellEnd"/>
      <w:r w:rsidR="007D7E44" w:rsidRPr="00C41C15">
        <w:t xml:space="preserve"> technikos verslo aplinkos vystymas“, kurį įgyvendin</w:t>
      </w:r>
      <w:r w:rsidR="00C41C15" w:rsidRPr="00C41C15">
        <w:t>o</w:t>
      </w:r>
      <w:r w:rsidR="007D7E44" w:rsidRPr="00C41C15">
        <w:t xml:space="preserve"> </w:t>
      </w:r>
      <w:proofErr w:type="spellStart"/>
      <w:r w:rsidR="007D7E44" w:rsidRPr="00C41C15">
        <w:t>VšĮ</w:t>
      </w:r>
      <w:proofErr w:type="spellEnd"/>
      <w:r w:rsidR="007D7E44" w:rsidRPr="00C41C15">
        <w:t xml:space="preserve"> Panevėžio </w:t>
      </w:r>
      <w:proofErr w:type="spellStart"/>
      <w:r w:rsidR="007D7E44" w:rsidRPr="00C41C15">
        <w:t>mechatronikos</w:t>
      </w:r>
      <w:proofErr w:type="spellEnd"/>
      <w:r w:rsidR="007D7E44" w:rsidRPr="00C41C15">
        <w:t xml:space="preserve"> centras (Savivaldybė įsipareigojo skirti dalinį finansavimą).</w:t>
      </w:r>
    </w:p>
    <w:p w:rsidR="007D7E44" w:rsidRPr="00C41C15" w:rsidRDefault="002577FE" w:rsidP="00164E07">
      <w:pPr>
        <w:ind w:firstLine="748"/>
        <w:jc w:val="both"/>
      </w:pPr>
      <w:r w:rsidRPr="00C41C15">
        <w:rPr>
          <w:rFonts w:eastAsia="Arial Unicode MS"/>
        </w:rPr>
        <w:lastRenderedPageBreak/>
        <w:t xml:space="preserve">Strateginiame plėtros plane nemažas dėmesys skiriamas kurti palankią verslui  aplinką, Savivaldybė kartu su partneriais teikė nemokamą informaciją, konsultacijas verslo klausimais, buvo organizuoti mokymai ir seminarai įmonėms inovacijų svarbai propaguoti. </w:t>
      </w:r>
    </w:p>
    <w:p w:rsidR="002577FE" w:rsidRPr="00C41C15" w:rsidRDefault="002577FE" w:rsidP="001232DD">
      <w:pPr>
        <w:ind w:left="113" w:right="89" w:firstLine="635"/>
        <w:jc w:val="both"/>
        <w:rPr>
          <w:rFonts w:eastAsia="Arial Unicode MS"/>
        </w:rPr>
      </w:pPr>
    </w:p>
    <w:p w:rsidR="001232DD" w:rsidRPr="00C41C15" w:rsidRDefault="00DB0C0B" w:rsidP="001232DD">
      <w:pPr>
        <w:ind w:left="113" w:right="89" w:firstLine="635"/>
        <w:jc w:val="both"/>
        <w:rPr>
          <w:noProof/>
        </w:rPr>
      </w:pPr>
      <w:r w:rsidRPr="00C41C15">
        <w:rPr>
          <w:rFonts w:eastAsia="Arial Unicode MS"/>
        </w:rPr>
        <w:t>201</w:t>
      </w:r>
      <w:r w:rsidR="00C41C15" w:rsidRPr="00C41C15">
        <w:rPr>
          <w:rFonts w:eastAsia="Arial Unicode MS"/>
        </w:rPr>
        <w:t>3</w:t>
      </w:r>
      <w:r w:rsidRPr="00C41C15">
        <w:rPr>
          <w:rFonts w:eastAsia="Arial Unicode MS"/>
        </w:rPr>
        <w:t xml:space="preserve"> m. buvo organizuotas Panevėžio miesto geriausios inovacinės įmonės konkursas, </w:t>
      </w:r>
      <w:r w:rsidR="003B3264" w:rsidRPr="00C41C15">
        <w:rPr>
          <w:rFonts w:eastAsia="Arial Unicode MS"/>
        </w:rPr>
        <w:t xml:space="preserve">toliau tęsiama </w:t>
      </w:r>
      <w:r w:rsidRPr="00C41C15">
        <w:rPr>
          <w:rFonts w:eastAsia="Arial Unicode MS"/>
        </w:rPr>
        <w:t xml:space="preserve"> </w:t>
      </w:r>
      <w:proofErr w:type="spellStart"/>
      <w:r w:rsidRPr="00C41C15">
        <w:rPr>
          <w:rFonts w:eastAsia="Arial Unicode MS"/>
        </w:rPr>
        <w:t>FIBA</w:t>
      </w:r>
      <w:r w:rsidR="002B0E6A" w:rsidRPr="00C41C15">
        <w:t>ssociation</w:t>
      </w:r>
      <w:proofErr w:type="spellEnd"/>
      <w:r w:rsidRPr="00C41C15">
        <w:rPr>
          <w:rFonts w:eastAsia="Arial Unicode MS"/>
        </w:rPr>
        <w:t xml:space="preserve"> </w:t>
      </w:r>
      <w:r w:rsidR="003B3264" w:rsidRPr="00C41C15">
        <w:rPr>
          <w:rFonts w:eastAsia="Arial Unicode MS"/>
        </w:rPr>
        <w:t xml:space="preserve">veikla. </w:t>
      </w:r>
      <w:r w:rsidRPr="00C41C15">
        <w:t>(</w:t>
      </w:r>
      <w:proofErr w:type="spellStart"/>
      <w:r w:rsidRPr="00C41C15">
        <w:t>Foreign</w:t>
      </w:r>
      <w:proofErr w:type="spellEnd"/>
      <w:r w:rsidRPr="00C41C15">
        <w:t xml:space="preserve"> </w:t>
      </w:r>
      <w:proofErr w:type="spellStart"/>
      <w:r w:rsidRPr="00C41C15">
        <w:t>In</w:t>
      </w:r>
      <w:r w:rsidR="00560002">
        <w:t>vestment</w:t>
      </w:r>
      <w:proofErr w:type="spellEnd"/>
      <w:r w:rsidRPr="00C41C15">
        <w:t xml:space="preserve"> </w:t>
      </w:r>
      <w:proofErr w:type="spellStart"/>
      <w:r w:rsidRPr="00C41C15">
        <w:t>Business</w:t>
      </w:r>
      <w:proofErr w:type="spellEnd"/>
      <w:r w:rsidRPr="00C41C15">
        <w:t xml:space="preserve"> </w:t>
      </w:r>
      <w:proofErr w:type="spellStart"/>
      <w:r w:rsidRPr="00C41C15">
        <w:t>Association</w:t>
      </w:r>
      <w:proofErr w:type="spellEnd"/>
      <w:r w:rsidRPr="00C41C15">
        <w:t xml:space="preserve">) (Užsienio investuotojų </w:t>
      </w:r>
      <w:r w:rsidR="00CE1ED9" w:rsidRPr="00C41C15">
        <w:t xml:space="preserve">verslo </w:t>
      </w:r>
      <w:r w:rsidRPr="00C41C15">
        <w:t>asociacija</w:t>
      </w:r>
      <w:r w:rsidR="006B33D5" w:rsidRPr="00C41C15">
        <w:t xml:space="preserve">). </w:t>
      </w:r>
      <w:r w:rsidR="003B3264" w:rsidRPr="00C41C15">
        <w:t>201</w:t>
      </w:r>
      <w:r w:rsidR="00C41C15" w:rsidRPr="00C41C15">
        <w:t>3</w:t>
      </w:r>
      <w:r w:rsidR="003B3264" w:rsidRPr="00C41C15">
        <w:t xml:space="preserve"> m. įvyko 6 </w:t>
      </w:r>
      <w:proofErr w:type="spellStart"/>
      <w:r w:rsidR="003B3264" w:rsidRPr="00C41C15">
        <w:t>FIB</w:t>
      </w:r>
      <w:r w:rsidR="003B3264" w:rsidRPr="00C41C15">
        <w:rPr>
          <w:rFonts w:eastAsia="Arial Unicode MS"/>
        </w:rPr>
        <w:t>A</w:t>
      </w:r>
      <w:r w:rsidR="003B3264" w:rsidRPr="00C41C15">
        <w:t>ssociation</w:t>
      </w:r>
      <w:proofErr w:type="spellEnd"/>
      <w:r w:rsidR="003B3264" w:rsidRPr="00C41C15">
        <w:t xml:space="preserve"> renginiai.</w:t>
      </w:r>
    </w:p>
    <w:p w:rsidR="001232DD" w:rsidRPr="00C41C15" w:rsidRDefault="001232DD" w:rsidP="001232DD">
      <w:pPr>
        <w:ind w:left="113" w:firstLine="635"/>
        <w:jc w:val="both"/>
        <w:rPr>
          <w:noProof/>
        </w:rPr>
      </w:pPr>
    </w:p>
    <w:p w:rsidR="001232DD" w:rsidRPr="00580BC4" w:rsidRDefault="001457E6" w:rsidP="001232DD">
      <w:pPr>
        <w:ind w:firstLine="748"/>
        <w:jc w:val="both"/>
      </w:pPr>
      <w:r w:rsidRPr="00580BC4">
        <w:rPr>
          <w:rFonts w:eastAsia="Arial Unicode MS"/>
        </w:rPr>
        <w:t>Kitas</w:t>
      </w:r>
      <w:r w:rsidR="001232DD" w:rsidRPr="00580BC4">
        <w:rPr>
          <w:rFonts w:eastAsia="Arial Unicode MS"/>
        </w:rPr>
        <w:t xml:space="preserve"> I prioriteto tikslų – skatinti darbo vietų kūrimą</w:t>
      </w:r>
      <w:r w:rsidR="006B33D5" w:rsidRPr="00580BC4">
        <w:rPr>
          <w:rFonts w:eastAsia="Arial Unicode MS"/>
        </w:rPr>
        <w:t xml:space="preserve">. </w:t>
      </w:r>
      <w:r w:rsidR="001232DD" w:rsidRPr="00580BC4">
        <w:t>Pagal pa</w:t>
      </w:r>
      <w:r w:rsidR="00740910">
        <w:t>tvirtintą</w:t>
      </w:r>
      <w:r w:rsidR="001232DD" w:rsidRPr="00580BC4">
        <w:t xml:space="preserve"> Panevėžio miesto Viešųjų darbų programą per 20</w:t>
      </w:r>
      <w:r w:rsidR="00724427" w:rsidRPr="00580BC4">
        <w:t>1</w:t>
      </w:r>
      <w:r w:rsidR="00580BC4" w:rsidRPr="00580BC4">
        <w:t>3</w:t>
      </w:r>
      <w:r w:rsidR="001232DD" w:rsidRPr="00580BC4">
        <w:t xml:space="preserve"> metus įdarbinta </w:t>
      </w:r>
      <w:r w:rsidR="00021FF3" w:rsidRPr="00580BC4">
        <w:t>7</w:t>
      </w:r>
      <w:r w:rsidR="00580BC4" w:rsidRPr="00580BC4">
        <w:t>1</w:t>
      </w:r>
      <w:r w:rsidR="00202FCE" w:rsidRPr="00580BC4">
        <w:t>9</w:t>
      </w:r>
      <w:r w:rsidR="001232DD" w:rsidRPr="00580BC4">
        <w:t xml:space="preserve"> Panevėž</w:t>
      </w:r>
      <w:r w:rsidR="006B33D5" w:rsidRPr="00580BC4">
        <w:t xml:space="preserve">io </w:t>
      </w:r>
      <w:r w:rsidRPr="00580BC4">
        <w:t xml:space="preserve">teritorinės </w:t>
      </w:r>
      <w:r w:rsidR="006B33D5" w:rsidRPr="00580BC4">
        <w:t>darbo biržos siųst</w:t>
      </w:r>
      <w:r w:rsidRPr="00580BC4">
        <w:t>ų</w:t>
      </w:r>
      <w:r w:rsidR="006B33D5" w:rsidRPr="00580BC4">
        <w:t xml:space="preserve"> asmen</w:t>
      </w:r>
      <w:r w:rsidRPr="00580BC4">
        <w:t>ų</w:t>
      </w:r>
      <w:r w:rsidR="006B33D5" w:rsidRPr="00580BC4">
        <w:t xml:space="preserve">. </w:t>
      </w:r>
      <w:r w:rsidR="001232DD" w:rsidRPr="00580BC4">
        <w:t xml:space="preserve">Už viešųjų darbų atlikimą iš Savivaldybės biudžeto išmokėta </w:t>
      </w:r>
      <w:r w:rsidR="00580BC4" w:rsidRPr="00580BC4">
        <w:t>745,5</w:t>
      </w:r>
      <w:r w:rsidR="00202FCE" w:rsidRPr="00580BC4">
        <w:t xml:space="preserve"> tūkst.</w:t>
      </w:r>
      <w:r w:rsidR="00580BC4" w:rsidRPr="00580BC4">
        <w:t xml:space="preserve"> </w:t>
      </w:r>
      <w:r w:rsidR="00202FCE" w:rsidRPr="00580BC4">
        <w:t>Lt.</w:t>
      </w:r>
      <w:r w:rsidR="00580BC4">
        <w:t xml:space="preserve"> </w:t>
      </w:r>
      <w:r w:rsidR="001232DD" w:rsidRPr="00580BC4">
        <w:t>Į šių priemonių įgyvendinimą įtrauktos ne tik savivaldos bei valstybinės institucijos, bet ir socialiniai partneriai</w:t>
      </w:r>
      <w:r w:rsidR="006B33D5" w:rsidRPr="00580BC4">
        <w:t xml:space="preserve"> (Darbo birža)</w:t>
      </w:r>
      <w:r w:rsidR="001232DD" w:rsidRPr="00580BC4">
        <w:t xml:space="preserve">. </w:t>
      </w:r>
    </w:p>
    <w:p w:rsidR="008F6506" w:rsidRPr="0055270D" w:rsidRDefault="008F6506" w:rsidP="00164E07">
      <w:pPr>
        <w:ind w:firstLine="748"/>
        <w:jc w:val="both"/>
        <w:rPr>
          <w:color w:val="FF0000"/>
        </w:rPr>
      </w:pPr>
    </w:p>
    <w:p w:rsidR="008F6506" w:rsidRPr="001A5D0F" w:rsidRDefault="00740910" w:rsidP="008F6506">
      <w:pPr>
        <w:ind w:firstLine="748"/>
        <w:jc w:val="both"/>
        <w:rPr>
          <w:noProof/>
        </w:rPr>
      </w:pPr>
      <w:r>
        <w:rPr>
          <w:noProof/>
        </w:rPr>
        <w:t xml:space="preserve">Panevėžio </w:t>
      </w:r>
      <w:r w:rsidR="001232DD" w:rsidRPr="001A5D0F">
        <w:rPr>
          <w:noProof/>
        </w:rPr>
        <w:t>m</w:t>
      </w:r>
      <w:r w:rsidR="008F6506" w:rsidRPr="001A5D0F">
        <w:rPr>
          <w:noProof/>
        </w:rPr>
        <w:t xml:space="preserve">ieste nedarbo lygis </w:t>
      </w:r>
      <w:r>
        <w:rPr>
          <w:noProof/>
        </w:rPr>
        <w:t xml:space="preserve">ketvirti metai iš eilės mažėja </w:t>
      </w:r>
      <w:r w:rsidR="00202FCE" w:rsidRPr="001A5D0F">
        <w:rPr>
          <w:noProof/>
        </w:rPr>
        <w:t xml:space="preserve"> ir per 201</w:t>
      </w:r>
      <w:r w:rsidR="00580BC4" w:rsidRPr="001A5D0F">
        <w:rPr>
          <w:noProof/>
        </w:rPr>
        <w:t>3</w:t>
      </w:r>
      <w:r w:rsidR="00202FCE" w:rsidRPr="001A5D0F">
        <w:rPr>
          <w:noProof/>
        </w:rPr>
        <w:t xml:space="preserve"> metus</w:t>
      </w:r>
      <w:r w:rsidR="008F6506" w:rsidRPr="001A5D0F">
        <w:rPr>
          <w:noProof/>
        </w:rPr>
        <w:t xml:space="preserve"> </w:t>
      </w:r>
      <w:r w:rsidR="00202FCE" w:rsidRPr="001A5D0F">
        <w:rPr>
          <w:noProof/>
        </w:rPr>
        <w:t xml:space="preserve">sudarė </w:t>
      </w:r>
      <w:r w:rsidR="001A5D0F" w:rsidRPr="001A5D0F">
        <w:rPr>
          <w:noProof/>
        </w:rPr>
        <w:t>11,3</w:t>
      </w:r>
      <w:r w:rsidR="008F6506" w:rsidRPr="001A5D0F">
        <w:rPr>
          <w:noProof/>
        </w:rPr>
        <w:t xml:space="preserve">  procento. (žr.</w:t>
      </w:r>
      <w:r w:rsidR="00942ED9" w:rsidRPr="001A5D0F">
        <w:rPr>
          <w:noProof/>
        </w:rPr>
        <w:t>9</w:t>
      </w:r>
      <w:r w:rsidR="008F6506" w:rsidRPr="001A5D0F">
        <w:rPr>
          <w:noProof/>
        </w:rPr>
        <w:t xml:space="preserve"> diagramą). </w:t>
      </w:r>
    </w:p>
    <w:p w:rsidR="00473249" w:rsidRPr="001A5D0F" w:rsidRDefault="00473249" w:rsidP="008F6506">
      <w:pPr>
        <w:ind w:firstLine="748"/>
        <w:jc w:val="both"/>
        <w:rPr>
          <w:noProof/>
        </w:rPr>
      </w:pPr>
    </w:p>
    <w:p w:rsidR="008F6506" w:rsidRPr="001A5D0F" w:rsidRDefault="00942ED9" w:rsidP="008F6506">
      <w:pPr>
        <w:ind w:firstLine="748"/>
        <w:jc w:val="both"/>
        <w:rPr>
          <w:noProof/>
        </w:rPr>
      </w:pPr>
      <w:r w:rsidRPr="001A5D0F">
        <w:rPr>
          <w:noProof/>
        </w:rPr>
        <w:t>9</w:t>
      </w:r>
      <w:r w:rsidR="008F6506" w:rsidRPr="001A5D0F">
        <w:rPr>
          <w:noProof/>
        </w:rPr>
        <w:t xml:space="preserve"> diagrama. Nedarbo lygis Panevėžio mieste, %</w:t>
      </w:r>
    </w:p>
    <w:p w:rsidR="008F6506" w:rsidRPr="0055270D" w:rsidRDefault="003E03D1" w:rsidP="008F6506">
      <w:pPr>
        <w:ind w:firstLine="748"/>
        <w:jc w:val="both"/>
        <w:rPr>
          <w:noProof/>
          <w:color w:val="FF0000"/>
        </w:rPr>
      </w:pPr>
      <w:r w:rsidRPr="0055270D">
        <w:rPr>
          <w:noProof/>
          <w:color w:val="FF0000"/>
          <w:lang w:val="en-US" w:eastAsia="en-US"/>
        </w:rPr>
        <w:drawing>
          <wp:inline distT="0" distB="0" distL="0" distR="0">
            <wp:extent cx="5105400" cy="1828800"/>
            <wp:effectExtent l="0" t="0" r="0" b="0"/>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6506" w:rsidRPr="007319AB" w:rsidRDefault="008F6506" w:rsidP="008F6506">
      <w:pPr>
        <w:ind w:firstLine="748"/>
        <w:jc w:val="both"/>
        <w:rPr>
          <w:noProof/>
        </w:rPr>
      </w:pPr>
      <w:r w:rsidRPr="007319AB">
        <w:t>201</w:t>
      </w:r>
      <w:r w:rsidR="007319AB" w:rsidRPr="007319AB">
        <w:t>3</w:t>
      </w:r>
      <w:r w:rsidRPr="007319AB">
        <w:t xml:space="preserve"> m. Panevėžyje veikė 3</w:t>
      </w:r>
      <w:r w:rsidR="007319AB" w:rsidRPr="007319AB">
        <w:t>323</w:t>
      </w:r>
      <w:r w:rsidRPr="007319AB">
        <w:t xml:space="preserve"> ūkio subjekta</w:t>
      </w:r>
      <w:r w:rsidR="00FD43B1" w:rsidRPr="007319AB">
        <w:t>i</w:t>
      </w:r>
      <w:r w:rsidRPr="007319AB">
        <w:t xml:space="preserve"> ir </w:t>
      </w:r>
      <w:r w:rsidR="00F45903" w:rsidRPr="007319AB">
        <w:t xml:space="preserve">per 5 metus sumažėjo </w:t>
      </w:r>
      <w:r w:rsidR="007319AB" w:rsidRPr="007319AB">
        <w:t>2</w:t>
      </w:r>
      <w:r w:rsidR="00F45903" w:rsidRPr="007319AB">
        <w:t xml:space="preserve"> p</w:t>
      </w:r>
      <w:r w:rsidRPr="007319AB">
        <w:t xml:space="preserve">roc. </w:t>
      </w:r>
      <w:r w:rsidRPr="007319AB">
        <w:rPr>
          <w:noProof/>
        </w:rPr>
        <w:t>(žr.</w:t>
      </w:r>
      <w:r w:rsidR="00031224" w:rsidRPr="007319AB">
        <w:rPr>
          <w:noProof/>
        </w:rPr>
        <w:t>10</w:t>
      </w:r>
      <w:r w:rsidRPr="007319AB">
        <w:rPr>
          <w:noProof/>
        </w:rPr>
        <w:t xml:space="preserve"> diagramą). Mieste dominuoja įmonės, kuriose dirba 1-9 dirbantieji.</w:t>
      </w:r>
    </w:p>
    <w:p w:rsidR="00473249" w:rsidRPr="007319AB" w:rsidRDefault="00473249" w:rsidP="008F6506">
      <w:pPr>
        <w:ind w:firstLine="748"/>
        <w:jc w:val="both"/>
        <w:rPr>
          <w:noProof/>
        </w:rPr>
      </w:pPr>
    </w:p>
    <w:p w:rsidR="008F6506" w:rsidRPr="007319AB" w:rsidRDefault="00031224" w:rsidP="008F6506">
      <w:pPr>
        <w:ind w:firstLine="748"/>
        <w:jc w:val="both"/>
        <w:rPr>
          <w:noProof/>
        </w:rPr>
      </w:pPr>
      <w:r w:rsidRPr="007319AB">
        <w:rPr>
          <w:noProof/>
        </w:rPr>
        <w:t>10</w:t>
      </w:r>
      <w:r w:rsidR="008F6506" w:rsidRPr="007319AB">
        <w:rPr>
          <w:noProof/>
        </w:rPr>
        <w:t xml:space="preserve"> diagrama. Veikiantys ūkio subjektai Panevėžio mieste, vnt.</w:t>
      </w:r>
    </w:p>
    <w:p w:rsidR="008F6506" w:rsidRPr="0055270D" w:rsidRDefault="003E03D1" w:rsidP="008F6506">
      <w:pPr>
        <w:ind w:firstLine="748"/>
        <w:jc w:val="both"/>
        <w:rPr>
          <w:color w:val="FF0000"/>
        </w:rPr>
      </w:pPr>
      <w:r w:rsidRPr="0055270D">
        <w:rPr>
          <w:noProof/>
          <w:color w:val="FF0000"/>
          <w:lang w:val="en-US" w:eastAsia="en-US"/>
        </w:rPr>
        <w:drawing>
          <wp:inline distT="0" distB="0" distL="0" distR="0">
            <wp:extent cx="5372100" cy="1828800"/>
            <wp:effectExtent l="0" t="0" r="0" b="0"/>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B59A5" w:rsidRPr="0055270D" w:rsidRDefault="006B59A5" w:rsidP="00845C55">
      <w:pPr>
        <w:tabs>
          <w:tab w:val="left" w:pos="748"/>
        </w:tabs>
        <w:ind w:left="187" w:firstLine="561"/>
        <w:jc w:val="both"/>
        <w:rPr>
          <w:b/>
          <w:noProof/>
          <w:color w:val="FF0000"/>
        </w:rPr>
      </w:pPr>
    </w:p>
    <w:p w:rsidR="00F45903" w:rsidRPr="00482BAE" w:rsidRDefault="00F45903" w:rsidP="00845C55">
      <w:pPr>
        <w:tabs>
          <w:tab w:val="left" w:pos="748"/>
        </w:tabs>
        <w:ind w:left="187" w:firstLine="561"/>
        <w:jc w:val="both"/>
      </w:pPr>
      <w:r w:rsidRPr="00482BAE">
        <w:t xml:space="preserve">Įmonių skaičius, tenkantis tūkstančiui gyventojų, parodo verslumo lygį. Lietuvos verslumo lygis </w:t>
      </w:r>
      <w:r w:rsidR="00D235B9" w:rsidRPr="00482BAE">
        <w:t xml:space="preserve">2 </w:t>
      </w:r>
      <w:r w:rsidRPr="00482BAE">
        <w:t xml:space="preserve"> kartus mažesnis, nei ES</w:t>
      </w:r>
      <w:r w:rsidR="00D235B9" w:rsidRPr="00482BAE">
        <w:t xml:space="preserve"> (tūkstančiui gyventojų tenka maždaug 55 įmonės)</w:t>
      </w:r>
      <w:r w:rsidRPr="00482BAE">
        <w:t xml:space="preserve">, o Panevėžio mieste verslumo lygis </w:t>
      </w:r>
      <w:r w:rsidR="00CD73FB" w:rsidRPr="00482BAE">
        <w:t xml:space="preserve">yra mažiausias iš 5 didžiųjų miestų ir tūkstančiui gyventojų tenka </w:t>
      </w:r>
      <w:r w:rsidR="00E14B5A" w:rsidRPr="00482BAE">
        <w:t>3</w:t>
      </w:r>
      <w:r w:rsidR="007319AB" w:rsidRPr="00482BAE">
        <w:t>5</w:t>
      </w:r>
      <w:r w:rsidR="00CD73FB" w:rsidRPr="00482BAE">
        <w:t xml:space="preserve"> įmonės.</w:t>
      </w:r>
    </w:p>
    <w:p w:rsidR="00F45903" w:rsidRPr="00482BAE" w:rsidRDefault="00F45903" w:rsidP="00845C55">
      <w:pPr>
        <w:tabs>
          <w:tab w:val="left" w:pos="748"/>
        </w:tabs>
        <w:ind w:left="187" w:firstLine="561"/>
        <w:jc w:val="both"/>
        <w:rPr>
          <w:b/>
          <w:noProof/>
        </w:rPr>
      </w:pPr>
    </w:p>
    <w:p w:rsidR="00845C55" w:rsidRPr="0055270D" w:rsidRDefault="006E14D9" w:rsidP="00845C55">
      <w:pPr>
        <w:tabs>
          <w:tab w:val="left" w:pos="748"/>
        </w:tabs>
        <w:ind w:left="187" w:firstLine="561"/>
        <w:jc w:val="both"/>
        <w:rPr>
          <w:color w:val="FF0000"/>
        </w:rPr>
      </w:pPr>
      <w:r w:rsidRPr="00482BAE">
        <w:rPr>
          <w:b/>
          <w:noProof/>
        </w:rPr>
        <w:t xml:space="preserve">II PRIORITETAS. </w:t>
      </w:r>
      <w:r w:rsidR="005251A3" w:rsidRPr="00482BAE">
        <w:rPr>
          <w:noProof/>
        </w:rPr>
        <w:t>S</w:t>
      </w:r>
      <w:r w:rsidR="005251A3" w:rsidRPr="00482BAE">
        <w:t>veika ir kokybiška gyvenimo aplinka</w:t>
      </w:r>
      <w:r w:rsidR="005251A3" w:rsidRPr="0055270D">
        <w:rPr>
          <w:color w:val="FF0000"/>
        </w:rPr>
        <w:t>.</w:t>
      </w:r>
    </w:p>
    <w:p w:rsidR="00031224" w:rsidRPr="0055270D" w:rsidRDefault="00031224" w:rsidP="00845C55">
      <w:pPr>
        <w:tabs>
          <w:tab w:val="left" w:pos="748"/>
        </w:tabs>
        <w:ind w:left="187" w:firstLine="561"/>
        <w:jc w:val="both"/>
        <w:rPr>
          <w:b/>
          <w:noProof/>
          <w:color w:val="FF0000"/>
        </w:rPr>
      </w:pPr>
    </w:p>
    <w:p w:rsidR="00845C55" w:rsidRPr="00B5787A" w:rsidRDefault="00845C55" w:rsidP="00845C55">
      <w:pPr>
        <w:ind w:firstLine="748"/>
        <w:jc w:val="both"/>
        <w:rPr>
          <w:noProof/>
        </w:rPr>
      </w:pPr>
      <w:r w:rsidRPr="00B5787A">
        <w:rPr>
          <w:noProof/>
        </w:rPr>
        <w:t xml:space="preserve">Strateginio plano II-o prioriteto priemonių vykdymas pavaizduotas </w:t>
      </w:r>
      <w:r w:rsidR="00031224" w:rsidRPr="00B5787A">
        <w:rPr>
          <w:noProof/>
        </w:rPr>
        <w:t>11</w:t>
      </w:r>
      <w:r w:rsidRPr="00B5787A">
        <w:rPr>
          <w:noProof/>
        </w:rPr>
        <w:t xml:space="preserve"> diagramoje.</w:t>
      </w:r>
    </w:p>
    <w:p w:rsidR="00845C55" w:rsidRPr="0055270D" w:rsidRDefault="003E03D1" w:rsidP="00845C55">
      <w:pPr>
        <w:ind w:firstLine="748"/>
        <w:jc w:val="both"/>
        <w:rPr>
          <w:noProof/>
          <w:color w:val="FF0000"/>
        </w:rPr>
      </w:pPr>
      <w:r w:rsidRPr="0055270D">
        <w:rPr>
          <w:noProof/>
          <w:color w:val="FF0000"/>
          <w:lang w:val="en-US" w:eastAsia="en-US"/>
        </w:rPr>
        <w:lastRenderedPageBreak/>
        <w:drawing>
          <wp:inline distT="0" distB="0" distL="0" distR="0">
            <wp:extent cx="4676775" cy="2590800"/>
            <wp:effectExtent l="0" t="0" r="0"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5C55" w:rsidRPr="00B5787A" w:rsidRDefault="00845C55" w:rsidP="00845C55">
      <w:pPr>
        <w:ind w:firstLine="748"/>
        <w:jc w:val="both"/>
        <w:rPr>
          <w:noProof/>
        </w:rPr>
      </w:pPr>
      <w:r w:rsidRPr="00B5787A">
        <w:rPr>
          <w:noProof/>
        </w:rPr>
        <w:t>II prioriteto neįgyvendintos priemonės 20</w:t>
      </w:r>
      <w:r w:rsidR="006E1DF4" w:rsidRPr="00B5787A">
        <w:rPr>
          <w:noProof/>
        </w:rPr>
        <w:t>1</w:t>
      </w:r>
      <w:r w:rsidR="00B5787A" w:rsidRPr="00B5787A">
        <w:rPr>
          <w:noProof/>
        </w:rPr>
        <w:t>3</w:t>
      </w:r>
      <w:r w:rsidRPr="00B5787A">
        <w:rPr>
          <w:noProof/>
        </w:rPr>
        <w:t xml:space="preserve"> m.:</w:t>
      </w:r>
    </w:p>
    <w:p w:rsidR="00B5787A" w:rsidRPr="00740910" w:rsidRDefault="00B5787A" w:rsidP="00B5787A">
      <w:pPr>
        <w:ind w:firstLine="720"/>
        <w:jc w:val="both"/>
        <w:rPr>
          <w:lang w:eastAsia="en-US"/>
        </w:rPr>
      </w:pPr>
      <w:r w:rsidRPr="00740910">
        <w:t xml:space="preserve">2.2.1.2. „Iškelti Panevėžio autobusų stotį iš miesto centro pagal parengtų studijų rekomendacijas. Pakoreguoti miesto maršrutinio viešojo transporto tinklą siekiant užtikrinti patogų ir greitą susisiekimą su naująja autobusų stotimi ir iš jos su miesto centru.“ </w:t>
      </w:r>
      <w:r w:rsidRPr="00740910">
        <w:rPr>
          <w:lang w:eastAsia="en-US"/>
        </w:rPr>
        <w:t xml:space="preserve">2006-04-20 Panevėžio miesto savivaldybės Taryba sprendimu Nr. 1-47-11 patvirtinto „UAB „Panevėžio autobusų parkas“ valdomo nekilnojamo turto optimalaus panaudojimo ir vystymo“ projektą ir jo įgyvendinimui paskelbto konkurso nugalėtoju buvo pripažintas Konsorciumas, kurį sudaro: UAB „Baltijos Investicijų grupė“, UAB „Nevėžio nekilnojamasis turtas“, AB „Panevėžio statybos trestas“, UAB „Lauktuvės jums“ ir UAB „PST investicijos“. </w:t>
      </w:r>
    </w:p>
    <w:p w:rsidR="00B5787A" w:rsidRPr="00740910" w:rsidRDefault="00B5787A" w:rsidP="00B5787A">
      <w:pPr>
        <w:ind w:firstLine="720"/>
        <w:jc w:val="both"/>
        <w:rPr>
          <w:lang w:eastAsia="en-US"/>
        </w:rPr>
      </w:pPr>
      <w:r w:rsidRPr="00740910">
        <w:rPr>
          <w:lang w:eastAsia="en-US"/>
        </w:rPr>
        <w:t xml:space="preserve">2011-10- 27  miesto Taryba patvirtino sklypo detalųjį planą. Įgyvendinant šį projektą turėjo būti parengta Jungtinės veiklos sutartis tarp Konsorciumo ir UAB „Panevėžio autobusų parkas“, kurioje būtų numatyti sąlygos ir terminai pastatyti naują autobusų parko bazę ir, po to, naują autobusų stotį dabartinėje UAB „Panevėžio autobusų parkas“ teritorijoje. </w:t>
      </w:r>
    </w:p>
    <w:p w:rsidR="00B5787A" w:rsidRPr="00740910" w:rsidRDefault="00B5787A" w:rsidP="00B5787A">
      <w:pPr>
        <w:jc w:val="both"/>
        <w:rPr>
          <w:lang w:eastAsia="en-US"/>
        </w:rPr>
      </w:pPr>
      <w:r w:rsidRPr="00740910">
        <w:rPr>
          <w:lang w:eastAsia="en-US"/>
        </w:rPr>
        <w:t xml:space="preserve">Po detaliojo plano patvirtinimo bendrovė daug kartų kreipėsi į Konsorciumo deleguotą projekto įgyvendinimui UAB „Strateginės investicijos“ dėl tolimesnių veiksmų šio projekto įgyvendinimui ir </w:t>
      </w:r>
      <w:proofErr w:type="spellStart"/>
      <w:r w:rsidRPr="00740910">
        <w:rPr>
          <w:lang w:eastAsia="en-US"/>
        </w:rPr>
        <w:t>jun</w:t>
      </w:r>
      <w:r w:rsidR="00740910">
        <w:rPr>
          <w:lang w:eastAsia="en-US"/>
        </w:rPr>
        <w:t>t</w:t>
      </w:r>
      <w:r w:rsidRPr="00740910">
        <w:rPr>
          <w:lang w:eastAsia="en-US"/>
        </w:rPr>
        <w:t>ginės</w:t>
      </w:r>
      <w:proofErr w:type="spellEnd"/>
      <w:r w:rsidRPr="00740910">
        <w:rPr>
          <w:lang w:eastAsia="en-US"/>
        </w:rPr>
        <w:t xml:space="preserve"> veiklos sutarties sudarymo, nurodant konkrečius statybos terminus. Dėl investuotojo neveiklumo, iš esmės tuo klausimu iki šiol nieko nepadaryta. </w:t>
      </w:r>
    </w:p>
    <w:p w:rsidR="00B5787A" w:rsidRPr="00740910" w:rsidRDefault="00B5787A" w:rsidP="00B5787A">
      <w:pPr>
        <w:ind w:firstLine="720"/>
        <w:jc w:val="both"/>
      </w:pPr>
      <w:r w:rsidRPr="00740910">
        <w:t>2013 m. spalio mėn. savivaldybės Taryba patvirtino  2014-2020 m. strateginį planą, kuriame numatė galimybę atlikti Panevėžio autobusų stoties teritorijos konversiją, pritaikant ją verslo skatinimui, komercinei ir bendruomenių veiklai.</w:t>
      </w:r>
    </w:p>
    <w:p w:rsidR="00B5787A" w:rsidRPr="00740910" w:rsidRDefault="00B5787A" w:rsidP="00B5787A">
      <w:pPr>
        <w:ind w:firstLine="720"/>
        <w:jc w:val="both"/>
        <w:rPr>
          <w:color w:val="FF0000"/>
        </w:rPr>
      </w:pPr>
      <w:r w:rsidRPr="00740910">
        <w:t>2.2.2.6. „Sutvarkyti Kraštotyros muziejaus statinių kompleksą ir aplinką.“ Atlikti projektavimo darbai, gautas leidimas statybai.  2013 m. parengtas Panevėžio miesto Kraštotyros muziejaus kiemelio techninis projektas, atlikta projekto ekspertizė, gautas leidimas tvarkybos darbams.  Negavus finansavimo iš Kultūros paveldo departamento, nebuvo skirta ir  iš Savivaldybės biudžeto. Darbai planuojami iš 2014-2020 metų ES SF finansavimo periodo.</w:t>
      </w:r>
    </w:p>
    <w:p w:rsidR="00B5787A" w:rsidRPr="00740910" w:rsidRDefault="00B5787A" w:rsidP="00B5787A">
      <w:pPr>
        <w:ind w:firstLine="720"/>
        <w:jc w:val="both"/>
      </w:pPr>
      <w:r w:rsidRPr="00740910">
        <w:t>2.2.3.2. „Suformuoti miesto centro ir išorės transporto  žiedus,  padidinti tinklo rišlumą ir sukurti papildomą infrastruktūrą transporto srautams nukreipti nuo miesto centro. Nutiesti Jurginų  g., jungiančią Smėlynės g. su Pramonės g.“  Projektui neskirta lėšų.</w:t>
      </w:r>
    </w:p>
    <w:p w:rsidR="00B5787A" w:rsidRPr="00740910" w:rsidRDefault="00B5787A" w:rsidP="00B5787A">
      <w:pPr>
        <w:ind w:firstLine="720"/>
        <w:jc w:val="both"/>
      </w:pPr>
      <w:r w:rsidRPr="00740910">
        <w:t xml:space="preserve">2.2.3.3. „Plėsti automobilių stovėjimo vietų ir jų aikštelių tinklą miesto centre ir daugiaaukščių pastatų rajonuose, išlaisvinant svarbiausių gatvių važiuojamąją dalį nuo stovinčių automobilių, jeigu jie kliudo saugiam eismui ir mažina tinklo pralaidumą.“ 2012- 2013 m. dėl  </w:t>
      </w:r>
      <w:r w:rsidR="00794571">
        <w:t>neskirto finansavimo</w:t>
      </w:r>
      <w:r w:rsidRPr="00740910">
        <w:t xml:space="preserve"> nebuvo įrengta automobilių stovėjimo vietų.</w:t>
      </w:r>
    </w:p>
    <w:p w:rsidR="00B5787A" w:rsidRPr="008E6AAE" w:rsidRDefault="00B5787A" w:rsidP="00B5787A">
      <w:pPr>
        <w:ind w:firstLine="720"/>
        <w:jc w:val="both"/>
      </w:pPr>
      <w:r w:rsidRPr="00740910">
        <w:t>2.3.1.7. „Panevėžio termofikacinės elektrinės II bloko statyba.“ Neskirtas finansavimas nei iš  LR Vyriausybės, nei iš  ES SF.  Pasikeitus situacijai, nėra ekonominės logikos galvoti apie elektrinės II bloko statybą,</w:t>
      </w:r>
      <w:r w:rsidRPr="008E6AAE">
        <w:t xml:space="preserve"> kai elektros energija nesuperkama net iš I bloko.</w:t>
      </w:r>
    </w:p>
    <w:p w:rsidR="0042195F" w:rsidRPr="0055270D" w:rsidRDefault="0042195F" w:rsidP="00845C55">
      <w:pPr>
        <w:ind w:firstLine="748"/>
        <w:jc w:val="both"/>
        <w:rPr>
          <w:noProof/>
          <w:color w:val="FF0000"/>
        </w:rPr>
      </w:pPr>
    </w:p>
    <w:p w:rsidR="00845C55" w:rsidRPr="00D654B8" w:rsidRDefault="00845C55" w:rsidP="00845C55">
      <w:pPr>
        <w:ind w:firstLine="748"/>
        <w:jc w:val="both"/>
        <w:rPr>
          <w:noProof/>
        </w:rPr>
      </w:pPr>
      <w:r w:rsidRPr="00D654B8">
        <w:rPr>
          <w:noProof/>
        </w:rPr>
        <w:t xml:space="preserve">II Prioritetas apima </w:t>
      </w:r>
      <w:r w:rsidR="001E7BEF" w:rsidRPr="00D654B8">
        <w:rPr>
          <w:noProof/>
        </w:rPr>
        <w:t>bendrąjį infrastruktūros gerinimą, energetikos ūkio modernizavimą, aplinkos ir sveikatos infrastruktūros gerinimą.</w:t>
      </w:r>
    </w:p>
    <w:p w:rsidR="00845C55" w:rsidRPr="0055270D" w:rsidRDefault="00845C55" w:rsidP="00845C55">
      <w:pPr>
        <w:ind w:firstLine="748"/>
        <w:jc w:val="both"/>
        <w:rPr>
          <w:noProof/>
          <w:color w:val="FF0000"/>
        </w:rPr>
      </w:pPr>
    </w:p>
    <w:p w:rsidR="00845C55" w:rsidRPr="00D654B8" w:rsidRDefault="00845C55" w:rsidP="00845C55">
      <w:pPr>
        <w:ind w:firstLine="748"/>
        <w:jc w:val="both"/>
        <w:rPr>
          <w:noProof/>
        </w:rPr>
      </w:pPr>
      <w:r w:rsidRPr="00D654B8">
        <w:rPr>
          <w:noProof/>
        </w:rPr>
        <w:lastRenderedPageBreak/>
        <w:t>Statistikos departamento duomenimis gyventojų skaičius 20</w:t>
      </w:r>
      <w:r w:rsidR="00D97226" w:rsidRPr="00D654B8">
        <w:rPr>
          <w:noProof/>
        </w:rPr>
        <w:t>1</w:t>
      </w:r>
      <w:r w:rsidR="00D654B8" w:rsidRPr="00D654B8">
        <w:rPr>
          <w:noProof/>
        </w:rPr>
        <w:t>3</w:t>
      </w:r>
      <w:r w:rsidRPr="00D654B8">
        <w:rPr>
          <w:noProof/>
        </w:rPr>
        <w:t xml:space="preserve"> m. pabaigoje Panevėžio mieste buvo </w:t>
      </w:r>
      <w:r w:rsidR="00F97E16" w:rsidRPr="00D654B8">
        <w:rPr>
          <w:noProof/>
        </w:rPr>
        <w:t>9</w:t>
      </w:r>
      <w:r w:rsidR="004177CB">
        <w:rPr>
          <w:noProof/>
        </w:rPr>
        <w:t>6</w:t>
      </w:r>
      <w:r w:rsidRPr="00D654B8">
        <w:rPr>
          <w:noProof/>
        </w:rPr>
        <w:t xml:space="preserve"> </w:t>
      </w:r>
      <w:r w:rsidR="00D654B8" w:rsidRPr="00D654B8">
        <w:rPr>
          <w:noProof/>
        </w:rPr>
        <w:t>328</w:t>
      </w:r>
      <w:r w:rsidRPr="00D654B8">
        <w:rPr>
          <w:noProof/>
        </w:rPr>
        <w:t xml:space="preserve">  ir, palyginus su 20</w:t>
      </w:r>
      <w:r w:rsidR="00E7311F" w:rsidRPr="00D654B8">
        <w:rPr>
          <w:noProof/>
        </w:rPr>
        <w:t>1</w:t>
      </w:r>
      <w:r w:rsidR="004177CB">
        <w:rPr>
          <w:noProof/>
        </w:rPr>
        <w:t>2</w:t>
      </w:r>
      <w:r w:rsidRPr="00D654B8">
        <w:rPr>
          <w:noProof/>
        </w:rPr>
        <w:t xml:space="preserve"> m. </w:t>
      </w:r>
      <w:r w:rsidR="002C131C" w:rsidRPr="00D654B8">
        <w:rPr>
          <w:noProof/>
        </w:rPr>
        <w:t xml:space="preserve">pabaiga </w:t>
      </w:r>
      <w:r w:rsidRPr="00D654B8">
        <w:rPr>
          <w:noProof/>
        </w:rPr>
        <w:t>(</w:t>
      </w:r>
      <w:r w:rsidR="00D654B8" w:rsidRPr="00D654B8">
        <w:rPr>
          <w:noProof/>
        </w:rPr>
        <w:t>97 343</w:t>
      </w:r>
      <w:r w:rsidRPr="00D654B8">
        <w:rPr>
          <w:noProof/>
        </w:rPr>
        <w:t xml:space="preserve">), sumažėjo </w:t>
      </w:r>
      <w:r w:rsidR="00F97E16" w:rsidRPr="00D654B8">
        <w:rPr>
          <w:noProof/>
        </w:rPr>
        <w:t>1</w:t>
      </w:r>
      <w:r w:rsidRPr="00D654B8">
        <w:rPr>
          <w:noProof/>
        </w:rPr>
        <w:t>,</w:t>
      </w:r>
      <w:r w:rsidR="00D654B8" w:rsidRPr="00D654B8">
        <w:rPr>
          <w:noProof/>
        </w:rPr>
        <w:t>0</w:t>
      </w:r>
      <w:r w:rsidRPr="00D654B8">
        <w:rPr>
          <w:noProof/>
        </w:rPr>
        <w:t xml:space="preserve"> proc. Panevėžyje gyventojų skaičiaus mažėjimas yra </w:t>
      </w:r>
      <w:r w:rsidR="00B738C6" w:rsidRPr="00D654B8">
        <w:rPr>
          <w:noProof/>
        </w:rPr>
        <w:t xml:space="preserve">gana </w:t>
      </w:r>
      <w:r w:rsidRPr="00D654B8">
        <w:rPr>
          <w:noProof/>
        </w:rPr>
        <w:t xml:space="preserve">ženklus, per paskutinius 5 metus gyventojų mieste sumažėjo </w:t>
      </w:r>
      <w:r w:rsidR="00D654B8" w:rsidRPr="00D654B8">
        <w:rPr>
          <w:noProof/>
        </w:rPr>
        <w:t>6773</w:t>
      </w:r>
      <w:r w:rsidRPr="00D654B8">
        <w:rPr>
          <w:noProof/>
        </w:rPr>
        <w:t xml:space="preserve"> arba </w:t>
      </w:r>
      <w:r w:rsidR="00D654B8" w:rsidRPr="00D654B8">
        <w:rPr>
          <w:noProof/>
        </w:rPr>
        <w:t>6,</w:t>
      </w:r>
      <w:r w:rsidR="004177CB">
        <w:rPr>
          <w:noProof/>
        </w:rPr>
        <w:t>6</w:t>
      </w:r>
      <w:r w:rsidRPr="00D654B8">
        <w:rPr>
          <w:noProof/>
        </w:rPr>
        <w:t xml:space="preserve"> proc. (žr.</w:t>
      </w:r>
      <w:r w:rsidR="00B738C6" w:rsidRPr="00D654B8">
        <w:rPr>
          <w:noProof/>
        </w:rPr>
        <w:t>12</w:t>
      </w:r>
      <w:r w:rsidRPr="00D654B8">
        <w:rPr>
          <w:noProof/>
        </w:rPr>
        <w:t xml:space="preserve"> diagramą)</w:t>
      </w:r>
    </w:p>
    <w:p w:rsidR="00473249" w:rsidRPr="00D654B8" w:rsidRDefault="00473249" w:rsidP="00845C55">
      <w:pPr>
        <w:ind w:firstLine="748"/>
        <w:jc w:val="both"/>
        <w:rPr>
          <w:noProof/>
        </w:rPr>
      </w:pPr>
    </w:p>
    <w:p w:rsidR="00845C55" w:rsidRPr="00D654B8" w:rsidRDefault="00B738C6" w:rsidP="00845C55">
      <w:pPr>
        <w:ind w:firstLine="748"/>
        <w:jc w:val="both"/>
        <w:rPr>
          <w:noProof/>
        </w:rPr>
      </w:pPr>
      <w:r w:rsidRPr="00D654B8">
        <w:rPr>
          <w:noProof/>
        </w:rPr>
        <w:t>12</w:t>
      </w:r>
      <w:r w:rsidR="00845C55" w:rsidRPr="00D654B8">
        <w:rPr>
          <w:noProof/>
        </w:rPr>
        <w:t xml:space="preserve"> diagrama. Gyventojų skaičiaus kaita Panevėžio mieste </w:t>
      </w:r>
      <w:r w:rsidR="001F06A8" w:rsidRPr="00D654B8">
        <w:rPr>
          <w:noProof/>
        </w:rPr>
        <w:t>(metų pab.duomenys)</w:t>
      </w:r>
    </w:p>
    <w:p w:rsidR="00845C55" w:rsidRPr="00D654B8" w:rsidRDefault="003E03D1" w:rsidP="00845C55">
      <w:pPr>
        <w:ind w:firstLine="748"/>
        <w:jc w:val="both"/>
        <w:rPr>
          <w:noProof/>
        </w:rPr>
      </w:pPr>
      <w:r w:rsidRPr="0055270D">
        <w:rPr>
          <w:noProof/>
          <w:color w:val="FF0000"/>
          <w:lang w:val="en-US" w:eastAsia="en-US"/>
        </w:rPr>
        <w:drawing>
          <wp:inline distT="0" distB="0" distL="0" distR="0">
            <wp:extent cx="5581650" cy="1828800"/>
            <wp:effectExtent l="0" t="0" r="0" b="0"/>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5251A3" w:rsidRPr="0055270D">
        <w:rPr>
          <w:noProof/>
          <w:color w:val="FF0000"/>
        </w:rPr>
        <w:tab/>
      </w:r>
      <w:r w:rsidR="00845C55" w:rsidRPr="00D654B8">
        <w:rPr>
          <w:noProof/>
        </w:rPr>
        <w:t>20</w:t>
      </w:r>
      <w:r w:rsidR="00B738C6" w:rsidRPr="00D654B8">
        <w:rPr>
          <w:noProof/>
        </w:rPr>
        <w:t>1</w:t>
      </w:r>
      <w:r w:rsidR="00D654B8" w:rsidRPr="00D654B8">
        <w:rPr>
          <w:noProof/>
        </w:rPr>
        <w:t>3</w:t>
      </w:r>
      <w:r w:rsidR="00845C55" w:rsidRPr="00D654B8">
        <w:rPr>
          <w:noProof/>
        </w:rPr>
        <w:t xml:space="preserve"> m. </w:t>
      </w:r>
      <w:r w:rsidR="00392404">
        <w:rPr>
          <w:noProof/>
        </w:rPr>
        <w:t xml:space="preserve">pabaigoje </w:t>
      </w:r>
      <w:r w:rsidR="00845C55" w:rsidRPr="00D654B8">
        <w:rPr>
          <w:noProof/>
        </w:rPr>
        <w:t>vyrai sudarė 4</w:t>
      </w:r>
      <w:r w:rsidR="00392404">
        <w:rPr>
          <w:noProof/>
        </w:rPr>
        <w:t>4</w:t>
      </w:r>
      <w:r w:rsidR="00845C55" w:rsidRPr="00D654B8">
        <w:rPr>
          <w:noProof/>
        </w:rPr>
        <w:t xml:space="preserve"> proc., vaikai iki 15 metų amžiaus – 15 proc., darbingo amžiaus  - 6</w:t>
      </w:r>
      <w:r w:rsidR="00392404">
        <w:rPr>
          <w:noProof/>
        </w:rPr>
        <w:t>1</w:t>
      </w:r>
      <w:r w:rsidR="00845C55" w:rsidRPr="00D654B8">
        <w:rPr>
          <w:noProof/>
        </w:rPr>
        <w:t xml:space="preserve"> proc., pensinio amžiaus – </w:t>
      </w:r>
      <w:r w:rsidR="00392404">
        <w:rPr>
          <w:noProof/>
        </w:rPr>
        <w:t>23</w:t>
      </w:r>
      <w:r w:rsidR="00845C55" w:rsidRPr="00D654B8">
        <w:rPr>
          <w:noProof/>
        </w:rPr>
        <w:t xml:space="preserve"> proc.visų miesto gyventojų. </w:t>
      </w:r>
    </w:p>
    <w:p w:rsidR="00845C55" w:rsidRPr="00D654B8" w:rsidRDefault="00845C55" w:rsidP="00845C55">
      <w:pPr>
        <w:ind w:firstLine="748"/>
        <w:jc w:val="both"/>
        <w:rPr>
          <w:noProof/>
        </w:rPr>
      </w:pPr>
      <w:r w:rsidRPr="00D654B8">
        <w:rPr>
          <w:noProof/>
        </w:rPr>
        <w:t xml:space="preserve">Žemas gimstamumo lygis neužtikrina kartų kaitos. Dėl neigiamos natūralios kaitos gyventojų skaičius sumažėjo </w:t>
      </w:r>
      <w:r w:rsidR="00471E27" w:rsidRPr="00D654B8">
        <w:rPr>
          <w:noProof/>
        </w:rPr>
        <w:t>3</w:t>
      </w:r>
      <w:r w:rsidR="00D654B8" w:rsidRPr="00D654B8">
        <w:rPr>
          <w:noProof/>
        </w:rPr>
        <w:t>18</w:t>
      </w:r>
      <w:r w:rsidRPr="00D654B8">
        <w:rPr>
          <w:noProof/>
        </w:rPr>
        <w:t xml:space="preserve">. </w:t>
      </w:r>
      <w:r w:rsidRPr="00920541">
        <w:rPr>
          <w:noProof/>
        </w:rPr>
        <w:t xml:space="preserve">Gimstamumas, palyginus su ankstesniais metais, </w:t>
      </w:r>
      <w:r w:rsidR="00920541" w:rsidRPr="00920541">
        <w:rPr>
          <w:noProof/>
        </w:rPr>
        <w:t>sumažėjo</w:t>
      </w:r>
      <w:r w:rsidRPr="00920541">
        <w:rPr>
          <w:noProof/>
        </w:rPr>
        <w:t xml:space="preserve"> </w:t>
      </w:r>
      <w:r w:rsidR="00920541" w:rsidRPr="00920541">
        <w:rPr>
          <w:noProof/>
        </w:rPr>
        <w:t xml:space="preserve">7 </w:t>
      </w:r>
      <w:r w:rsidRPr="00920541">
        <w:rPr>
          <w:noProof/>
        </w:rPr>
        <w:t>procent</w:t>
      </w:r>
      <w:r w:rsidR="00363E07" w:rsidRPr="00920541">
        <w:rPr>
          <w:noProof/>
        </w:rPr>
        <w:t>ais</w:t>
      </w:r>
      <w:r w:rsidRPr="00920541">
        <w:rPr>
          <w:noProof/>
        </w:rPr>
        <w:t xml:space="preserve">, o mirštamumas sumažėjo </w:t>
      </w:r>
      <w:r w:rsidR="00920541" w:rsidRPr="00920541">
        <w:rPr>
          <w:noProof/>
        </w:rPr>
        <w:t>5</w:t>
      </w:r>
      <w:r w:rsidR="00D654B8" w:rsidRPr="00920541">
        <w:rPr>
          <w:noProof/>
        </w:rPr>
        <w:t xml:space="preserve"> proc.</w:t>
      </w:r>
      <w:r w:rsidR="00D654B8" w:rsidRPr="00D654B8">
        <w:rPr>
          <w:noProof/>
        </w:rPr>
        <w:t xml:space="preserve"> Į miestą atvyko 1981</w:t>
      </w:r>
      <w:r w:rsidRPr="00D654B8">
        <w:rPr>
          <w:noProof/>
        </w:rPr>
        <w:t xml:space="preserve"> gyventojai, o išvyko </w:t>
      </w:r>
      <w:r w:rsidR="00D654B8" w:rsidRPr="00D654B8">
        <w:rPr>
          <w:noProof/>
        </w:rPr>
        <w:t>2678</w:t>
      </w:r>
      <w:r w:rsidRPr="00D654B8">
        <w:rPr>
          <w:noProof/>
        </w:rPr>
        <w:t xml:space="preserve">, neigiamas migracijos saldo – </w:t>
      </w:r>
      <w:r w:rsidR="00D654B8" w:rsidRPr="00D654B8">
        <w:rPr>
          <w:noProof/>
        </w:rPr>
        <w:t>697</w:t>
      </w:r>
      <w:r w:rsidRPr="00D654B8">
        <w:rPr>
          <w:noProof/>
        </w:rPr>
        <w:t>.</w:t>
      </w:r>
    </w:p>
    <w:p w:rsidR="00845C55" w:rsidRPr="0055270D" w:rsidRDefault="00845C55" w:rsidP="00845C55">
      <w:pPr>
        <w:ind w:firstLine="748"/>
        <w:jc w:val="both"/>
        <w:rPr>
          <w:noProof/>
          <w:color w:val="FF0000"/>
        </w:rPr>
      </w:pPr>
    </w:p>
    <w:p w:rsidR="00F44379" w:rsidRPr="00D654B8" w:rsidRDefault="008539AB" w:rsidP="008539AB">
      <w:pPr>
        <w:ind w:firstLine="748"/>
        <w:jc w:val="both"/>
        <w:rPr>
          <w:rFonts w:eastAsia="Arial Unicode MS"/>
        </w:rPr>
      </w:pPr>
      <w:r w:rsidRPr="00D654B8">
        <w:rPr>
          <w:rFonts w:eastAsia="Arial Unicode MS"/>
        </w:rPr>
        <w:t>201</w:t>
      </w:r>
      <w:r w:rsidR="00D654B8" w:rsidRPr="00D654B8">
        <w:rPr>
          <w:rFonts w:eastAsia="Arial Unicode MS"/>
        </w:rPr>
        <w:t>3</w:t>
      </w:r>
      <w:r w:rsidRPr="00D654B8">
        <w:rPr>
          <w:rFonts w:eastAsia="Arial Unicode MS"/>
        </w:rPr>
        <w:t xml:space="preserve"> m. toliau įgyvendinamas ES SF lėšomis finansuojamas teritorijų planavimo dokumentų parengimas</w:t>
      </w:r>
      <w:r w:rsidR="00F44379" w:rsidRPr="00D654B8">
        <w:rPr>
          <w:rFonts w:eastAsia="Arial Unicode MS"/>
        </w:rPr>
        <w:t xml:space="preserve"> - įgyvendinamas projektas </w:t>
      </w:r>
      <w:r w:rsidR="00F44379" w:rsidRPr="00D654B8">
        <w:rPr>
          <w:sz w:val="22"/>
          <w:szCs w:val="22"/>
        </w:rPr>
        <w:t>„Panevėžio miesto teritorijų planavimo dokumentų rengimas“  II etapa</w:t>
      </w:r>
      <w:r w:rsidR="00D654B8" w:rsidRPr="00D654B8">
        <w:rPr>
          <w:sz w:val="22"/>
          <w:szCs w:val="22"/>
        </w:rPr>
        <w:t>s</w:t>
      </w:r>
      <w:r w:rsidR="00F44379" w:rsidRPr="00D654B8">
        <w:rPr>
          <w:sz w:val="22"/>
          <w:szCs w:val="22"/>
        </w:rPr>
        <w:t xml:space="preserve">. </w:t>
      </w:r>
    </w:p>
    <w:p w:rsidR="00BE0B1A" w:rsidRPr="0055270D" w:rsidRDefault="00BE0B1A" w:rsidP="008539AB">
      <w:pPr>
        <w:ind w:firstLine="748"/>
        <w:jc w:val="both"/>
        <w:rPr>
          <w:rFonts w:eastAsia="Arial Unicode MS"/>
          <w:color w:val="FF0000"/>
        </w:rPr>
      </w:pPr>
    </w:p>
    <w:p w:rsidR="00845C55" w:rsidRPr="00D654B8" w:rsidRDefault="00845C55" w:rsidP="00845C55">
      <w:pPr>
        <w:ind w:firstLine="748"/>
        <w:jc w:val="both"/>
        <w:rPr>
          <w:rFonts w:eastAsia="Arial Unicode MS"/>
        </w:rPr>
      </w:pPr>
      <w:r w:rsidRPr="00D654B8">
        <w:rPr>
          <w:rFonts w:eastAsia="Arial Unicode MS"/>
        </w:rPr>
        <w:t xml:space="preserve">Vienas iš II prioriteto uždavinių – </w:t>
      </w:r>
      <w:r w:rsidR="002F3FF7" w:rsidRPr="00D654B8">
        <w:rPr>
          <w:rFonts w:eastAsia="Arial Unicode MS"/>
        </w:rPr>
        <w:t>paskatinti turizmo paslaugų infrastruktūrą ir plėtrą</w:t>
      </w:r>
      <w:r w:rsidRPr="00D654B8">
        <w:rPr>
          <w:rFonts w:eastAsia="Arial Unicode MS"/>
        </w:rPr>
        <w:t xml:space="preserve">. </w:t>
      </w:r>
    </w:p>
    <w:p w:rsidR="0056283E" w:rsidRPr="00D654B8" w:rsidRDefault="00810A84" w:rsidP="002F3FF7">
      <w:pPr>
        <w:ind w:left="113" w:firstLine="635"/>
        <w:jc w:val="both"/>
      </w:pPr>
      <w:r w:rsidRPr="00D654B8">
        <w:rPr>
          <w:rFonts w:eastAsia="Arial Unicode MS"/>
        </w:rPr>
        <w:t xml:space="preserve">Siekiant įgyvendinti šį uždavinį </w:t>
      </w:r>
      <w:r w:rsidR="002F3FF7" w:rsidRPr="00D654B8">
        <w:rPr>
          <w:rFonts w:eastAsia="Arial Unicode MS"/>
        </w:rPr>
        <w:t>201</w:t>
      </w:r>
      <w:r w:rsidR="00D654B8" w:rsidRPr="00D654B8">
        <w:rPr>
          <w:rFonts w:eastAsia="Arial Unicode MS"/>
        </w:rPr>
        <w:t>3</w:t>
      </w:r>
      <w:r w:rsidR="002F3FF7" w:rsidRPr="00D654B8">
        <w:rPr>
          <w:rFonts w:eastAsia="Arial Unicode MS"/>
        </w:rPr>
        <w:t xml:space="preserve"> m. </w:t>
      </w:r>
      <w:r w:rsidR="00D654B8" w:rsidRPr="00D654B8">
        <w:t>baigtas įgyvendinti projektas</w:t>
      </w:r>
      <w:r w:rsidR="00BE0B1A" w:rsidRPr="00D654B8">
        <w:t xml:space="preserve"> </w:t>
      </w:r>
      <w:r w:rsidRPr="00D654B8">
        <w:t>„Dviračių infrastruktūros modernizavimas Panevėžio mieste“</w:t>
      </w:r>
      <w:r w:rsidR="00D654B8" w:rsidRPr="00D654B8">
        <w:t xml:space="preserve"> </w:t>
      </w:r>
      <w:r w:rsidR="00D654B8">
        <w:t xml:space="preserve"> I etapas. </w:t>
      </w:r>
      <w:r w:rsidR="00D654B8" w:rsidRPr="00D654B8">
        <w:t>Nutiesta 3,7 km dviračių takų</w:t>
      </w:r>
      <w:r w:rsidR="00860AE2" w:rsidRPr="00D654B8">
        <w:t>.</w:t>
      </w:r>
    </w:p>
    <w:p w:rsidR="00845C55" w:rsidRPr="00D654B8" w:rsidRDefault="00BE0B1A" w:rsidP="002F3FF7">
      <w:pPr>
        <w:ind w:left="113" w:firstLine="635"/>
        <w:jc w:val="both"/>
      </w:pPr>
      <w:r w:rsidRPr="0055270D">
        <w:rPr>
          <w:color w:val="FF0000"/>
        </w:rPr>
        <w:t xml:space="preserve"> </w:t>
      </w:r>
      <w:r w:rsidR="00860AE2" w:rsidRPr="00D654B8">
        <w:t>Užbaigtas techninio projekto parengimas</w:t>
      </w:r>
      <w:r w:rsidRPr="00D654B8">
        <w:t xml:space="preserve"> </w:t>
      </w:r>
      <w:r w:rsidR="00810A84" w:rsidRPr="00D654B8">
        <w:t xml:space="preserve"> </w:t>
      </w:r>
      <w:r w:rsidR="00D654B8" w:rsidRPr="00D654B8">
        <w:t xml:space="preserve">ir vykdomi rangos darbai </w:t>
      </w:r>
      <w:r w:rsidR="00810A84" w:rsidRPr="00D654B8">
        <w:rPr>
          <w:sz w:val="20"/>
        </w:rPr>
        <w:t>„</w:t>
      </w:r>
      <w:r w:rsidR="00810A84" w:rsidRPr="00D654B8">
        <w:t xml:space="preserve">Panevėžio miesto dailės galerijos plėtra“. </w:t>
      </w:r>
      <w:r w:rsidR="002F3FF7" w:rsidRPr="00D654B8">
        <w:t>Parengtas ir išleistas informacinis turistams ir lankytojams skirtas leidinys apie Panevėžį.</w:t>
      </w:r>
    </w:p>
    <w:p w:rsidR="002F3FF7" w:rsidRPr="00697803" w:rsidRDefault="002F3FF7" w:rsidP="00845C55">
      <w:pPr>
        <w:ind w:firstLine="748"/>
        <w:jc w:val="both"/>
      </w:pPr>
      <w:r w:rsidRPr="00697803">
        <w:t>Įgyvendinant kitą uždavinį – didinti gamtinių teritorijų patrauklumą</w:t>
      </w:r>
      <w:r w:rsidR="001778D6" w:rsidRPr="00697803">
        <w:t xml:space="preserve"> </w:t>
      </w:r>
      <w:r w:rsidRPr="00697803">
        <w:t xml:space="preserve">- </w:t>
      </w:r>
      <w:r w:rsidR="00B33547" w:rsidRPr="00697803">
        <w:t>201</w:t>
      </w:r>
      <w:r w:rsidR="00697803" w:rsidRPr="00697803">
        <w:t>3</w:t>
      </w:r>
      <w:r w:rsidR="00B33547" w:rsidRPr="00697803">
        <w:t xml:space="preserve"> m. </w:t>
      </w:r>
      <w:r w:rsidR="00BE0B1A" w:rsidRPr="00697803">
        <w:t>įgyvend</w:t>
      </w:r>
      <w:r w:rsidR="00697803" w:rsidRPr="00697803">
        <w:t>intas</w:t>
      </w:r>
      <w:r w:rsidR="00BE0B1A" w:rsidRPr="00697803">
        <w:t xml:space="preserve"> projektas</w:t>
      </w:r>
      <w:r w:rsidRPr="00697803">
        <w:t xml:space="preserve"> „</w:t>
      </w:r>
      <w:proofErr w:type="spellStart"/>
      <w:r w:rsidRPr="00697803">
        <w:t>Molainių</w:t>
      </w:r>
      <w:proofErr w:type="spellEnd"/>
      <w:r w:rsidRPr="00697803">
        <w:t xml:space="preserve"> buvusių filtracijos laukų </w:t>
      </w:r>
      <w:proofErr w:type="spellStart"/>
      <w:r w:rsidRPr="00697803">
        <w:t>rekultivavimas</w:t>
      </w:r>
      <w:proofErr w:type="spellEnd"/>
      <w:r w:rsidRPr="00697803">
        <w:t xml:space="preserve">”. </w:t>
      </w:r>
      <w:r w:rsidR="00697803" w:rsidRPr="00697803">
        <w:t>Sutvarkyta užteršta teritorija ir apsodinta medžiais.</w:t>
      </w:r>
    </w:p>
    <w:p w:rsidR="00845C55" w:rsidRPr="0055270D" w:rsidRDefault="00F03FA5" w:rsidP="00845C55">
      <w:pPr>
        <w:jc w:val="both"/>
        <w:rPr>
          <w:noProof/>
          <w:color w:val="FF0000"/>
        </w:rPr>
      </w:pPr>
      <w:r w:rsidRPr="0055270D">
        <w:rPr>
          <w:noProof/>
          <w:color w:val="FF0000"/>
        </w:rPr>
        <w:tab/>
      </w:r>
      <w:r w:rsidR="00845C55" w:rsidRPr="0055270D">
        <w:rPr>
          <w:noProof/>
          <w:color w:val="FF0000"/>
        </w:rPr>
        <w:tab/>
      </w:r>
      <w:r w:rsidR="00845C55" w:rsidRPr="0055270D">
        <w:rPr>
          <w:noProof/>
          <w:color w:val="FF0000"/>
        </w:rPr>
        <w:tab/>
      </w:r>
    </w:p>
    <w:p w:rsidR="00845C55" w:rsidRPr="0055270D" w:rsidRDefault="008842DE" w:rsidP="008842DE">
      <w:pPr>
        <w:ind w:left="113" w:firstLine="1183"/>
        <w:jc w:val="both"/>
        <w:rPr>
          <w:noProof/>
          <w:color w:val="FF0000"/>
        </w:rPr>
      </w:pPr>
      <w:r w:rsidRPr="00697803">
        <w:rPr>
          <w:noProof/>
        </w:rPr>
        <w:t xml:space="preserve">Nemažas dėmėsys strateginiame plane skiriamas gerinant susisiekimo sistemą. Tuo tikslu toliau </w:t>
      </w:r>
      <w:r w:rsidR="00697803" w:rsidRPr="00697803">
        <w:rPr>
          <w:noProof/>
        </w:rPr>
        <w:t xml:space="preserve">įgyvendintas </w:t>
      </w:r>
      <w:r w:rsidR="00845C55" w:rsidRPr="00697803">
        <w:rPr>
          <w:noProof/>
        </w:rPr>
        <w:t xml:space="preserve"> projekt</w:t>
      </w:r>
      <w:r w:rsidR="00697803" w:rsidRPr="00697803">
        <w:rPr>
          <w:noProof/>
        </w:rPr>
        <w:t>as</w:t>
      </w:r>
      <w:r w:rsidR="00845C55" w:rsidRPr="00697803">
        <w:rPr>
          <w:noProof/>
        </w:rPr>
        <w:t xml:space="preserve"> „Panevėžio miesto žvyruotų gatvių asfaltavimas“ </w:t>
      </w:r>
      <w:r w:rsidRPr="00697803">
        <w:rPr>
          <w:noProof/>
        </w:rPr>
        <w:t xml:space="preserve">II etapo </w:t>
      </w:r>
      <w:r w:rsidR="00845C55" w:rsidRPr="00697803">
        <w:rPr>
          <w:noProof/>
        </w:rPr>
        <w:t>darbai</w:t>
      </w:r>
      <w:r w:rsidR="00697803">
        <w:rPr>
          <w:noProof/>
        </w:rPr>
        <w:t>. Baigta įrengti V.Alanto –J.Tilvyčio žiedinė sankryža.</w:t>
      </w:r>
    </w:p>
    <w:p w:rsidR="00BE0B1A" w:rsidRPr="0055270D" w:rsidRDefault="00BE0B1A" w:rsidP="00BE0B1A">
      <w:pPr>
        <w:jc w:val="both"/>
        <w:rPr>
          <w:noProof/>
          <w:color w:val="FF0000"/>
        </w:rPr>
      </w:pPr>
    </w:p>
    <w:p w:rsidR="00BE0B1A" w:rsidRPr="00697803" w:rsidRDefault="00BE0B1A" w:rsidP="00BE0B1A">
      <w:pPr>
        <w:ind w:firstLine="1296"/>
        <w:jc w:val="both"/>
        <w:rPr>
          <w:noProof/>
        </w:rPr>
      </w:pPr>
      <w:r w:rsidRPr="00697803">
        <w:rPr>
          <w:noProof/>
        </w:rPr>
        <w:t>201</w:t>
      </w:r>
      <w:r w:rsidR="00697803" w:rsidRPr="00697803">
        <w:rPr>
          <w:noProof/>
        </w:rPr>
        <w:t>3</w:t>
      </w:r>
      <w:r w:rsidRPr="00697803">
        <w:rPr>
          <w:noProof/>
        </w:rPr>
        <w:t xml:space="preserve"> metais Panevėžio mieste gatvių ilgis ir tinklo tankis nekito. Bendras gatvių ilgis 201</w:t>
      </w:r>
      <w:r w:rsidR="00697803" w:rsidRPr="00697803">
        <w:rPr>
          <w:noProof/>
        </w:rPr>
        <w:t>3</w:t>
      </w:r>
      <w:r w:rsidRPr="00697803">
        <w:rPr>
          <w:noProof/>
        </w:rPr>
        <w:t xml:space="preserve"> m. buvo 235 km. </w:t>
      </w:r>
    </w:p>
    <w:p w:rsidR="008842DE" w:rsidRPr="0055270D" w:rsidRDefault="008842DE" w:rsidP="008842DE">
      <w:pPr>
        <w:ind w:left="113" w:firstLine="1183"/>
        <w:jc w:val="both"/>
        <w:rPr>
          <w:noProof/>
          <w:color w:val="FF0000"/>
        </w:rPr>
      </w:pPr>
    </w:p>
    <w:p w:rsidR="00845C55" w:rsidRPr="00697803" w:rsidRDefault="00845C55" w:rsidP="00845C55">
      <w:pPr>
        <w:ind w:firstLine="1296"/>
        <w:jc w:val="both"/>
        <w:rPr>
          <w:noProof/>
        </w:rPr>
      </w:pPr>
      <w:r w:rsidRPr="00697803">
        <w:rPr>
          <w:noProof/>
        </w:rPr>
        <w:t>Susisiekimo sąlygos priklauso nuo automobilizacijos lygio bei tokių urbanistinių faktorių, kaip gyventojų ir gatvių infrastruktūros tankis, darbo ir gyvenamosios vietos balanso. Kaip matome 1</w:t>
      </w:r>
      <w:r w:rsidR="008842DE" w:rsidRPr="00697803">
        <w:rPr>
          <w:noProof/>
        </w:rPr>
        <w:t>3</w:t>
      </w:r>
      <w:r w:rsidRPr="00697803">
        <w:rPr>
          <w:noProof/>
        </w:rPr>
        <w:t xml:space="preserve"> diagramoje, automobilizacijos lygis Panevėžio mieste 200</w:t>
      </w:r>
      <w:r w:rsidR="00697803" w:rsidRPr="00697803">
        <w:rPr>
          <w:noProof/>
        </w:rPr>
        <w:t>9</w:t>
      </w:r>
      <w:r w:rsidRPr="00697803">
        <w:rPr>
          <w:noProof/>
        </w:rPr>
        <w:t>-20</w:t>
      </w:r>
      <w:r w:rsidR="00A74300" w:rsidRPr="00697803">
        <w:rPr>
          <w:noProof/>
        </w:rPr>
        <w:t>1</w:t>
      </w:r>
      <w:r w:rsidR="00697803" w:rsidRPr="00697803">
        <w:rPr>
          <w:noProof/>
        </w:rPr>
        <w:t>3</w:t>
      </w:r>
      <w:r w:rsidRPr="00697803">
        <w:rPr>
          <w:noProof/>
        </w:rPr>
        <w:t xml:space="preserve"> metais </w:t>
      </w:r>
      <w:r w:rsidR="008B068B">
        <w:rPr>
          <w:noProof/>
        </w:rPr>
        <w:t>išaugo 7 proc.</w:t>
      </w:r>
      <w:r w:rsidRPr="00697803">
        <w:rPr>
          <w:noProof/>
        </w:rPr>
        <w:t xml:space="preserve"> ir yra </w:t>
      </w:r>
      <w:r w:rsidR="008B068B">
        <w:rPr>
          <w:noProof/>
        </w:rPr>
        <w:t>lygus</w:t>
      </w:r>
      <w:r w:rsidRPr="00697803">
        <w:rPr>
          <w:noProof/>
        </w:rPr>
        <w:t xml:space="preserve"> Lietuvos vidurkiui (</w:t>
      </w:r>
      <w:r w:rsidR="00091B86" w:rsidRPr="00697803">
        <w:rPr>
          <w:noProof/>
        </w:rPr>
        <w:t>541</w:t>
      </w:r>
      <w:r w:rsidRPr="00697803">
        <w:rPr>
          <w:noProof/>
        </w:rPr>
        <w:t xml:space="preserve">). </w:t>
      </w:r>
    </w:p>
    <w:p w:rsidR="00A74300" w:rsidRPr="00697803" w:rsidRDefault="00A74300" w:rsidP="00845C55">
      <w:pPr>
        <w:jc w:val="both"/>
        <w:rPr>
          <w:noProof/>
        </w:rPr>
      </w:pPr>
    </w:p>
    <w:p w:rsidR="00845C55" w:rsidRPr="00697803" w:rsidRDefault="008842DE" w:rsidP="00845C55">
      <w:pPr>
        <w:jc w:val="both"/>
        <w:rPr>
          <w:noProof/>
        </w:rPr>
      </w:pPr>
      <w:r w:rsidRPr="00697803">
        <w:rPr>
          <w:noProof/>
        </w:rPr>
        <w:tab/>
        <w:t>13</w:t>
      </w:r>
      <w:r w:rsidR="00845C55" w:rsidRPr="00697803">
        <w:rPr>
          <w:noProof/>
        </w:rPr>
        <w:t xml:space="preserve"> diagrama. Automobilizacijos lygis (individualių automobilių skaičius /1000-iui gyventojų) Panevėžio mieste </w:t>
      </w:r>
    </w:p>
    <w:p w:rsidR="00845C55" w:rsidRPr="0055270D" w:rsidRDefault="003E03D1" w:rsidP="00845C55">
      <w:pPr>
        <w:jc w:val="both"/>
        <w:rPr>
          <w:noProof/>
          <w:color w:val="FF0000"/>
        </w:rPr>
      </w:pPr>
      <w:r w:rsidRPr="0055270D">
        <w:rPr>
          <w:noProof/>
          <w:color w:val="FF0000"/>
          <w:lang w:val="en-US" w:eastAsia="en-US"/>
        </w:rPr>
        <w:lastRenderedPageBreak/>
        <w:drawing>
          <wp:inline distT="0" distB="0" distL="0" distR="0">
            <wp:extent cx="5200650" cy="1638300"/>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45C55" w:rsidRPr="00697803" w:rsidRDefault="00845C55" w:rsidP="00845C55">
      <w:pPr>
        <w:jc w:val="both"/>
        <w:rPr>
          <w:noProof/>
        </w:rPr>
      </w:pPr>
      <w:r w:rsidRPr="0055270D">
        <w:rPr>
          <w:noProof/>
          <w:color w:val="FF0000"/>
        </w:rPr>
        <w:tab/>
      </w:r>
      <w:r w:rsidRPr="00697803">
        <w:rPr>
          <w:noProof/>
        </w:rPr>
        <w:t xml:space="preserve">Dviračių takų ilgis Panevėžyje per </w:t>
      </w:r>
      <w:r w:rsidR="00A74300" w:rsidRPr="00697803">
        <w:rPr>
          <w:noProof/>
        </w:rPr>
        <w:t xml:space="preserve">paskutinius </w:t>
      </w:r>
      <w:r w:rsidR="00831D92" w:rsidRPr="00697803">
        <w:rPr>
          <w:noProof/>
        </w:rPr>
        <w:t>5</w:t>
      </w:r>
      <w:r w:rsidRPr="00697803">
        <w:rPr>
          <w:noProof/>
        </w:rPr>
        <w:t xml:space="preserve"> metus nekito ir išliko 90 km. </w:t>
      </w:r>
    </w:p>
    <w:p w:rsidR="00845C55" w:rsidRPr="00697803" w:rsidRDefault="00845C55" w:rsidP="00845C55">
      <w:pPr>
        <w:jc w:val="both"/>
        <w:rPr>
          <w:noProof/>
        </w:rPr>
      </w:pPr>
      <w:r w:rsidRPr="00697803">
        <w:rPr>
          <w:noProof/>
        </w:rPr>
        <w:tab/>
      </w:r>
    </w:p>
    <w:p w:rsidR="00845C55" w:rsidRPr="00697803" w:rsidRDefault="00845C55" w:rsidP="008842DE">
      <w:pPr>
        <w:ind w:firstLine="1296"/>
        <w:jc w:val="both"/>
        <w:rPr>
          <w:noProof/>
        </w:rPr>
      </w:pPr>
      <w:r w:rsidRPr="00697803">
        <w:rPr>
          <w:noProof/>
        </w:rPr>
        <w:t>Pajamos už keleivių vežimą visuomeniniu transportu  pavaizduotos 1</w:t>
      </w:r>
      <w:r w:rsidR="008842DE" w:rsidRPr="00697803">
        <w:rPr>
          <w:noProof/>
        </w:rPr>
        <w:t>4</w:t>
      </w:r>
      <w:r w:rsidRPr="00697803">
        <w:rPr>
          <w:noProof/>
        </w:rPr>
        <w:t xml:space="preserve"> diagramoje.</w:t>
      </w:r>
    </w:p>
    <w:p w:rsidR="00845C55" w:rsidRPr="00697803" w:rsidRDefault="00845C55" w:rsidP="008842DE">
      <w:pPr>
        <w:jc w:val="both"/>
        <w:rPr>
          <w:noProof/>
        </w:rPr>
      </w:pPr>
      <w:r w:rsidRPr="00697803">
        <w:rPr>
          <w:noProof/>
        </w:rPr>
        <w:t>1</w:t>
      </w:r>
      <w:r w:rsidR="008842DE" w:rsidRPr="00697803">
        <w:rPr>
          <w:noProof/>
        </w:rPr>
        <w:t>4</w:t>
      </w:r>
      <w:r w:rsidRPr="00697803">
        <w:rPr>
          <w:noProof/>
        </w:rPr>
        <w:t xml:space="preserve"> diagrama. Pajamos už keleivių vežimą visuomeniniu transportu, mln.Lt</w:t>
      </w:r>
      <w:r w:rsidR="008842DE" w:rsidRPr="00697803">
        <w:rPr>
          <w:noProof/>
        </w:rPr>
        <w:t>.</w:t>
      </w:r>
    </w:p>
    <w:p w:rsidR="00845C55" w:rsidRPr="0055270D" w:rsidRDefault="003E03D1" w:rsidP="00845C55">
      <w:pPr>
        <w:ind w:firstLine="1296"/>
        <w:jc w:val="both"/>
        <w:rPr>
          <w:noProof/>
          <w:color w:val="FF0000"/>
        </w:rPr>
      </w:pPr>
      <w:r w:rsidRPr="0055270D">
        <w:rPr>
          <w:noProof/>
          <w:color w:val="FF0000"/>
          <w:lang w:val="en-US" w:eastAsia="en-US"/>
        </w:rPr>
        <w:drawing>
          <wp:inline distT="0" distB="0" distL="0" distR="0">
            <wp:extent cx="4810125" cy="1828800"/>
            <wp:effectExtent l="0" t="0" r="0" b="0"/>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57DB4" w:rsidRPr="006F1607" w:rsidRDefault="00845C55" w:rsidP="00757DB4">
      <w:pPr>
        <w:jc w:val="both"/>
      </w:pPr>
      <w:r w:rsidRPr="0055270D">
        <w:rPr>
          <w:noProof/>
          <w:color w:val="FF0000"/>
        </w:rPr>
        <w:tab/>
      </w:r>
      <w:r w:rsidRPr="006F1607">
        <w:rPr>
          <w:rFonts w:eastAsia="Arial Unicode MS"/>
        </w:rPr>
        <w:t xml:space="preserve">Vienas iš II prioriteto uždavinių – </w:t>
      </w:r>
      <w:r w:rsidR="00ED322B" w:rsidRPr="006F1607">
        <w:rPr>
          <w:rFonts w:eastAsia="Arial Unicode MS"/>
        </w:rPr>
        <w:t>gerinti visuomenės sveikatą</w:t>
      </w:r>
      <w:r w:rsidRPr="006F1607">
        <w:rPr>
          <w:rFonts w:eastAsia="Arial Unicode MS"/>
        </w:rPr>
        <w:t xml:space="preserve">. Tuo tikslu </w:t>
      </w:r>
      <w:r w:rsidR="00282944" w:rsidRPr="006F1607">
        <w:rPr>
          <w:rFonts w:eastAsia="Arial Unicode MS"/>
        </w:rPr>
        <w:t>201</w:t>
      </w:r>
      <w:r w:rsidR="009C527C" w:rsidRPr="006F1607">
        <w:rPr>
          <w:rFonts w:eastAsia="Arial Unicode MS"/>
        </w:rPr>
        <w:t>3</w:t>
      </w:r>
      <w:r w:rsidR="00282944" w:rsidRPr="006F1607">
        <w:rPr>
          <w:rFonts w:eastAsia="Arial Unicode MS"/>
        </w:rPr>
        <w:t xml:space="preserve"> m. </w:t>
      </w:r>
      <w:r w:rsidR="009C527C" w:rsidRPr="006F1607">
        <w:rPr>
          <w:rFonts w:eastAsia="Arial Unicode MS"/>
        </w:rPr>
        <w:t xml:space="preserve">pasirašyta </w:t>
      </w:r>
      <w:r w:rsidR="00ED322B" w:rsidRPr="006F1607">
        <w:rPr>
          <w:rFonts w:eastAsia="Arial Unicode MS"/>
        </w:rPr>
        <w:t xml:space="preserve"> projekt</w:t>
      </w:r>
      <w:r w:rsidR="009C527C" w:rsidRPr="006F1607">
        <w:rPr>
          <w:rFonts w:eastAsia="Arial Unicode MS"/>
        </w:rPr>
        <w:t>o</w:t>
      </w:r>
      <w:r w:rsidR="00ED322B" w:rsidRPr="006F1607">
        <w:rPr>
          <w:rFonts w:eastAsia="Arial Unicode MS"/>
        </w:rPr>
        <w:t xml:space="preserve"> „</w:t>
      </w:r>
      <w:r w:rsidR="009C527C" w:rsidRPr="006F1607">
        <w:rPr>
          <w:rFonts w:eastAsia="Arial Unicode MS"/>
        </w:rPr>
        <w:t>Įkurti psichikos dienos stacionarą Panevėžio miesto poliklinikoje“ finansavimo ir administravimo sutartis. Įgyvendintas projekto „Panevėžio socialinių paslaugų centro paslaugų plėtra“</w:t>
      </w:r>
      <w:r w:rsidR="009C527C" w:rsidRPr="006F1607">
        <w:t xml:space="preserve"> II etapas</w:t>
      </w:r>
      <w:r w:rsidR="000231E1" w:rsidRPr="006F1607">
        <w:t>.</w:t>
      </w:r>
    </w:p>
    <w:p w:rsidR="00ED322B" w:rsidRPr="006F1607" w:rsidRDefault="005B5388" w:rsidP="00757DB4">
      <w:pPr>
        <w:ind w:left="113" w:firstLine="1183"/>
        <w:jc w:val="both"/>
      </w:pPr>
      <w:r w:rsidRPr="006F1607">
        <w:t>Toliau įgyvendinamas projektas „</w:t>
      </w:r>
      <w:r w:rsidR="00ED322B" w:rsidRPr="006F1607">
        <w:t>Panevėžio miesto savivaldybės visuomenės sveikatos priežiūros paslaugų infrastruktūros plėtra“</w:t>
      </w:r>
      <w:r w:rsidR="003A3710" w:rsidRPr="006F1607">
        <w:t>.</w:t>
      </w:r>
      <w:r w:rsidR="004B7778" w:rsidRPr="006F1607">
        <w:t xml:space="preserve"> Projektas įgyvendinamas 2014 m.</w:t>
      </w:r>
      <w:r w:rsidR="00282944" w:rsidRPr="006F1607">
        <w:t xml:space="preserve"> </w:t>
      </w:r>
      <w:proofErr w:type="spellStart"/>
      <w:r w:rsidR="00282944" w:rsidRPr="006F1607">
        <w:t>VšĮ</w:t>
      </w:r>
      <w:proofErr w:type="spellEnd"/>
      <w:r w:rsidR="00282944" w:rsidRPr="006F1607">
        <w:t xml:space="preserve"> Panevėžio </w:t>
      </w:r>
      <w:r w:rsidR="003A3710" w:rsidRPr="006F1607">
        <w:t>slaugos ligoninė tęsia projektą „Palaikomojo gydymo ir slaugos paslaugų kokybės gerinimo Panevėžio miesto savivaldybėje“</w:t>
      </w:r>
      <w:r w:rsidR="00ED322B" w:rsidRPr="006F1607">
        <w:t xml:space="preserve">. </w:t>
      </w:r>
    </w:p>
    <w:p w:rsidR="00ED322B" w:rsidRPr="006F1607" w:rsidRDefault="00ED322B" w:rsidP="00845C55">
      <w:pPr>
        <w:ind w:left="113"/>
        <w:jc w:val="both"/>
        <w:rPr>
          <w:rFonts w:eastAsia="Arial Unicode MS"/>
        </w:rPr>
      </w:pPr>
    </w:p>
    <w:p w:rsidR="00845C55" w:rsidRPr="003A3710" w:rsidRDefault="00845C55" w:rsidP="00845C55">
      <w:pPr>
        <w:ind w:left="113"/>
        <w:jc w:val="both"/>
      </w:pPr>
      <w:r w:rsidRPr="0055270D">
        <w:rPr>
          <w:noProof/>
          <w:color w:val="FF0000"/>
        </w:rPr>
        <w:tab/>
      </w:r>
      <w:r w:rsidRPr="003A3710">
        <w:t>Pagal Statistikos Departamento duomenis, 20</w:t>
      </w:r>
      <w:r w:rsidR="00ED322B" w:rsidRPr="003A3710">
        <w:t>1</w:t>
      </w:r>
      <w:r w:rsidR="003A3710" w:rsidRPr="003A3710">
        <w:t>3</w:t>
      </w:r>
      <w:r w:rsidRPr="003A3710">
        <w:t xml:space="preserve"> m.</w:t>
      </w:r>
      <w:r w:rsidR="00282944" w:rsidRPr="003A3710">
        <w:t xml:space="preserve"> </w:t>
      </w:r>
      <w:r w:rsidRPr="003A3710">
        <w:t xml:space="preserve">pradžiai vienas Panevėžio miesto gyventojas vidutiniškai apsilankė poliklinikose ir ambulatorijose </w:t>
      </w:r>
      <w:r w:rsidR="00A7459D" w:rsidRPr="003A3710">
        <w:t>9,</w:t>
      </w:r>
      <w:r w:rsidR="003A3710" w:rsidRPr="003A3710">
        <w:t>5</w:t>
      </w:r>
      <w:r w:rsidRPr="003A3710">
        <w:t xml:space="preserve"> karto metuose, kai Lietuvos Respublikos tas pats rodiklis- </w:t>
      </w:r>
      <w:r w:rsidR="00A7459D" w:rsidRPr="003A3710">
        <w:t>8</w:t>
      </w:r>
      <w:r w:rsidR="00724427" w:rsidRPr="003A3710">
        <w:t xml:space="preserve"> (ž</w:t>
      </w:r>
      <w:r w:rsidRPr="003A3710">
        <w:t>iūrėti 1</w:t>
      </w:r>
      <w:r w:rsidR="00ED322B" w:rsidRPr="003A3710">
        <w:t>5</w:t>
      </w:r>
      <w:r w:rsidRPr="003A3710">
        <w:t xml:space="preserve"> diagramą</w:t>
      </w:r>
      <w:r w:rsidR="00724427" w:rsidRPr="003A3710">
        <w:t>)</w:t>
      </w:r>
      <w:r w:rsidRPr="003A3710">
        <w:t xml:space="preserve">. </w:t>
      </w:r>
    </w:p>
    <w:p w:rsidR="00845C55" w:rsidRPr="003A3710" w:rsidRDefault="00845C55" w:rsidP="00845C55">
      <w:pPr>
        <w:ind w:left="113"/>
        <w:jc w:val="both"/>
      </w:pPr>
    </w:p>
    <w:p w:rsidR="00845C55" w:rsidRPr="003A3710" w:rsidRDefault="00845C55" w:rsidP="00845C55">
      <w:pPr>
        <w:ind w:left="113"/>
        <w:jc w:val="both"/>
      </w:pPr>
      <w:r w:rsidRPr="003A3710">
        <w:tab/>
        <w:t>1</w:t>
      </w:r>
      <w:r w:rsidR="00ED322B" w:rsidRPr="003A3710">
        <w:t>5</w:t>
      </w:r>
      <w:r w:rsidRPr="003A3710">
        <w:t xml:space="preserve"> diagrama.  Vieno gyventojo vidutinis apsilankymų poliklinikose ir ambulatorijose skaičius.</w:t>
      </w:r>
    </w:p>
    <w:p w:rsidR="00845C55" w:rsidRPr="0055270D" w:rsidRDefault="003E03D1" w:rsidP="00845C55">
      <w:pPr>
        <w:ind w:left="113"/>
        <w:jc w:val="both"/>
        <w:rPr>
          <w:color w:val="FF0000"/>
        </w:rPr>
      </w:pPr>
      <w:r w:rsidRPr="0055270D">
        <w:rPr>
          <w:noProof/>
          <w:color w:val="FF0000"/>
          <w:lang w:val="en-US" w:eastAsia="en-US"/>
        </w:rPr>
        <w:drawing>
          <wp:inline distT="0" distB="0" distL="0" distR="0">
            <wp:extent cx="5600700" cy="1828800"/>
            <wp:effectExtent l="0" t="0" r="0" b="0"/>
            <wp:docPr id="16" name="Objec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45C55" w:rsidRPr="003A3710" w:rsidRDefault="00845C55" w:rsidP="00845C55">
      <w:pPr>
        <w:ind w:left="113"/>
        <w:jc w:val="both"/>
        <w:rPr>
          <w:rFonts w:eastAsia="Arial Unicode MS"/>
        </w:rPr>
      </w:pPr>
      <w:r w:rsidRPr="0055270D">
        <w:rPr>
          <w:color w:val="FF0000"/>
        </w:rPr>
        <w:tab/>
      </w:r>
      <w:r w:rsidRPr="003A3710">
        <w:rPr>
          <w:rFonts w:eastAsia="Arial Unicode MS"/>
        </w:rPr>
        <w:t>Savivaldybės biudžeto išlaidų socialinei apsaugai, globai ir rūpybai Panevėžio mieste dinamiką 200</w:t>
      </w:r>
      <w:r w:rsidR="003A3710" w:rsidRPr="003A3710">
        <w:rPr>
          <w:rFonts w:eastAsia="Arial Unicode MS"/>
        </w:rPr>
        <w:t>9</w:t>
      </w:r>
      <w:r w:rsidRPr="003A3710">
        <w:rPr>
          <w:rFonts w:eastAsia="Arial Unicode MS"/>
        </w:rPr>
        <w:t>-20</w:t>
      </w:r>
      <w:r w:rsidR="00A901D2" w:rsidRPr="003A3710">
        <w:rPr>
          <w:rFonts w:eastAsia="Arial Unicode MS"/>
        </w:rPr>
        <w:t>1</w:t>
      </w:r>
      <w:r w:rsidR="003A3710" w:rsidRPr="003A3710">
        <w:rPr>
          <w:rFonts w:eastAsia="Arial Unicode MS"/>
        </w:rPr>
        <w:t>3</w:t>
      </w:r>
      <w:r w:rsidRPr="003A3710">
        <w:rPr>
          <w:rFonts w:eastAsia="Arial Unicode MS"/>
        </w:rPr>
        <w:t xml:space="preserve"> m. galima matyti 1</w:t>
      </w:r>
      <w:r w:rsidR="00A901D2" w:rsidRPr="003A3710">
        <w:rPr>
          <w:rFonts w:eastAsia="Arial Unicode MS"/>
        </w:rPr>
        <w:t>6</w:t>
      </w:r>
      <w:r w:rsidRPr="003A3710">
        <w:rPr>
          <w:rFonts w:eastAsia="Arial Unicode MS"/>
        </w:rPr>
        <w:t xml:space="preserve"> diagramoje.</w:t>
      </w:r>
    </w:p>
    <w:p w:rsidR="00845C55" w:rsidRPr="003A3710" w:rsidRDefault="00845C55" w:rsidP="00845C55">
      <w:pPr>
        <w:ind w:left="113" w:firstLine="1183"/>
        <w:jc w:val="both"/>
        <w:rPr>
          <w:rFonts w:eastAsia="Arial Unicode MS"/>
        </w:rPr>
      </w:pPr>
    </w:p>
    <w:p w:rsidR="00D34D5A" w:rsidRDefault="00D34D5A" w:rsidP="00845C55">
      <w:pPr>
        <w:ind w:left="113" w:firstLine="1183"/>
        <w:jc w:val="both"/>
        <w:rPr>
          <w:rFonts w:eastAsia="Arial Unicode MS"/>
        </w:rPr>
      </w:pPr>
    </w:p>
    <w:p w:rsidR="00845C55" w:rsidRPr="003A3710" w:rsidRDefault="00845C55" w:rsidP="00845C55">
      <w:pPr>
        <w:ind w:left="113" w:firstLine="1183"/>
        <w:jc w:val="both"/>
        <w:rPr>
          <w:rFonts w:eastAsia="Arial Unicode MS"/>
        </w:rPr>
      </w:pPr>
      <w:r w:rsidRPr="003A3710">
        <w:rPr>
          <w:rFonts w:eastAsia="Arial Unicode MS"/>
        </w:rPr>
        <w:lastRenderedPageBreak/>
        <w:t>1</w:t>
      </w:r>
      <w:r w:rsidR="00A901D2" w:rsidRPr="003A3710">
        <w:rPr>
          <w:rFonts w:eastAsia="Arial Unicode MS"/>
        </w:rPr>
        <w:t>6</w:t>
      </w:r>
      <w:r w:rsidRPr="003A3710">
        <w:rPr>
          <w:rFonts w:eastAsia="Arial Unicode MS"/>
        </w:rPr>
        <w:t xml:space="preserve"> diagrama. Savivaldybės biudžeto išlaidos socialinei apsaugai, globai </w:t>
      </w:r>
      <w:r w:rsidR="00083811">
        <w:rPr>
          <w:rFonts w:eastAsia="Arial Unicode MS"/>
        </w:rPr>
        <w:t xml:space="preserve">ir </w:t>
      </w:r>
      <w:r w:rsidRPr="003A3710">
        <w:rPr>
          <w:rFonts w:eastAsia="Arial Unicode MS"/>
        </w:rPr>
        <w:t>rūpybai Panevėžio mieste, tūkst.</w:t>
      </w:r>
      <w:r w:rsidR="003A3710">
        <w:rPr>
          <w:rFonts w:eastAsia="Arial Unicode MS"/>
        </w:rPr>
        <w:t xml:space="preserve"> </w:t>
      </w:r>
      <w:r w:rsidRPr="003A3710">
        <w:rPr>
          <w:rFonts w:eastAsia="Arial Unicode MS"/>
        </w:rPr>
        <w:t>Lt</w:t>
      </w:r>
    </w:p>
    <w:p w:rsidR="00845C55" w:rsidRPr="0055270D" w:rsidRDefault="003E03D1" w:rsidP="00845C55">
      <w:pPr>
        <w:ind w:left="113"/>
        <w:jc w:val="both"/>
        <w:rPr>
          <w:rFonts w:eastAsia="Arial Unicode MS"/>
          <w:color w:val="FF0000"/>
        </w:rPr>
      </w:pPr>
      <w:r w:rsidRPr="0055270D">
        <w:rPr>
          <w:rFonts w:eastAsia="Arial Unicode MS"/>
          <w:noProof/>
          <w:color w:val="FF0000"/>
          <w:lang w:val="en-US" w:eastAsia="en-US"/>
        </w:rPr>
        <w:drawing>
          <wp:inline distT="0" distB="0" distL="0" distR="0">
            <wp:extent cx="5715000" cy="1600200"/>
            <wp:effectExtent l="0" t="0" r="0" b="0"/>
            <wp:docPr id="17" name="Objec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901D2" w:rsidRPr="0055270D" w:rsidRDefault="00A901D2" w:rsidP="00845C55">
      <w:pPr>
        <w:ind w:firstLine="748"/>
        <w:jc w:val="both"/>
        <w:rPr>
          <w:noProof/>
          <w:color w:val="FF0000"/>
        </w:rPr>
      </w:pPr>
    </w:p>
    <w:p w:rsidR="0078626B" w:rsidRPr="008214B9" w:rsidRDefault="00EB25F3" w:rsidP="0078626B">
      <w:pPr>
        <w:rPr>
          <w:b/>
          <w:caps/>
          <w:sz w:val="20"/>
        </w:rPr>
      </w:pPr>
      <w:smartTag w:uri="urn:schemas-microsoft-com:office:smarttags" w:element="stockticker">
        <w:r w:rsidRPr="008214B9">
          <w:rPr>
            <w:b/>
            <w:noProof/>
          </w:rPr>
          <w:t>III</w:t>
        </w:r>
      </w:smartTag>
      <w:r w:rsidRPr="008214B9">
        <w:rPr>
          <w:b/>
          <w:noProof/>
        </w:rPr>
        <w:t xml:space="preserve"> prioritetas.</w:t>
      </w:r>
      <w:r w:rsidR="0078626B" w:rsidRPr="008214B9">
        <w:rPr>
          <w:b/>
          <w:noProof/>
        </w:rPr>
        <w:t xml:space="preserve"> </w:t>
      </w:r>
      <w:r w:rsidR="00FB264C" w:rsidRPr="008214B9">
        <w:rPr>
          <w:noProof/>
        </w:rPr>
        <w:t xml:space="preserve">Produktyvūs </w:t>
      </w:r>
      <w:r w:rsidR="005251A3" w:rsidRPr="008214B9">
        <w:t xml:space="preserve"> ir konkurencingi žmogiškieji ištekliai</w:t>
      </w:r>
      <w:r w:rsidR="0078626B" w:rsidRPr="008214B9">
        <w:rPr>
          <w:b/>
          <w:caps/>
          <w:sz w:val="20"/>
        </w:rPr>
        <w:t>.</w:t>
      </w:r>
    </w:p>
    <w:p w:rsidR="00CE35F6" w:rsidRPr="008214B9" w:rsidRDefault="00CE35F6" w:rsidP="00CE35F6">
      <w:pPr>
        <w:pStyle w:val="Footer"/>
        <w:tabs>
          <w:tab w:val="clear" w:pos="4153"/>
          <w:tab w:val="clear" w:pos="8306"/>
        </w:tabs>
        <w:ind w:firstLine="748"/>
        <w:jc w:val="both"/>
        <w:outlineLvl w:val="0"/>
      </w:pPr>
      <w:smartTag w:uri="urn:schemas-microsoft-com:office:smarttags" w:element="stockticker">
        <w:r w:rsidRPr="008214B9">
          <w:t>III</w:t>
        </w:r>
      </w:smartTag>
      <w:r w:rsidRPr="008214B9">
        <w:t xml:space="preserve"> prioritetas apima švietimą, kultūrą ir sportą. </w:t>
      </w:r>
    </w:p>
    <w:p w:rsidR="00A901D2" w:rsidRPr="008214B9" w:rsidRDefault="00A901D2" w:rsidP="00845C55">
      <w:pPr>
        <w:ind w:firstLine="748"/>
        <w:jc w:val="both"/>
        <w:rPr>
          <w:b/>
          <w:noProof/>
        </w:rPr>
      </w:pPr>
    </w:p>
    <w:p w:rsidR="00845C55" w:rsidRPr="008214B9" w:rsidRDefault="00845C55" w:rsidP="00845C55">
      <w:pPr>
        <w:ind w:firstLine="748"/>
        <w:jc w:val="both"/>
        <w:rPr>
          <w:noProof/>
        </w:rPr>
      </w:pPr>
      <w:r w:rsidRPr="008214B9">
        <w:rPr>
          <w:noProof/>
        </w:rPr>
        <w:t xml:space="preserve">Strateginio plano </w:t>
      </w:r>
      <w:smartTag w:uri="urn:schemas-microsoft-com:office:smarttags" w:element="stockticker">
        <w:r w:rsidRPr="008214B9">
          <w:rPr>
            <w:noProof/>
          </w:rPr>
          <w:t>I</w:t>
        </w:r>
        <w:r w:rsidR="0078626B" w:rsidRPr="008214B9">
          <w:rPr>
            <w:noProof/>
          </w:rPr>
          <w:t>II</w:t>
        </w:r>
      </w:smartTag>
      <w:r w:rsidRPr="008214B9">
        <w:rPr>
          <w:noProof/>
        </w:rPr>
        <w:t>-</w:t>
      </w:r>
      <w:r w:rsidR="001778D6" w:rsidRPr="008214B9">
        <w:rPr>
          <w:noProof/>
        </w:rPr>
        <w:t>i</w:t>
      </w:r>
      <w:r w:rsidRPr="008214B9">
        <w:rPr>
          <w:noProof/>
        </w:rPr>
        <w:t xml:space="preserve">o prioriteto priemonių vykdymas pavaizduotas </w:t>
      </w:r>
      <w:r w:rsidR="0078626B" w:rsidRPr="008214B9">
        <w:rPr>
          <w:noProof/>
        </w:rPr>
        <w:t>17</w:t>
      </w:r>
      <w:r w:rsidRPr="008214B9">
        <w:rPr>
          <w:noProof/>
        </w:rPr>
        <w:t xml:space="preserve"> diagramoje.</w:t>
      </w:r>
    </w:p>
    <w:p w:rsidR="00845C55" w:rsidRPr="0055270D" w:rsidRDefault="003E03D1" w:rsidP="00845C55">
      <w:pPr>
        <w:pStyle w:val="Footer"/>
        <w:tabs>
          <w:tab w:val="clear" w:pos="4153"/>
          <w:tab w:val="clear" w:pos="8306"/>
        </w:tabs>
        <w:ind w:firstLine="748"/>
        <w:jc w:val="both"/>
        <w:outlineLvl w:val="0"/>
        <w:rPr>
          <w:color w:val="FF0000"/>
        </w:rPr>
      </w:pPr>
      <w:r w:rsidRPr="0055270D">
        <w:rPr>
          <w:noProof/>
          <w:color w:val="FF0000"/>
          <w:lang w:val="en-US" w:eastAsia="en-US"/>
        </w:rPr>
        <w:drawing>
          <wp:inline distT="0" distB="0" distL="0" distR="0">
            <wp:extent cx="4676775" cy="2457450"/>
            <wp:effectExtent l="0" t="0" r="0" b="0"/>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45C55" w:rsidRPr="00083811" w:rsidRDefault="00845C55" w:rsidP="00845C55">
      <w:pPr>
        <w:ind w:firstLine="748"/>
        <w:jc w:val="both"/>
        <w:rPr>
          <w:noProof/>
        </w:rPr>
      </w:pPr>
      <w:r w:rsidRPr="00083811">
        <w:rPr>
          <w:noProof/>
        </w:rPr>
        <w:t>I</w:t>
      </w:r>
      <w:r w:rsidR="0037113A" w:rsidRPr="00083811">
        <w:rPr>
          <w:noProof/>
        </w:rPr>
        <w:t>II</w:t>
      </w:r>
      <w:r w:rsidRPr="00083811">
        <w:rPr>
          <w:noProof/>
        </w:rPr>
        <w:t xml:space="preserve"> prioriteto neįgyvendintos priemonės per 20</w:t>
      </w:r>
      <w:r w:rsidR="0037113A" w:rsidRPr="00083811">
        <w:rPr>
          <w:noProof/>
        </w:rPr>
        <w:t>1</w:t>
      </w:r>
      <w:r w:rsidR="008214B9" w:rsidRPr="00083811">
        <w:rPr>
          <w:noProof/>
        </w:rPr>
        <w:t>3</w:t>
      </w:r>
      <w:r w:rsidRPr="00083811">
        <w:rPr>
          <w:noProof/>
        </w:rPr>
        <w:t xml:space="preserve"> m.:</w:t>
      </w:r>
    </w:p>
    <w:p w:rsidR="008214B9" w:rsidRPr="00083811" w:rsidRDefault="008214B9" w:rsidP="008214B9">
      <w:pPr>
        <w:ind w:left="113" w:firstLine="635"/>
        <w:jc w:val="both"/>
        <w:rPr>
          <w:rFonts w:eastAsia="Arial Unicode MS"/>
        </w:rPr>
      </w:pPr>
      <w:r w:rsidRPr="00083811">
        <w:rPr>
          <w:rFonts w:eastAsia="Arial Unicode MS"/>
        </w:rPr>
        <w:t>3.1.3.1.</w:t>
      </w:r>
      <w:r w:rsidRPr="00083811">
        <w:t xml:space="preserve"> „Atnaujinti savarankiškos aukštosios universitetinės mokyklos steigimo iniciatyvinės darbo grupės sudėtį.“  </w:t>
      </w:r>
      <w:r w:rsidRPr="00083811">
        <w:rPr>
          <w:rFonts w:eastAsia="Arial Unicode MS"/>
        </w:rPr>
        <w:t xml:space="preserve">Priemonė nevykdoma. </w:t>
      </w:r>
    </w:p>
    <w:p w:rsidR="008214B9" w:rsidRPr="00083811" w:rsidRDefault="008214B9" w:rsidP="008214B9">
      <w:pPr>
        <w:ind w:left="113" w:firstLine="635"/>
        <w:jc w:val="both"/>
        <w:rPr>
          <w:noProof/>
        </w:rPr>
      </w:pPr>
      <w:r w:rsidRPr="00083811">
        <w:rPr>
          <w:rFonts w:eastAsia="Arial Unicode MS"/>
        </w:rPr>
        <w:t>3.1.3.2. „</w:t>
      </w:r>
      <w:r w:rsidRPr="00083811">
        <w:rPr>
          <w:noProof/>
        </w:rPr>
        <w:t>Atlikti savarankiškos aukštosios universitetinės mokyklos galimo profilio ir specialistų poreikio tyrimus.“  Priemonė nevykdoma.</w:t>
      </w:r>
    </w:p>
    <w:p w:rsidR="008214B9" w:rsidRPr="00083811" w:rsidRDefault="008214B9" w:rsidP="008214B9">
      <w:pPr>
        <w:ind w:firstLine="748"/>
        <w:jc w:val="both"/>
      </w:pPr>
      <w:r w:rsidRPr="00083811">
        <w:rPr>
          <w:rFonts w:eastAsia="Arial Unicode MS"/>
        </w:rPr>
        <w:t xml:space="preserve">3.2.1.2. Parinkti optimalias patalpas ir jas pritaikyti kino centro „Garsas“ veiklai. </w:t>
      </w:r>
      <w:r w:rsidRPr="00083811">
        <w:t>Ateinančiu ES struktūrinės paramos planavimo 2014-2020 m. laikotarpiu Kultūros įstaigų tinklo optimizavimui planuojamos skirti ES struktūrinių fondų lėšos, todėl politiniu sprendimu priemonės vykdymas numatytas minėtuoju periodu.</w:t>
      </w:r>
    </w:p>
    <w:p w:rsidR="008214B9" w:rsidRPr="00083811" w:rsidRDefault="008214B9" w:rsidP="008214B9">
      <w:pPr>
        <w:ind w:left="113" w:firstLine="635"/>
        <w:jc w:val="both"/>
        <w:rPr>
          <w:rFonts w:eastAsia="Arial Unicode MS"/>
        </w:rPr>
      </w:pPr>
      <w:r w:rsidRPr="00083811">
        <w:rPr>
          <w:rFonts w:eastAsia="Arial Unicode MS"/>
        </w:rPr>
        <w:t>3.2.2.1. „</w:t>
      </w:r>
      <w:r w:rsidRPr="00083811">
        <w:t xml:space="preserve">Įdiegti „greitųjų“ projektų dalinį finansavimą.“ </w:t>
      </w:r>
      <w:r w:rsidRPr="00083811">
        <w:rPr>
          <w:rFonts w:eastAsia="Arial Unicode MS"/>
        </w:rPr>
        <w:t>Priemonė nevykdoma, neskirtas finansavimas.</w:t>
      </w:r>
    </w:p>
    <w:p w:rsidR="008214B9" w:rsidRPr="00083811" w:rsidRDefault="008214B9" w:rsidP="008214B9">
      <w:pPr>
        <w:ind w:firstLine="720"/>
        <w:jc w:val="both"/>
      </w:pPr>
      <w:r w:rsidRPr="00083811">
        <w:t>3.2.2.2. „Renovuoti, rekonstruoti ir pritaikyti kultūros centro Panevėžio bendruomenių rūmų patalpas.“ 2013 m. suremontuota atvira terasa prie renginių salės. Priemonę planuojama įgyvendinti iš 2014- 2020 m. ES SF finansavimo periodo.</w:t>
      </w:r>
    </w:p>
    <w:p w:rsidR="008214B9" w:rsidRPr="00083811" w:rsidRDefault="008214B9" w:rsidP="008214B9">
      <w:pPr>
        <w:ind w:firstLine="720"/>
        <w:jc w:val="both"/>
      </w:pPr>
      <w:r w:rsidRPr="00083811">
        <w:rPr>
          <w:color w:val="4F81BD" w:themeColor="accent1"/>
        </w:rPr>
        <w:t xml:space="preserve"> </w:t>
      </w:r>
      <w:r w:rsidRPr="00083811">
        <w:t>3.2.7.2.  „Pastatyti aktyvaus poilsio ir sporto centrą su kempingu.“ Paraiškos  buvo pateiktos 2008-08-25 Lietuvos verslo paramos agentūrai ir 2012-05-30 Ūkio ministerijai</w:t>
      </w:r>
      <w:r w:rsidRPr="00083811">
        <w:rPr>
          <w:u w:val="single"/>
        </w:rPr>
        <w:t xml:space="preserve"> </w:t>
      </w:r>
      <w:r w:rsidRPr="00083811">
        <w:t>siekiant gauti ES struktūrinių fondų paramą. Projekto vertė 16,5 mln. Lt</w:t>
      </w:r>
      <w:r w:rsidR="00083811">
        <w:t>.</w:t>
      </w:r>
      <w:r w:rsidRPr="00083811">
        <w:t xml:space="preserve"> Projektas neįtrauktas į Valstybės planuojamų  projektų sąrašą. Projektui parama neskirta. </w:t>
      </w:r>
    </w:p>
    <w:p w:rsidR="008214B9" w:rsidRPr="00083811" w:rsidRDefault="008214B9" w:rsidP="008214B9">
      <w:pPr>
        <w:ind w:firstLine="720"/>
        <w:jc w:val="both"/>
      </w:pPr>
      <w:r w:rsidRPr="00083811">
        <w:rPr>
          <w:color w:val="4F81BD" w:themeColor="accent1"/>
        </w:rPr>
        <w:t xml:space="preserve"> </w:t>
      </w:r>
      <w:r w:rsidRPr="00083811">
        <w:t>3.2.7.4. „Renovuoti lengvosios atletikos maniežą“.</w:t>
      </w:r>
      <w:r w:rsidRPr="00083811">
        <w:rPr>
          <w:color w:val="4F81BD" w:themeColor="accent1"/>
        </w:rPr>
        <w:t xml:space="preserve"> </w:t>
      </w:r>
      <w:r w:rsidRPr="00083811">
        <w:t>Pateikta paraiška Klimato kaitos programai, parengtas techninis projektas, tačiau  neskirtas finansavimas iš Valstybės investicijų programos (</w:t>
      </w:r>
      <w:smartTag w:uri="urn:schemas-microsoft-com:office:smarttags" w:element="stockticker">
        <w:r w:rsidRPr="00083811">
          <w:t>VIP</w:t>
        </w:r>
      </w:smartTag>
      <w:r w:rsidRPr="00083811">
        <w:t xml:space="preserve"> )</w:t>
      </w:r>
      <w:r w:rsidR="00D34D5A" w:rsidRPr="00083811">
        <w:t>.</w:t>
      </w:r>
    </w:p>
    <w:p w:rsidR="00D34D5A" w:rsidRDefault="00D34D5A" w:rsidP="008214B9">
      <w:pPr>
        <w:ind w:firstLine="720"/>
        <w:jc w:val="both"/>
      </w:pPr>
    </w:p>
    <w:p w:rsidR="00D34D5A" w:rsidRDefault="00D34D5A" w:rsidP="00D34D5A">
      <w:pPr>
        <w:ind w:firstLine="748"/>
        <w:jc w:val="both"/>
      </w:pPr>
      <w:r>
        <w:t xml:space="preserve"> </w:t>
      </w:r>
    </w:p>
    <w:p w:rsidR="00D34D5A" w:rsidRDefault="00D34D5A" w:rsidP="00D34D5A">
      <w:pPr>
        <w:ind w:firstLine="748"/>
        <w:jc w:val="both"/>
      </w:pPr>
    </w:p>
    <w:p w:rsidR="00D34D5A" w:rsidRPr="008E6AAE" w:rsidRDefault="00D34D5A" w:rsidP="00D34D5A">
      <w:pPr>
        <w:ind w:firstLine="748"/>
        <w:jc w:val="both"/>
      </w:pPr>
      <w:r w:rsidRPr="008E6AAE">
        <w:lastRenderedPageBreak/>
        <w:t xml:space="preserve">Per atskaitinį (2004 - 2013 m.) </w:t>
      </w:r>
      <w:r w:rsidR="00083811">
        <w:t xml:space="preserve">laikotarpį </w:t>
      </w:r>
      <w:r w:rsidRPr="008E6AAE">
        <w:t>neįvykdytos Strateginio plano priemonės:</w:t>
      </w:r>
    </w:p>
    <w:p w:rsidR="00D34D5A" w:rsidRPr="00DB1B2C" w:rsidRDefault="00D34D5A" w:rsidP="00D34D5A">
      <w:pPr>
        <w:ind w:firstLine="720"/>
        <w:jc w:val="both"/>
      </w:pPr>
      <w:r w:rsidRPr="00DB1B2C">
        <w:t>2.1.2.2. „Modernizuoti dviračių takų infrastruktūrą (II etapas)“</w:t>
      </w:r>
      <w:r w:rsidR="00083811">
        <w:t>.</w:t>
      </w:r>
      <w:r w:rsidRPr="00DB1B2C">
        <w:t xml:space="preserve"> Susisiekimo ministerijai paskirsčius visas ES lėšas  I etapui, II etapo projekto vykdymui ES lėšų neliko. Kvietimo teikti paraiškas nebuvo. Priemonę planuojama įgyvendinti iš 2014- 2020 m. ES SF finansavimo periodo.</w:t>
      </w:r>
    </w:p>
    <w:p w:rsidR="00D34D5A" w:rsidRPr="00DB1B2C" w:rsidRDefault="00D34D5A" w:rsidP="00D34D5A">
      <w:pPr>
        <w:ind w:firstLine="720"/>
        <w:jc w:val="both"/>
      </w:pPr>
      <w:r w:rsidRPr="00DB1B2C">
        <w:t xml:space="preserve">2.1.3.1. Pritaikyti </w:t>
      </w:r>
      <w:proofErr w:type="spellStart"/>
      <w:r w:rsidRPr="00DB1B2C">
        <w:t>Skaistakalnio</w:t>
      </w:r>
      <w:proofErr w:type="spellEnd"/>
      <w:r w:rsidRPr="00DB1B2C">
        <w:t xml:space="preserve"> parką aktyviam žmonių poilsiui, įrengti aktyvaus poilsio aikšteles, dviračių takus. 2007 – 2013 m. laikotarpis buvo skiriamas mažųjų miestų parkų sutvarkymui. Darbai planuojami iš 2014-2020 metų ES SF finansavimo periodo.</w:t>
      </w:r>
    </w:p>
    <w:p w:rsidR="00D34D5A" w:rsidRPr="008E6AAE" w:rsidRDefault="00D34D5A" w:rsidP="00D34D5A">
      <w:pPr>
        <w:ind w:firstLine="720"/>
        <w:jc w:val="both"/>
        <w:rPr>
          <w:color w:val="FF0000"/>
        </w:rPr>
      </w:pPr>
      <w:r w:rsidRPr="00DB1B2C">
        <w:t>2.2.3.7. Atnaujinti ekologiško viešojo transporto priemones iš ES skiriamų dalinių lėšų (II etapas).  Susisiekimo minist</w:t>
      </w:r>
      <w:r w:rsidRPr="008E6AAE">
        <w:t>erijai paskirsčius visas ES lėšas  I etapui, II etapo projekto vykdymui ES lėšų neliko. Kvietimo teikti paraiškas nebus.  II etapo darbai bus planuojami iš 2014-2020 metų ES SF finansavimo periodo.</w:t>
      </w:r>
    </w:p>
    <w:p w:rsidR="008214B9" w:rsidRDefault="008214B9" w:rsidP="00845C55">
      <w:pPr>
        <w:pStyle w:val="Footer"/>
        <w:tabs>
          <w:tab w:val="clear" w:pos="4153"/>
          <w:tab w:val="clear" w:pos="8306"/>
        </w:tabs>
        <w:ind w:firstLine="748"/>
        <w:jc w:val="both"/>
        <w:outlineLvl w:val="0"/>
        <w:rPr>
          <w:color w:val="FF0000"/>
        </w:rPr>
      </w:pPr>
    </w:p>
    <w:p w:rsidR="00845C55" w:rsidRPr="008214B9" w:rsidRDefault="00845C55" w:rsidP="00845C55">
      <w:pPr>
        <w:pStyle w:val="Footer"/>
        <w:tabs>
          <w:tab w:val="clear" w:pos="4153"/>
          <w:tab w:val="clear" w:pos="8306"/>
        </w:tabs>
        <w:ind w:firstLine="748"/>
        <w:jc w:val="both"/>
        <w:outlineLvl w:val="0"/>
      </w:pPr>
      <w:r w:rsidRPr="008214B9">
        <w:t>Švietimo ir mokslo plėtra.</w:t>
      </w:r>
      <w:r w:rsidRPr="008214B9">
        <w:rPr>
          <w:b/>
        </w:rPr>
        <w:t xml:space="preserve"> </w:t>
      </w:r>
      <w:r w:rsidRPr="008214B9">
        <w:t xml:space="preserve">Savivaldybės biudžeto išlaidų švietimui dinamika pavaizduota  </w:t>
      </w:r>
      <w:r w:rsidR="00CE35F6" w:rsidRPr="008214B9">
        <w:t>18</w:t>
      </w:r>
      <w:r w:rsidRPr="008214B9">
        <w:t xml:space="preserve"> diagramoje.</w:t>
      </w:r>
    </w:p>
    <w:p w:rsidR="00845C55" w:rsidRPr="008214B9" w:rsidRDefault="00845C55" w:rsidP="00845C55">
      <w:pPr>
        <w:pStyle w:val="Footer"/>
        <w:tabs>
          <w:tab w:val="clear" w:pos="4153"/>
          <w:tab w:val="clear" w:pos="8306"/>
        </w:tabs>
        <w:ind w:firstLine="748"/>
        <w:jc w:val="both"/>
        <w:outlineLvl w:val="0"/>
      </w:pPr>
    </w:p>
    <w:p w:rsidR="00845C55" w:rsidRPr="008214B9" w:rsidRDefault="00CE35F6" w:rsidP="00845C55">
      <w:pPr>
        <w:pStyle w:val="Footer"/>
        <w:tabs>
          <w:tab w:val="clear" w:pos="4153"/>
          <w:tab w:val="clear" w:pos="8306"/>
        </w:tabs>
        <w:ind w:firstLine="748"/>
        <w:jc w:val="both"/>
        <w:outlineLvl w:val="0"/>
      </w:pPr>
      <w:r w:rsidRPr="008214B9">
        <w:t>18</w:t>
      </w:r>
      <w:r w:rsidR="00845C55" w:rsidRPr="008214B9">
        <w:t xml:space="preserve"> diagrama. Savivaldybės biudžeto išlaidos švietimui, tūkst.</w:t>
      </w:r>
      <w:r w:rsidR="00460499" w:rsidRPr="008214B9">
        <w:t xml:space="preserve"> </w:t>
      </w:r>
      <w:r w:rsidR="00845C55" w:rsidRPr="008214B9">
        <w:t>Lt</w:t>
      </w:r>
    </w:p>
    <w:p w:rsidR="00845C55" w:rsidRPr="0055270D" w:rsidRDefault="003E03D1" w:rsidP="00845C55">
      <w:pPr>
        <w:pStyle w:val="Footer"/>
        <w:tabs>
          <w:tab w:val="clear" w:pos="4153"/>
          <w:tab w:val="clear" w:pos="8306"/>
        </w:tabs>
        <w:ind w:firstLine="748"/>
        <w:jc w:val="both"/>
        <w:outlineLvl w:val="0"/>
        <w:rPr>
          <w:color w:val="FF0000"/>
        </w:rPr>
      </w:pPr>
      <w:r w:rsidRPr="0055270D">
        <w:rPr>
          <w:noProof/>
          <w:color w:val="FF0000"/>
          <w:lang w:val="en-US" w:eastAsia="en-US"/>
        </w:rPr>
        <w:drawing>
          <wp:inline distT="0" distB="0" distL="0" distR="0">
            <wp:extent cx="4867275" cy="1714500"/>
            <wp:effectExtent l="0" t="0" r="0" b="0"/>
            <wp:docPr id="19" name="Objec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9412E" w:rsidRPr="00B9412E" w:rsidRDefault="00845C55" w:rsidP="00B9412E">
      <w:pPr>
        <w:jc w:val="both"/>
      </w:pPr>
      <w:r w:rsidRPr="00B9412E">
        <w:t xml:space="preserve">Vienas iš </w:t>
      </w:r>
      <w:smartTag w:uri="urn:schemas-microsoft-com:office:smarttags" w:element="stockticker">
        <w:r w:rsidRPr="00B9412E">
          <w:t>I</w:t>
        </w:r>
        <w:r w:rsidR="00CE35F6" w:rsidRPr="00B9412E">
          <w:t>II</w:t>
        </w:r>
      </w:smartTag>
      <w:r w:rsidRPr="00B9412E">
        <w:t xml:space="preserve"> prioriteto uždavinių – gerinti mokymo ir ugdymo kokybę. Tuo tikslu 20</w:t>
      </w:r>
      <w:r w:rsidR="00CE35F6" w:rsidRPr="00B9412E">
        <w:t>1</w:t>
      </w:r>
      <w:r w:rsidR="00B9412E" w:rsidRPr="00B9412E">
        <w:t>3</w:t>
      </w:r>
      <w:r w:rsidRPr="00B9412E">
        <w:t xml:space="preserve"> m</w:t>
      </w:r>
      <w:r w:rsidR="00B9412E" w:rsidRPr="00B9412E">
        <w:t>. baigti renovuoti  lopšelių –darželių  „Aušra“, „Papartis“, Kastyčio Ramanausko pastatai, renovuotas „Vyturio“ progimnazijos pastatas.</w:t>
      </w:r>
    </w:p>
    <w:p w:rsidR="00CE35F6" w:rsidRPr="0055270D" w:rsidRDefault="00CE35F6" w:rsidP="00B9412E">
      <w:pPr>
        <w:ind w:firstLine="748"/>
        <w:jc w:val="both"/>
        <w:rPr>
          <w:color w:val="FF0000"/>
        </w:rPr>
      </w:pPr>
    </w:p>
    <w:p w:rsidR="00845C55" w:rsidRPr="00B9412E" w:rsidRDefault="00845C55" w:rsidP="00B76E45">
      <w:pPr>
        <w:ind w:firstLine="748"/>
        <w:jc w:val="both"/>
      </w:pPr>
      <w:r w:rsidRPr="00B9412E">
        <w:t xml:space="preserve">Bendrojo lavinimo mokyklų moksleivių skaičius per paskutinius penkerius metus </w:t>
      </w:r>
      <w:r w:rsidR="00B76E45" w:rsidRPr="00B9412E">
        <w:t xml:space="preserve">sumažėjo </w:t>
      </w:r>
      <w:r w:rsidR="00460499" w:rsidRPr="00B9412E">
        <w:t>2</w:t>
      </w:r>
      <w:r w:rsidR="00B9412E" w:rsidRPr="00B9412E">
        <w:t>3</w:t>
      </w:r>
      <w:r w:rsidR="00B76E45" w:rsidRPr="00B9412E">
        <w:t xml:space="preserve"> proc.</w:t>
      </w:r>
      <w:r w:rsidRPr="00B9412E">
        <w:t xml:space="preserve"> Žiūrėti </w:t>
      </w:r>
      <w:r w:rsidR="00B76E45" w:rsidRPr="00B9412E">
        <w:t xml:space="preserve">19 </w:t>
      </w:r>
      <w:r w:rsidRPr="00B9412E">
        <w:t>diagramą.</w:t>
      </w:r>
    </w:p>
    <w:p w:rsidR="00845C55" w:rsidRPr="00B9412E" w:rsidRDefault="00B76E45" w:rsidP="00845C55">
      <w:pPr>
        <w:pStyle w:val="Footer"/>
        <w:tabs>
          <w:tab w:val="clear" w:pos="4153"/>
          <w:tab w:val="clear" w:pos="8306"/>
        </w:tabs>
        <w:ind w:firstLine="748"/>
        <w:jc w:val="both"/>
        <w:outlineLvl w:val="0"/>
      </w:pPr>
      <w:r w:rsidRPr="00B9412E">
        <w:t>19</w:t>
      </w:r>
      <w:r w:rsidR="00845C55" w:rsidRPr="00B9412E">
        <w:t xml:space="preserve"> diagrama. Bendrojo lavinimo mokyklų moksleivių ir miesto gimnazijose besimokančių gimnazistų skaičius, vnt.</w:t>
      </w:r>
    </w:p>
    <w:p w:rsidR="00845C55" w:rsidRPr="0055270D" w:rsidRDefault="003E03D1" w:rsidP="00845C55">
      <w:pPr>
        <w:pStyle w:val="Footer"/>
        <w:tabs>
          <w:tab w:val="clear" w:pos="4153"/>
          <w:tab w:val="clear" w:pos="8306"/>
        </w:tabs>
        <w:ind w:firstLine="748"/>
        <w:jc w:val="both"/>
        <w:outlineLvl w:val="0"/>
        <w:rPr>
          <w:color w:val="FF0000"/>
        </w:rPr>
      </w:pPr>
      <w:r w:rsidRPr="0055270D">
        <w:rPr>
          <w:noProof/>
          <w:color w:val="FF0000"/>
          <w:lang w:val="en-US" w:eastAsia="en-US"/>
        </w:rPr>
        <w:drawing>
          <wp:inline distT="0" distB="0" distL="0" distR="0">
            <wp:extent cx="5314950" cy="1828800"/>
            <wp:effectExtent l="0" t="0" r="0" b="0"/>
            <wp:docPr id="20" name="Objec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76E45" w:rsidRPr="00B9412E" w:rsidRDefault="00B76E45" w:rsidP="00845C55">
      <w:pPr>
        <w:ind w:left="113" w:firstLine="635"/>
        <w:jc w:val="both"/>
      </w:pPr>
      <w:r w:rsidRPr="00B9412E">
        <w:rPr>
          <w:noProof/>
        </w:rPr>
        <w:t>Po strateginio plano korektūros išliko siekis</w:t>
      </w:r>
      <w:r w:rsidR="00845C55" w:rsidRPr="00B9412E">
        <w:rPr>
          <w:noProof/>
        </w:rPr>
        <w:t xml:space="preserve">, </w:t>
      </w:r>
      <w:r w:rsidRPr="00B9412E">
        <w:rPr>
          <w:noProof/>
        </w:rPr>
        <w:t xml:space="preserve"> </w:t>
      </w:r>
      <w:r w:rsidRPr="00B9412E">
        <w:t>kad Panevėžys taptų  stiprus mokslo ir studijų centras, kad mieste būtų įkurta savarankiška aukštoji universitetinė mokykla.</w:t>
      </w:r>
    </w:p>
    <w:p w:rsidR="00B76E45" w:rsidRPr="0055270D" w:rsidRDefault="00B76E45" w:rsidP="00845C55">
      <w:pPr>
        <w:ind w:left="113" w:firstLine="635"/>
        <w:jc w:val="both"/>
        <w:rPr>
          <w:color w:val="FF0000"/>
        </w:rPr>
      </w:pPr>
    </w:p>
    <w:p w:rsidR="00845C55" w:rsidRPr="00B9412E" w:rsidRDefault="00845C55" w:rsidP="00845C55">
      <w:pPr>
        <w:pStyle w:val="Footer"/>
        <w:tabs>
          <w:tab w:val="clear" w:pos="4153"/>
          <w:tab w:val="clear" w:pos="8306"/>
        </w:tabs>
        <w:ind w:firstLine="748"/>
        <w:jc w:val="both"/>
        <w:outlineLvl w:val="0"/>
      </w:pPr>
      <w:r w:rsidRPr="00B9412E">
        <w:t>Aukštųjų mokyklų studentų skaičiaus Panevėžyje dinamika pavaizduota</w:t>
      </w:r>
      <w:r w:rsidR="00795E2D" w:rsidRPr="00B9412E">
        <w:t xml:space="preserve"> </w:t>
      </w:r>
      <w:r w:rsidRPr="00B9412E">
        <w:t>2</w:t>
      </w:r>
      <w:r w:rsidR="00B76E45" w:rsidRPr="00B9412E">
        <w:t>0</w:t>
      </w:r>
      <w:r w:rsidRPr="00B9412E">
        <w:t xml:space="preserve"> diagramoje.</w:t>
      </w:r>
    </w:p>
    <w:p w:rsidR="00D34D5A" w:rsidRDefault="00D34D5A" w:rsidP="00845C55">
      <w:pPr>
        <w:pStyle w:val="Footer"/>
        <w:tabs>
          <w:tab w:val="clear" w:pos="4153"/>
          <w:tab w:val="clear" w:pos="8306"/>
        </w:tabs>
        <w:ind w:firstLine="748"/>
        <w:jc w:val="both"/>
        <w:outlineLvl w:val="0"/>
      </w:pPr>
    </w:p>
    <w:p w:rsidR="00D34D5A" w:rsidRDefault="00D34D5A" w:rsidP="00845C55">
      <w:pPr>
        <w:pStyle w:val="Footer"/>
        <w:tabs>
          <w:tab w:val="clear" w:pos="4153"/>
          <w:tab w:val="clear" w:pos="8306"/>
        </w:tabs>
        <w:ind w:firstLine="748"/>
        <w:jc w:val="both"/>
        <w:outlineLvl w:val="0"/>
      </w:pPr>
    </w:p>
    <w:p w:rsidR="00D34D5A" w:rsidRDefault="00D34D5A" w:rsidP="00845C55">
      <w:pPr>
        <w:pStyle w:val="Footer"/>
        <w:tabs>
          <w:tab w:val="clear" w:pos="4153"/>
          <w:tab w:val="clear" w:pos="8306"/>
        </w:tabs>
        <w:ind w:firstLine="748"/>
        <w:jc w:val="both"/>
        <w:outlineLvl w:val="0"/>
      </w:pPr>
    </w:p>
    <w:p w:rsidR="00D34D5A" w:rsidRDefault="00D34D5A" w:rsidP="00845C55">
      <w:pPr>
        <w:pStyle w:val="Footer"/>
        <w:tabs>
          <w:tab w:val="clear" w:pos="4153"/>
          <w:tab w:val="clear" w:pos="8306"/>
        </w:tabs>
        <w:ind w:firstLine="748"/>
        <w:jc w:val="both"/>
        <w:outlineLvl w:val="0"/>
      </w:pPr>
    </w:p>
    <w:p w:rsidR="00D34D5A" w:rsidRDefault="00D34D5A" w:rsidP="00845C55">
      <w:pPr>
        <w:pStyle w:val="Footer"/>
        <w:tabs>
          <w:tab w:val="clear" w:pos="4153"/>
          <w:tab w:val="clear" w:pos="8306"/>
        </w:tabs>
        <w:ind w:firstLine="748"/>
        <w:jc w:val="both"/>
        <w:outlineLvl w:val="0"/>
      </w:pPr>
    </w:p>
    <w:p w:rsidR="00845C55" w:rsidRPr="00B9412E" w:rsidRDefault="00845C55" w:rsidP="00845C55">
      <w:pPr>
        <w:pStyle w:val="Footer"/>
        <w:tabs>
          <w:tab w:val="clear" w:pos="4153"/>
          <w:tab w:val="clear" w:pos="8306"/>
        </w:tabs>
        <w:ind w:firstLine="748"/>
        <w:jc w:val="both"/>
        <w:outlineLvl w:val="0"/>
      </w:pPr>
      <w:r w:rsidRPr="00B9412E">
        <w:lastRenderedPageBreak/>
        <w:t>2</w:t>
      </w:r>
      <w:r w:rsidR="00B76E45" w:rsidRPr="00B9412E">
        <w:t>0</w:t>
      </w:r>
      <w:r w:rsidRPr="00B9412E">
        <w:t xml:space="preserve"> diagrama. Aukštųjų mokyklų studentų skaičius, vnt.</w:t>
      </w:r>
    </w:p>
    <w:p w:rsidR="00845C55" w:rsidRPr="0055270D" w:rsidRDefault="003E03D1" w:rsidP="00845C55">
      <w:pPr>
        <w:ind w:firstLine="748"/>
        <w:jc w:val="both"/>
        <w:rPr>
          <w:color w:val="FF0000"/>
        </w:rPr>
      </w:pPr>
      <w:r w:rsidRPr="0055270D">
        <w:rPr>
          <w:noProof/>
          <w:color w:val="FF0000"/>
          <w:lang w:val="en-US" w:eastAsia="en-US"/>
        </w:rPr>
        <w:drawing>
          <wp:inline distT="0" distB="0" distL="0" distR="0">
            <wp:extent cx="4991100" cy="1828800"/>
            <wp:effectExtent l="0" t="0" r="0" b="0"/>
            <wp:docPr id="21" name="Objec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45C55" w:rsidRPr="004726D4" w:rsidRDefault="00845C55" w:rsidP="00845C55">
      <w:pPr>
        <w:ind w:firstLine="748"/>
        <w:jc w:val="both"/>
      </w:pPr>
      <w:r w:rsidRPr="004726D4">
        <w:t>Siekiant didinti miesto kultūrinį patrauklumą, 20</w:t>
      </w:r>
      <w:r w:rsidR="00B76E45" w:rsidRPr="004726D4">
        <w:t>1</w:t>
      </w:r>
      <w:r w:rsidR="004726D4" w:rsidRPr="004726D4">
        <w:t>3</w:t>
      </w:r>
      <w:r w:rsidRPr="004726D4">
        <w:t xml:space="preserve"> m.</w:t>
      </w:r>
      <w:r w:rsidR="00D00EE9" w:rsidRPr="004726D4">
        <w:t xml:space="preserve"> </w:t>
      </w:r>
      <w:r w:rsidRPr="004726D4">
        <w:t xml:space="preserve">vyko </w:t>
      </w:r>
      <w:r w:rsidR="004726D4" w:rsidRPr="004726D4">
        <w:t>apie</w:t>
      </w:r>
      <w:r w:rsidR="00B76E45" w:rsidRPr="004726D4">
        <w:t xml:space="preserve"> </w:t>
      </w:r>
      <w:r w:rsidRPr="004726D4">
        <w:t>4</w:t>
      </w:r>
      <w:r w:rsidR="00B76E45" w:rsidRPr="004726D4">
        <w:t>000 kultūros ir meno renginių</w:t>
      </w:r>
      <w:r w:rsidRPr="004726D4">
        <w:t>.</w:t>
      </w:r>
    </w:p>
    <w:p w:rsidR="00845C55" w:rsidRPr="004726D4" w:rsidRDefault="00845C55" w:rsidP="00845C55">
      <w:pPr>
        <w:pStyle w:val="Footer"/>
        <w:tabs>
          <w:tab w:val="clear" w:pos="4153"/>
          <w:tab w:val="clear" w:pos="8306"/>
        </w:tabs>
        <w:ind w:firstLine="748"/>
        <w:jc w:val="both"/>
        <w:outlineLvl w:val="0"/>
      </w:pPr>
      <w:r w:rsidRPr="004726D4">
        <w:t>Savivaldybės biudžeto išlaidų kultūrai dinamika pavaizduota  2</w:t>
      </w:r>
      <w:r w:rsidR="00B76E45" w:rsidRPr="004726D4">
        <w:t>1</w:t>
      </w:r>
      <w:r w:rsidRPr="004726D4">
        <w:t xml:space="preserve"> diagramoje.</w:t>
      </w:r>
    </w:p>
    <w:p w:rsidR="00845C55" w:rsidRPr="004726D4" w:rsidRDefault="00845C55" w:rsidP="00845C55">
      <w:pPr>
        <w:pStyle w:val="Footer"/>
        <w:tabs>
          <w:tab w:val="clear" w:pos="4153"/>
          <w:tab w:val="clear" w:pos="8306"/>
        </w:tabs>
        <w:ind w:firstLine="748"/>
        <w:jc w:val="both"/>
        <w:outlineLvl w:val="0"/>
      </w:pPr>
    </w:p>
    <w:p w:rsidR="00845C55" w:rsidRPr="004726D4" w:rsidRDefault="00845C55" w:rsidP="00845C55">
      <w:pPr>
        <w:pStyle w:val="Footer"/>
        <w:tabs>
          <w:tab w:val="clear" w:pos="4153"/>
          <w:tab w:val="clear" w:pos="8306"/>
        </w:tabs>
        <w:ind w:firstLine="748"/>
        <w:jc w:val="both"/>
        <w:outlineLvl w:val="0"/>
      </w:pPr>
      <w:r w:rsidRPr="004726D4">
        <w:t>2</w:t>
      </w:r>
      <w:r w:rsidR="00B76E45" w:rsidRPr="004726D4">
        <w:t>1</w:t>
      </w:r>
      <w:r w:rsidRPr="004726D4">
        <w:t xml:space="preserve"> diagrama. Savivaldybės biudžeto išlaidos kultūrai, tūkst.</w:t>
      </w:r>
      <w:r w:rsidR="004726D4" w:rsidRPr="004726D4">
        <w:t xml:space="preserve"> </w:t>
      </w:r>
      <w:r w:rsidRPr="004726D4">
        <w:t>Lt</w:t>
      </w:r>
    </w:p>
    <w:p w:rsidR="00845C55" w:rsidRPr="0055270D" w:rsidRDefault="003E03D1" w:rsidP="00845C55">
      <w:pPr>
        <w:pStyle w:val="Footer"/>
        <w:tabs>
          <w:tab w:val="clear" w:pos="4153"/>
          <w:tab w:val="clear" w:pos="8306"/>
        </w:tabs>
        <w:ind w:firstLine="748"/>
        <w:jc w:val="both"/>
        <w:outlineLvl w:val="0"/>
        <w:rPr>
          <w:color w:val="FF0000"/>
        </w:rPr>
      </w:pPr>
      <w:r w:rsidRPr="0055270D">
        <w:rPr>
          <w:noProof/>
          <w:color w:val="FF0000"/>
          <w:lang w:val="en-US" w:eastAsia="en-US"/>
        </w:rPr>
        <w:drawing>
          <wp:inline distT="0" distB="0" distL="0" distR="0">
            <wp:extent cx="4991100" cy="1828800"/>
            <wp:effectExtent l="0" t="0" r="0" b="0"/>
            <wp:docPr id="22" name="Object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5C55" w:rsidRPr="004726D4" w:rsidRDefault="00845C55" w:rsidP="00845C55">
      <w:pPr>
        <w:ind w:firstLine="748"/>
        <w:jc w:val="both"/>
        <w:rPr>
          <w:rFonts w:eastAsia="Arial Unicode MS"/>
        </w:rPr>
      </w:pPr>
      <w:r w:rsidRPr="004726D4">
        <w:t>Toliau r</w:t>
      </w:r>
      <w:r w:rsidRPr="004726D4">
        <w:rPr>
          <w:rFonts w:eastAsia="Arial Unicode MS"/>
        </w:rPr>
        <w:t>emiamos visuomeninės sporto organizacijos per sporto šakų plėtros, jaunimo užimtumo programas</w:t>
      </w:r>
      <w:r w:rsidR="00DA7A18">
        <w:rPr>
          <w:rFonts w:eastAsia="Arial Unicode MS"/>
        </w:rPr>
        <w:t>. R</w:t>
      </w:r>
      <w:r w:rsidR="001C0136" w:rsidRPr="004726D4">
        <w:rPr>
          <w:rFonts w:eastAsia="Arial Unicode MS"/>
        </w:rPr>
        <w:t>emiama „</w:t>
      </w:r>
      <w:proofErr w:type="spellStart"/>
      <w:r w:rsidR="001C0136" w:rsidRPr="004726D4">
        <w:rPr>
          <w:rFonts w:eastAsia="Arial Unicode MS"/>
        </w:rPr>
        <w:t>Cido</w:t>
      </w:r>
      <w:proofErr w:type="spellEnd"/>
      <w:r w:rsidR="001C0136" w:rsidRPr="004726D4">
        <w:rPr>
          <w:rFonts w:eastAsia="Arial Unicode MS"/>
        </w:rPr>
        <w:t xml:space="preserve">“ arenos veikla, </w:t>
      </w:r>
      <w:r w:rsidR="00D27BEE" w:rsidRPr="004726D4">
        <w:rPr>
          <w:rFonts w:eastAsia="Arial Unicode MS"/>
        </w:rPr>
        <w:t>201</w:t>
      </w:r>
      <w:r w:rsidR="004726D4" w:rsidRPr="004726D4">
        <w:rPr>
          <w:rFonts w:eastAsia="Arial Unicode MS"/>
        </w:rPr>
        <w:t>3</w:t>
      </w:r>
      <w:r w:rsidR="00D27BEE" w:rsidRPr="004726D4">
        <w:rPr>
          <w:rFonts w:eastAsia="Arial Unicode MS"/>
        </w:rPr>
        <w:t xml:space="preserve"> m. </w:t>
      </w:r>
      <w:r w:rsidR="00F255C4" w:rsidRPr="004726D4">
        <w:rPr>
          <w:rFonts w:eastAsia="Arial Unicode MS"/>
        </w:rPr>
        <w:t xml:space="preserve">organizuotas </w:t>
      </w:r>
      <w:r w:rsidR="00D27BEE" w:rsidRPr="004726D4">
        <w:rPr>
          <w:rFonts w:eastAsia="Arial Unicode MS"/>
        </w:rPr>
        <w:t xml:space="preserve"> </w:t>
      </w:r>
      <w:r w:rsidR="00F255C4" w:rsidRPr="004726D4">
        <w:rPr>
          <w:rFonts w:eastAsia="Arial Unicode MS"/>
        </w:rPr>
        <w:t xml:space="preserve">Europos </w:t>
      </w:r>
      <w:r w:rsidR="00D27BEE" w:rsidRPr="004726D4">
        <w:rPr>
          <w:rFonts w:eastAsia="Arial Unicode MS"/>
        </w:rPr>
        <w:t xml:space="preserve">dviračių treko </w:t>
      </w:r>
      <w:r w:rsidR="00F255C4" w:rsidRPr="004726D4">
        <w:rPr>
          <w:rFonts w:eastAsia="Arial Unicode MS"/>
        </w:rPr>
        <w:t>čempionatas</w:t>
      </w:r>
      <w:r w:rsidR="00D27BEE" w:rsidRPr="004726D4">
        <w:rPr>
          <w:rFonts w:eastAsia="Arial Unicode MS"/>
        </w:rPr>
        <w:t xml:space="preserve">, </w:t>
      </w:r>
      <w:r w:rsidR="001C0136" w:rsidRPr="004726D4">
        <w:rPr>
          <w:rFonts w:eastAsia="Arial Unicode MS"/>
        </w:rPr>
        <w:t xml:space="preserve">vykdoma </w:t>
      </w:r>
      <w:r w:rsidR="001C0136" w:rsidRPr="004726D4">
        <w:t>Europos vyrų krepšinio čempionato varžybų organizavimo ir krepšinio populiarinimo bei plėtros Panevėžio mieste programa</w:t>
      </w:r>
      <w:r w:rsidRPr="004726D4">
        <w:rPr>
          <w:rFonts w:eastAsia="Arial Unicode MS"/>
        </w:rPr>
        <w:t xml:space="preserve">. </w:t>
      </w:r>
    </w:p>
    <w:p w:rsidR="00845C55" w:rsidRPr="004726D4" w:rsidRDefault="00845C55" w:rsidP="00845C55">
      <w:pPr>
        <w:pStyle w:val="Footer"/>
        <w:tabs>
          <w:tab w:val="clear" w:pos="4153"/>
          <w:tab w:val="clear" w:pos="8306"/>
        </w:tabs>
        <w:ind w:firstLine="748"/>
        <w:jc w:val="both"/>
        <w:outlineLvl w:val="0"/>
      </w:pPr>
      <w:r w:rsidRPr="004726D4">
        <w:t>Savivaldybės biudžeto išlaidų kūno kultūrai ir sportui dinamika pavaizduota  2</w:t>
      </w:r>
      <w:r w:rsidR="001C0136" w:rsidRPr="004726D4">
        <w:t>2</w:t>
      </w:r>
      <w:r w:rsidRPr="004726D4">
        <w:t xml:space="preserve"> diagramoje.</w:t>
      </w:r>
    </w:p>
    <w:p w:rsidR="00845C55" w:rsidRPr="004726D4" w:rsidRDefault="00845C55" w:rsidP="00845C55">
      <w:pPr>
        <w:pStyle w:val="Footer"/>
        <w:tabs>
          <w:tab w:val="clear" w:pos="4153"/>
          <w:tab w:val="clear" w:pos="8306"/>
        </w:tabs>
        <w:ind w:firstLine="748"/>
        <w:jc w:val="both"/>
        <w:outlineLvl w:val="0"/>
      </w:pPr>
    </w:p>
    <w:p w:rsidR="00845C55" w:rsidRPr="004726D4" w:rsidRDefault="00845C55" w:rsidP="00845C55">
      <w:pPr>
        <w:pStyle w:val="Footer"/>
        <w:tabs>
          <w:tab w:val="clear" w:pos="4153"/>
          <w:tab w:val="clear" w:pos="8306"/>
        </w:tabs>
        <w:ind w:firstLine="748"/>
        <w:jc w:val="both"/>
        <w:outlineLvl w:val="0"/>
      </w:pPr>
      <w:r w:rsidRPr="004726D4">
        <w:t>2</w:t>
      </w:r>
      <w:r w:rsidR="001C0136" w:rsidRPr="004726D4">
        <w:t>2</w:t>
      </w:r>
      <w:r w:rsidRPr="004726D4">
        <w:t xml:space="preserve"> diagrama. Savivaldybės biudžeto išlaidos kūno kultūrai ir sportui, tūkst.</w:t>
      </w:r>
      <w:r w:rsidR="004726D4">
        <w:t xml:space="preserve"> </w:t>
      </w:r>
      <w:r w:rsidRPr="004726D4">
        <w:t>Lt</w:t>
      </w:r>
    </w:p>
    <w:p w:rsidR="00845C55" w:rsidRPr="0055270D" w:rsidRDefault="003E03D1" w:rsidP="00845C55">
      <w:pPr>
        <w:pStyle w:val="Footer"/>
        <w:tabs>
          <w:tab w:val="clear" w:pos="4153"/>
          <w:tab w:val="clear" w:pos="8306"/>
        </w:tabs>
        <w:ind w:firstLine="748"/>
        <w:jc w:val="both"/>
        <w:outlineLvl w:val="0"/>
        <w:rPr>
          <w:color w:val="FF0000"/>
        </w:rPr>
      </w:pPr>
      <w:r w:rsidRPr="0055270D">
        <w:rPr>
          <w:noProof/>
          <w:color w:val="FF0000"/>
          <w:lang w:val="en-US" w:eastAsia="en-US"/>
        </w:rPr>
        <w:drawing>
          <wp:inline distT="0" distB="0" distL="0" distR="0">
            <wp:extent cx="4991100" cy="1828800"/>
            <wp:effectExtent l="0" t="0" r="0" b="0"/>
            <wp:docPr id="23"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B25F3" w:rsidRPr="00A43B8D" w:rsidRDefault="00EB25F3" w:rsidP="00EB25F3">
      <w:pPr>
        <w:ind w:firstLine="748"/>
        <w:jc w:val="both"/>
        <w:rPr>
          <w:noProof/>
        </w:rPr>
      </w:pPr>
      <w:r w:rsidRPr="00A43B8D">
        <w:rPr>
          <w:noProof/>
        </w:rPr>
        <w:t>Siekiant stiprinti nusikalstamumo prevenciją, Panevėžio apskrities vyriausiasis policijos komisariatas</w:t>
      </w:r>
      <w:r w:rsidRPr="00A43B8D">
        <w:rPr>
          <w:rFonts w:eastAsia="Arial Unicode MS"/>
        </w:rPr>
        <w:t xml:space="preserve"> su</w:t>
      </w:r>
      <w:r w:rsidR="00D27BEE" w:rsidRPr="00A43B8D">
        <w:rPr>
          <w:rFonts w:eastAsia="Arial Unicode MS"/>
        </w:rPr>
        <w:t xml:space="preserve"> kitomis tarnybomis įgyvendino prevencines programas</w:t>
      </w:r>
      <w:r w:rsidRPr="00A43B8D">
        <w:rPr>
          <w:rFonts w:eastAsia="Arial Unicode MS"/>
        </w:rPr>
        <w:t xml:space="preserve">. Vykdoma tęstinė prevencinė programa vaikams ir jaunimui iki 18 metų „Saugūs ir sveiki“. </w:t>
      </w:r>
      <w:r w:rsidRPr="00A43B8D">
        <w:rPr>
          <w:noProof/>
        </w:rPr>
        <w:t xml:space="preserve"> Judėjime „Saugi kaimynystė“ dalyvavo </w:t>
      </w:r>
      <w:r w:rsidR="00D27BEE" w:rsidRPr="00A43B8D">
        <w:rPr>
          <w:noProof/>
        </w:rPr>
        <w:t>5</w:t>
      </w:r>
      <w:r w:rsidRPr="00A43B8D">
        <w:rPr>
          <w:noProof/>
        </w:rPr>
        <w:t xml:space="preserve"> daugiabučių namų bendrij</w:t>
      </w:r>
      <w:r w:rsidR="00795E2D" w:rsidRPr="00A43B8D">
        <w:rPr>
          <w:noProof/>
        </w:rPr>
        <w:t>os</w:t>
      </w:r>
      <w:r w:rsidRPr="00A43B8D">
        <w:rPr>
          <w:noProof/>
        </w:rPr>
        <w:t>.</w:t>
      </w:r>
    </w:p>
    <w:p w:rsidR="00E31BA3" w:rsidRPr="0055270D" w:rsidRDefault="00E31BA3" w:rsidP="00845C55">
      <w:pPr>
        <w:pStyle w:val="Footer"/>
        <w:tabs>
          <w:tab w:val="clear" w:pos="4153"/>
          <w:tab w:val="clear" w:pos="8306"/>
        </w:tabs>
        <w:ind w:firstLine="748"/>
        <w:jc w:val="both"/>
        <w:outlineLvl w:val="0"/>
        <w:rPr>
          <w:rFonts w:eastAsia="Arial Unicode MS"/>
          <w:b/>
          <w:color w:val="FF0000"/>
        </w:rPr>
      </w:pPr>
    </w:p>
    <w:p w:rsidR="00D34D5A" w:rsidRDefault="00D34D5A" w:rsidP="00845C55">
      <w:pPr>
        <w:pStyle w:val="Footer"/>
        <w:tabs>
          <w:tab w:val="clear" w:pos="4153"/>
          <w:tab w:val="clear" w:pos="8306"/>
        </w:tabs>
        <w:ind w:firstLine="748"/>
        <w:jc w:val="both"/>
        <w:outlineLvl w:val="0"/>
        <w:rPr>
          <w:rFonts w:eastAsia="Arial Unicode MS"/>
          <w:b/>
        </w:rPr>
      </w:pPr>
    </w:p>
    <w:p w:rsidR="00D34D5A" w:rsidRDefault="00D34D5A" w:rsidP="00845C55">
      <w:pPr>
        <w:pStyle w:val="Footer"/>
        <w:tabs>
          <w:tab w:val="clear" w:pos="4153"/>
          <w:tab w:val="clear" w:pos="8306"/>
        </w:tabs>
        <w:ind w:firstLine="748"/>
        <w:jc w:val="both"/>
        <w:outlineLvl w:val="0"/>
        <w:rPr>
          <w:rFonts w:eastAsia="Arial Unicode MS"/>
          <w:b/>
        </w:rPr>
      </w:pPr>
    </w:p>
    <w:p w:rsidR="00D34D5A" w:rsidRDefault="00D34D5A" w:rsidP="00845C55">
      <w:pPr>
        <w:pStyle w:val="Footer"/>
        <w:tabs>
          <w:tab w:val="clear" w:pos="4153"/>
          <w:tab w:val="clear" w:pos="8306"/>
        </w:tabs>
        <w:ind w:firstLine="748"/>
        <w:jc w:val="both"/>
        <w:outlineLvl w:val="0"/>
        <w:rPr>
          <w:rFonts w:eastAsia="Arial Unicode MS"/>
          <w:b/>
        </w:rPr>
      </w:pPr>
    </w:p>
    <w:p w:rsidR="00D34D5A" w:rsidRDefault="00D34D5A" w:rsidP="00845C55">
      <w:pPr>
        <w:pStyle w:val="Footer"/>
        <w:tabs>
          <w:tab w:val="clear" w:pos="4153"/>
          <w:tab w:val="clear" w:pos="8306"/>
        </w:tabs>
        <w:ind w:firstLine="748"/>
        <w:jc w:val="both"/>
        <w:outlineLvl w:val="0"/>
        <w:rPr>
          <w:rFonts w:eastAsia="Arial Unicode MS"/>
          <w:b/>
        </w:rPr>
      </w:pPr>
    </w:p>
    <w:p w:rsidR="00845C55" w:rsidRPr="00CC1188" w:rsidRDefault="00845C55" w:rsidP="00845C55">
      <w:pPr>
        <w:pStyle w:val="Footer"/>
        <w:tabs>
          <w:tab w:val="clear" w:pos="4153"/>
          <w:tab w:val="clear" w:pos="8306"/>
        </w:tabs>
        <w:ind w:firstLine="748"/>
        <w:jc w:val="both"/>
        <w:outlineLvl w:val="0"/>
        <w:rPr>
          <w:rFonts w:eastAsia="Arial Unicode MS"/>
          <w:b/>
        </w:rPr>
      </w:pPr>
      <w:r w:rsidRPr="00CC1188">
        <w:rPr>
          <w:rFonts w:eastAsia="Arial Unicode MS"/>
          <w:b/>
        </w:rPr>
        <w:lastRenderedPageBreak/>
        <w:t>IŠVADOS</w:t>
      </w:r>
    </w:p>
    <w:p w:rsidR="00845C55" w:rsidRPr="00CC1188" w:rsidRDefault="00845C55" w:rsidP="00845C55">
      <w:pPr>
        <w:ind w:firstLine="720"/>
        <w:jc w:val="both"/>
      </w:pPr>
      <w:r w:rsidRPr="00CC1188">
        <w:t xml:space="preserve">1) Atlikta </w:t>
      </w:r>
      <w:r w:rsidR="00795E2D" w:rsidRPr="00CC1188">
        <w:t>Strateginio plano</w:t>
      </w:r>
      <w:r w:rsidRPr="00CC1188">
        <w:t xml:space="preserve"> kiekybinių vizijos ir prioritetų rodiklių </w:t>
      </w:r>
      <w:proofErr w:type="spellStart"/>
      <w:r w:rsidRPr="00CC1188">
        <w:t>stebėsena</w:t>
      </w:r>
      <w:proofErr w:type="spellEnd"/>
      <w:r w:rsidRPr="00CC1188">
        <w:t xml:space="preserve"> parodė, kad dauguma rodiklių mažėjo</w:t>
      </w:r>
      <w:r w:rsidR="00CC1188" w:rsidRPr="00CC1188">
        <w:t>. I</w:t>
      </w:r>
      <w:r w:rsidR="00E269D8" w:rsidRPr="00CC1188">
        <w:t xml:space="preserve">šlaidos </w:t>
      </w:r>
      <w:r w:rsidRPr="00CC1188">
        <w:t>švietimui</w:t>
      </w:r>
      <w:r w:rsidR="001C0136" w:rsidRPr="00CC1188">
        <w:t xml:space="preserve">, </w:t>
      </w:r>
      <w:r w:rsidR="00CC1188" w:rsidRPr="00CC1188">
        <w:t xml:space="preserve">kultūrai mažėjo ir buvo mažiausi per 5 metus. Išlaidos </w:t>
      </w:r>
      <w:r w:rsidR="001C0136" w:rsidRPr="00CC1188">
        <w:t>kūno kultūrai ir sportui</w:t>
      </w:r>
      <w:r w:rsidRPr="00CC1188">
        <w:t xml:space="preserve"> </w:t>
      </w:r>
      <w:r w:rsidR="00CC1188" w:rsidRPr="00CC1188">
        <w:t xml:space="preserve">nežymiai augo, tačiau </w:t>
      </w:r>
      <w:r w:rsidR="001C0136" w:rsidRPr="00CC1188">
        <w:t>išlaidos socialinei apsaugai</w:t>
      </w:r>
      <w:r w:rsidR="00E269D8" w:rsidRPr="00CC1188">
        <w:t xml:space="preserve"> išaugo </w:t>
      </w:r>
      <w:r w:rsidR="00CC1188" w:rsidRPr="00CC1188">
        <w:t xml:space="preserve">beveik 2 </w:t>
      </w:r>
      <w:r w:rsidR="00BD0123" w:rsidRPr="00CC1188">
        <w:t xml:space="preserve"> kartus</w:t>
      </w:r>
      <w:r w:rsidR="00E269D8" w:rsidRPr="00CC1188">
        <w:t>.</w:t>
      </w:r>
    </w:p>
    <w:p w:rsidR="00845C55" w:rsidRPr="00CC1188" w:rsidRDefault="00845C55" w:rsidP="00845C55">
      <w:pPr>
        <w:ind w:firstLine="720"/>
        <w:jc w:val="both"/>
      </w:pPr>
      <w:r w:rsidRPr="00CC1188">
        <w:t xml:space="preserve">2) </w:t>
      </w:r>
      <w:proofErr w:type="spellStart"/>
      <w:r w:rsidRPr="00CC1188">
        <w:t>Stebėseną</w:t>
      </w:r>
      <w:proofErr w:type="spellEnd"/>
      <w:r w:rsidRPr="00CC1188">
        <w:t xml:space="preserve"> apsunkino tai, kad </w:t>
      </w:r>
      <w:r w:rsidR="00795E2D" w:rsidRPr="00CC1188">
        <w:t>Strateginio plano</w:t>
      </w:r>
      <w:r w:rsidRPr="00CC1188">
        <w:t xml:space="preserve"> vizijos ir prioritetų rodiklių palyginimo su didžiaisiais Lietuvos miestais ir šalies vidurkiu analizei reikalingi duomenys kitų miestų savivaldybėse nerenkami, nes viešojo administravimo įstaigos neturi vieningos matavimo rodiklių sistemos. </w:t>
      </w:r>
      <w:r w:rsidR="00795E2D" w:rsidRPr="00CC1188">
        <w:t xml:space="preserve">Strateginio plano </w:t>
      </w:r>
      <w:r w:rsidRPr="00CC1188">
        <w:t xml:space="preserve">rodiklių palyginimas su didžiaisiais Lietuvos miestais ir šalies vidurkiu buvo atliktas pateikiant tik Statistikos departamento duomenis. </w:t>
      </w:r>
      <w:r w:rsidRPr="00CC1188">
        <w:rPr>
          <w:rFonts w:eastAsia="Arial Unicode MS"/>
        </w:rPr>
        <w:t xml:space="preserve">Be to, Savivaldybės administracijai sunku įtakoti kai kurių veiksmų įgyvendinimo procesus ir rezultatus, kai vykdytojai nėra Savivaldybės </w:t>
      </w:r>
      <w:r w:rsidR="00795E2D" w:rsidRPr="00CC1188">
        <w:rPr>
          <w:rFonts w:eastAsia="Arial Unicode MS"/>
        </w:rPr>
        <w:t xml:space="preserve">administracijos </w:t>
      </w:r>
      <w:r w:rsidRPr="00CC1188">
        <w:rPr>
          <w:rFonts w:eastAsia="Arial Unicode MS"/>
        </w:rPr>
        <w:t>skyriai.</w:t>
      </w:r>
    </w:p>
    <w:p w:rsidR="00113443" w:rsidRDefault="00845C55" w:rsidP="007F1F84">
      <w:pPr>
        <w:tabs>
          <w:tab w:val="left" w:pos="1800"/>
        </w:tabs>
        <w:ind w:firstLine="720"/>
        <w:jc w:val="both"/>
      </w:pPr>
      <w:r w:rsidRPr="00511F94">
        <w:t xml:space="preserve">3) Atlikus </w:t>
      </w:r>
      <w:r w:rsidR="00795E2D" w:rsidRPr="00511F94">
        <w:t xml:space="preserve">Strateginio plano </w:t>
      </w:r>
      <w:r w:rsidRPr="00511F94">
        <w:t xml:space="preserve">veiksmų </w:t>
      </w:r>
      <w:proofErr w:type="spellStart"/>
      <w:r w:rsidRPr="00511F94">
        <w:t>stebėseną</w:t>
      </w:r>
      <w:proofErr w:type="spellEnd"/>
      <w:r w:rsidRPr="00511F94">
        <w:t xml:space="preserve">, padaryta išvada, kad </w:t>
      </w:r>
      <w:r w:rsidR="00795E2D" w:rsidRPr="00511F94">
        <w:t>Strateginis planas</w:t>
      </w:r>
      <w:r w:rsidRPr="00511F94">
        <w:t xml:space="preserve"> 20</w:t>
      </w:r>
      <w:r w:rsidR="00436158" w:rsidRPr="00511F94">
        <w:t>1</w:t>
      </w:r>
      <w:r w:rsidR="00CC1188" w:rsidRPr="00511F94">
        <w:t>3</w:t>
      </w:r>
      <w:r w:rsidRPr="00511F94">
        <w:t xml:space="preserve"> m. laikotarpiu yra įgyvendinamas gerai, t.y. </w:t>
      </w:r>
      <w:r w:rsidR="00436158" w:rsidRPr="00511F94">
        <w:t>8</w:t>
      </w:r>
      <w:r w:rsidR="00CC1188" w:rsidRPr="00511F94">
        <w:t>7</w:t>
      </w:r>
      <w:r w:rsidRPr="00511F94">
        <w:t xml:space="preserve"> % jo veiksmų yra vykdomi pagal suplanuotus terminus. </w:t>
      </w:r>
    </w:p>
    <w:p w:rsidR="00511F94" w:rsidRPr="00511F94" w:rsidRDefault="00511F94" w:rsidP="00D34D5A">
      <w:pPr>
        <w:ind w:firstLine="748"/>
        <w:jc w:val="both"/>
      </w:pPr>
    </w:p>
    <w:p w:rsidR="00845C55" w:rsidRPr="00D34D5A" w:rsidRDefault="00113443" w:rsidP="007F1F84">
      <w:pPr>
        <w:ind w:firstLine="748"/>
        <w:jc w:val="both"/>
      </w:pPr>
      <w:r w:rsidRPr="00D34D5A">
        <w:t>I</w:t>
      </w:r>
      <w:r w:rsidR="00845C55" w:rsidRPr="00D34D5A">
        <w:t>šsamesnė analizė pateikiama prieduose</w:t>
      </w:r>
      <w:r w:rsidR="00C06126" w:rsidRPr="00D34D5A">
        <w:t>.</w:t>
      </w:r>
      <w:r w:rsidR="00845C55" w:rsidRPr="00D34D5A">
        <w:t xml:space="preserve"> </w:t>
      </w:r>
    </w:p>
    <w:sectPr w:rsidR="00845C55" w:rsidRPr="00D34D5A" w:rsidSect="007F1F84">
      <w:footerReference w:type="even" r:id="rId31"/>
      <w:footerReference w:type="default" r:id="rId32"/>
      <w:pgSz w:w="11906" w:h="16838"/>
      <w:pgMar w:top="896" w:right="890" w:bottom="299" w:left="1701" w:header="561" w:footer="561"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D17" w:rsidRDefault="00831D17">
      <w:r>
        <w:separator/>
      </w:r>
    </w:p>
  </w:endnote>
  <w:endnote w:type="continuationSeparator" w:id="0">
    <w:p w:rsidR="00831D17" w:rsidRDefault="00831D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2D" w:rsidRDefault="00A61199" w:rsidP="00E31BA3">
    <w:pPr>
      <w:pStyle w:val="Footer"/>
      <w:framePr w:wrap="around" w:vAnchor="text" w:hAnchor="margin" w:xAlign="right" w:y="1"/>
      <w:rPr>
        <w:rStyle w:val="PageNumber"/>
      </w:rPr>
    </w:pPr>
    <w:r>
      <w:rPr>
        <w:rStyle w:val="PageNumber"/>
      </w:rPr>
      <w:fldChar w:fldCharType="begin"/>
    </w:r>
    <w:r w:rsidR="00795E2D">
      <w:rPr>
        <w:rStyle w:val="PageNumber"/>
      </w:rPr>
      <w:instrText xml:space="preserve">PAGE  </w:instrText>
    </w:r>
    <w:r>
      <w:rPr>
        <w:rStyle w:val="PageNumber"/>
      </w:rPr>
      <w:fldChar w:fldCharType="end"/>
    </w:r>
  </w:p>
  <w:p w:rsidR="00795E2D" w:rsidRDefault="00795E2D" w:rsidP="005041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2D" w:rsidRDefault="00A61199" w:rsidP="00E31BA3">
    <w:pPr>
      <w:pStyle w:val="Footer"/>
      <w:framePr w:wrap="around" w:vAnchor="text" w:hAnchor="margin" w:xAlign="right" w:y="1"/>
      <w:rPr>
        <w:rStyle w:val="PageNumber"/>
      </w:rPr>
    </w:pPr>
    <w:r>
      <w:rPr>
        <w:rStyle w:val="PageNumber"/>
      </w:rPr>
      <w:fldChar w:fldCharType="begin"/>
    </w:r>
    <w:r w:rsidR="00795E2D">
      <w:rPr>
        <w:rStyle w:val="PageNumber"/>
      </w:rPr>
      <w:instrText xml:space="preserve">PAGE  </w:instrText>
    </w:r>
    <w:r>
      <w:rPr>
        <w:rStyle w:val="PageNumber"/>
      </w:rPr>
      <w:fldChar w:fldCharType="separate"/>
    </w:r>
    <w:r w:rsidR="00560002">
      <w:rPr>
        <w:rStyle w:val="PageNumber"/>
        <w:noProof/>
      </w:rPr>
      <w:t>5</w:t>
    </w:r>
    <w:r>
      <w:rPr>
        <w:rStyle w:val="PageNumber"/>
      </w:rPr>
      <w:fldChar w:fldCharType="end"/>
    </w:r>
  </w:p>
  <w:p w:rsidR="00795E2D" w:rsidRDefault="00795E2D" w:rsidP="005041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D17" w:rsidRDefault="00831D17">
      <w:r>
        <w:separator/>
      </w:r>
    </w:p>
  </w:footnote>
  <w:footnote w:type="continuationSeparator" w:id="0">
    <w:p w:rsidR="00831D17" w:rsidRDefault="00831D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71"/>
  <w:drawingGridVerticalSpacing w:val="299"/>
  <w:noPunctuationKerning/>
  <w:characterSpacingControl w:val="doNotCompress"/>
  <w:footnotePr>
    <w:footnote w:id="-1"/>
    <w:footnote w:id="0"/>
  </w:footnotePr>
  <w:endnotePr>
    <w:endnote w:id="-1"/>
    <w:endnote w:id="0"/>
  </w:endnotePr>
  <w:compat/>
  <w:rsids>
    <w:rsidRoot w:val="00D9390F"/>
    <w:rsid w:val="00011331"/>
    <w:rsid w:val="000130D9"/>
    <w:rsid w:val="000139A5"/>
    <w:rsid w:val="00021FF3"/>
    <w:rsid w:val="000231E1"/>
    <w:rsid w:val="00024720"/>
    <w:rsid w:val="00031224"/>
    <w:rsid w:val="0005269C"/>
    <w:rsid w:val="00083811"/>
    <w:rsid w:val="00086A22"/>
    <w:rsid w:val="00086EA1"/>
    <w:rsid w:val="00091129"/>
    <w:rsid w:val="00091B86"/>
    <w:rsid w:val="000B057D"/>
    <w:rsid w:val="000B1CE9"/>
    <w:rsid w:val="000F02EB"/>
    <w:rsid w:val="000F13B7"/>
    <w:rsid w:val="000F24CC"/>
    <w:rsid w:val="00113443"/>
    <w:rsid w:val="0011455A"/>
    <w:rsid w:val="0011554D"/>
    <w:rsid w:val="001232DD"/>
    <w:rsid w:val="001457E6"/>
    <w:rsid w:val="00164E07"/>
    <w:rsid w:val="001778D6"/>
    <w:rsid w:val="00180A40"/>
    <w:rsid w:val="00192CC2"/>
    <w:rsid w:val="001973A3"/>
    <w:rsid w:val="001A5D0F"/>
    <w:rsid w:val="001A5E2C"/>
    <w:rsid w:val="001A7B89"/>
    <w:rsid w:val="001B7F10"/>
    <w:rsid w:val="001C0136"/>
    <w:rsid w:val="001E7BEF"/>
    <w:rsid w:val="001F06A8"/>
    <w:rsid w:val="001F6918"/>
    <w:rsid w:val="002022F4"/>
    <w:rsid w:val="00202FCE"/>
    <w:rsid w:val="0020318A"/>
    <w:rsid w:val="00217217"/>
    <w:rsid w:val="00234FE0"/>
    <w:rsid w:val="002355BA"/>
    <w:rsid w:val="0024790C"/>
    <w:rsid w:val="002573D1"/>
    <w:rsid w:val="002577FE"/>
    <w:rsid w:val="002648D3"/>
    <w:rsid w:val="0027484F"/>
    <w:rsid w:val="00282944"/>
    <w:rsid w:val="00291678"/>
    <w:rsid w:val="00291ECB"/>
    <w:rsid w:val="00296DCE"/>
    <w:rsid w:val="002B0BCC"/>
    <w:rsid w:val="002B0E6A"/>
    <w:rsid w:val="002B36BD"/>
    <w:rsid w:val="002B5021"/>
    <w:rsid w:val="002C131C"/>
    <w:rsid w:val="002C206A"/>
    <w:rsid w:val="002D1894"/>
    <w:rsid w:val="002F19A8"/>
    <w:rsid w:val="002F3FF7"/>
    <w:rsid w:val="00306DF8"/>
    <w:rsid w:val="0030700E"/>
    <w:rsid w:val="003167B7"/>
    <w:rsid w:val="00333352"/>
    <w:rsid w:val="00336C7E"/>
    <w:rsid w:val="0035744B"/>
    <w:rsid w:val="0036036D"/>
    <w:rsid w:val="00363E07"/>
    <w:rsid w:val="0037113A"/>
    <w:rsid w:val="00375970"/>
    <w:rsid w:val="00381054"/>
    <w:rsid w:val="00392404"/>
    <w:rsid w:val="003A3710"/>
    <w:rsid w:val="003A614B"/>
    <w:rsid w:val="003B3264"/>
    <w:rsid w:val="003B3532"/>
    <w:rsid w:val="003B4253"/>
    <w:rsid w:val="003D57F9"/>
    <w:rsid w:val="003E03D1"/>
    <w:rsid w:val="003E2C31"/>
    <w:rsid w:val="003E64CE"/>
    <w:rsid w:val="003E67E4"/>
    <w:rsid w:val="003E75F3"/>
    <w:rsid w:val="00410F66"/>
    <w:rsid w:val="00416AA3"/>
    <w:rsid w:val="004177CB"/>
    <w:rsid w:val="0042195F"/>
    <w:rsid w:val="00436158"/>
    <w:rsid w:val="00460499"/>
    <w:rsid w:val="00465149"/>
    <w:rsid w:val="00471E27"/>
    <w:rsid w:val="00471FC2"/>
    <w:rsid w:val="004726D4"/>
    <w:rsid w:val="00473249"/>
    <w:rsid w:val="00474C90"/>
    <w:rsid w:val="00482BAE"/>
    <w:rsid w:val="00486DC6"/>
    <w:rsid w:val="004918B7"/>
    <w:rsid w:val="00495476"/>
    <w:rsid w:val="00496BA8"/>
    <w:rsid w:val="004979C2"/>
    <w:rsid w:val="004B7778"/>
    <w:rsid w:val="004E2B0F"/>
    <w:rsid w:val="0050419E"/>
    <w:rsid w:val="00506DE9"/>
    <w:rsid w:val="00511274"/>
    <w:rsid w:val="00511F94"/>
    <w:rsid w:val="005251A3"/>
    <w:rsid w:val="0053110D"/>
    <w:rsid w:val="00533471"/>
    <w:rsid w:val="00544F6A"/>
    <w:rsid w:val="0054611F"/>
    <w:rsid w:val="0055270D"/>
    <w:rsid w:val="00554EF8"/>
    <w:rsid w:val="00560002"/>
    <w:rsid w:val="0056283E"/>
    <w:rsid w:val="0056718C"/>
    <w:rsid w:val="005724CF"/>
    <w:rsid w:val="00572929"/>
    <w:rsid w:val="00580BC4"/>
    <w:rsid w:val="005A0616"/>
    <w:rsid w:val="005A7C18"/>
    <w:rsid w:val="005B5388"/>
    <w:rsid w:val="005B5689"/>
    <w:rsid w:val="005C2893"/>
    <w:rsid w:val="005D71F9"/>
    <w:rsid w:val="005E042B"/>
    <w:rsid w:val="005F2CCA"/>
    <w:rsid w:val="005F67AF"/>
    <w:rsid w:val="00616E08"/>
    <w:rsid w:val="00620FA3"/>
    <w:rsid w:val="00624355"/>
    <w:rsid w:val="00627494"/>
    <w:rsid w:val="00630314"/>
    <w:rsid w:val="00645669"/>
    <w:rsid w:val="00653F41"/>
    <w:rsid w:val="006700D1"/>
    <w:rsid w:val="006875D5"/>
    <w:rsid w:val="00697803"/>
    <w:rsid w:val="006A02EF"/>
    <w:rsid w:val="006A0A01"/>
    <w:rsid w:val="006B3337"/>
    <w:rsid w:val="006B33D5"/>
    <w:rsid w:val="006B3C22"/>
    <w:rsid w:val="006B3EB9"/>
    <w:rsid w:val="006B59A5"/>
    <w:rsid w:val="006D4423"/>
    <w:rsid w:val="006D457C"/>
    <w:rsid w:val="006E0520"/>
    <w:rsid w:val="006E14D9"/>
    <w:rsid w:val="006E1DF4"/>
    <w:rsid w:val="006E2DF9"/>
    <w:rsid w:val="006E6567"/>
    <w:rsid w:val="006F1607"/>
    <w:rsid w:val="00700F2A"/>
    <w:rsid w:val="00710EBA"/>
    <w:rsid w:val="0071629E"/>
    <w:rsid w:val="00717293"/>
    <w:rsid w:val="00724427"/>
    <w:rsid w:val="00731204"/>
    <w:rsid w:val="007319AB"/>
    <w:rsid w:val="00731FE7"/>
    <w:rsid w:val="00737D39"/>
    <w:rsid w:val="00740910"/>
    <w:rsid w:val="00746D57"/>
    <w:rsid w:val="00757DB4"/>
    <w:rsid w:val="0076181C"/>
    <w:rsid w:val="00761848"/>
    <w:rsid w:val="0077421D"/>
    <w:rsid w:val="0077733C"/>
    <w:rsid w:val="0078626B"/>
    <w:rsid w:val="00794571"/>
    <w:rsid w:val="00794767"/>
    <w:rsid w:val="00795E2D"/>
    <w:rsid w:val="007A4F6B"/>
    <w:rsid w:val="007B0BC5"/>
    <w:rsid w:val="007C078C"/>
    <w:rsid w:val="007D1421"/>
    <w:rsid w:val="007D5D15"/>
    <w:rsid w:val="007D7E44"/>
    <w:rsid w:val="007F0118"/>
    <w:rsid w:val="007F1F84"/>
    <w:rsid w:val="00810A84"/>
    <w:rsid w:val="00810C3D"/>
    <w:rsid w:val="00811507"/>
    <w:rsid w:val="008214B9"/>
    <w:rsid w:val="008268EF"/>
    <w:rsid w:val="00831D17"/>
    <w:rsid w:val="00831D92"/>
    <w:rsid w:val="00831E03"/>
    <w:rsid w:val="00845C55"/>
    <w:rsid w:val="00853117"/>
    <w:rsid w:val="008539AB"/>
    <w:rsid w:val="00860AE2"/>
    <w:rsid w:val="0086595C"/>
    <w:rsid w:val="008731C8"/>
    <w:rsid w:val="00880BE8"/>
    <w:rsid w:val="008842D0"/>
    <w:rsid w:val="008842DE"/>
    <w:rsid w:val="00891874"/>
    <w:rsid w:val="008936BF"/>
    <w:rsid w:val="008B068B"/>
    <w:rsid w:val="008B1D34"/>
    <w:rsid w:val="008B5E21"/>
    <w:rsid w:val="008B60C4"/>
    <w:rsid w:val="008D40CA"/>
    <w:rsid w:val="008D5979"/>
    <w:rsid w:val="008F6506"/>
    <w:rsid w:val="009125B1"/>
    <w:rsid w:val="00920541"/>
    <w:rsid w:val="00936D8B"/>
    <w:rsid w:val="00942ED9"/>
    <w:rsid w:val="00955A2F"/>
    <w:rsid w:val="00960045"/>
    <w:rsid w:val="00963956"/>
    <w:rsid w:val="009807B7"/>
    <w:rsid w:val="009904E8"/>
    <w:rsid w:val="00993B2A"/>
    <w:rsid w:val="009A6FB3"/>
    <w:rsid w:val="009C527C"/>
    <w:rsid w:val="009D143B"/>
    <w:rsid w:val="009F73FA"/>
    <w:rsid w:val="00A12687"/>
    <w:rsid w:val="00A34283"/>
    <w:rsid w:val="00A3762B"/>
    <w:rsid w:val="00A43B8D"/>
    <w:rsid w:val="00A562EB"/>
    <w:rsid w:val="00A61199"/>
    <w:rsid w:val="00A64C35"/>
    <w:rsid w:val="00A74300"/>
    <w:rsid w:val="00A7459D"/>
    <w:rsid w:val="00A76C14"/>
    <w:rsid w:val="00A770CB"/>
    <w:rsid w:val="00A901D2"/>
    <w:rsid w:val="00AA312E"/>
    <w:rsid w:val="00AA64E3"/>
    <w:rsid w:val="00AA75DA"/>
    <w:rsid w:val="00AB57A9"/>
    <w:rsid w:val="00AB785E"/>
    <w:rsid w:val="00AD4196"/>
    <w:rsid w:val="00AD5F08"/>
    <w:rsid w:val="00AF0B15"/>
    <w:rsid w:val="00AF402B"/>
    <w:rsid w:val="00AF428B"/>
    <w:rsid w:val="00AF644E"/>
    <w:rsid w:val="00B06312"/>
    <w:rsid w:val="00B074D7"/>
    <w:rsid w:val="00B11C77"/>
    <w:rsid w:val="00B123CD"/>
    <w:rsid w:val="00B13EE4"/>
    <w:rsid w:val="00B16089"/>
    <w:rsid w:val="00B26F0A"/>
    <w:rsid w:val="00B27777"/>
    <w:rsid w:val="00B33547"/>
    <w:rsid w:val="00B40654"/>
    <w:rsid w:val="00B41146"/>
    <w:rsid w:val="00B5787A"/>
    <w:rsid w:val="00B738C6"/>
    <w:rsid w:val="00B76E45"/>
    <w:rsid w:val="00B9412E"/>
    <w:rsid w:val="00BB3DBB"/>
    <w:rsid w:val="00BD0123"/>
    <w:rsid w:val="00BD7130"/>
    <w:rsid w:val="00BE0B1A"/>
    <w:rsid w:val="00BE79CC"/>
    <w:rsid w:val="00BF345A"/>
    <w:rsid w:val="00C0558F"/>
    <w:rsid w:val="00C05D32"/>
    <w:rsid w:val="00C06126"/>
    <w:rsid w:val="00C11D76"/>
    <w:rsid w:val="00C22151"/>
    <w:rsid w:val="00C227A9"/>
    <w:rsid w:val="00C257AE"/>
    <w:rsid w:val="00C41C15"/>
    <w:rsid w:val="00C45E3D"/>
    <w:rsid w:val="00C47EA6"/>
    <w:rsid w:val="00C65708"/>
    <w:rsid w:val="00C865B3"/>
    <w:rsid w:val="00C90342"/>
    <w:rsid w:val="00CB0A40"/>
    <w:rsid w:val="00CB2843"/>
    <w:rsid w:val="00CC1188"/>
    <w:rsid w:val="00CD082F"/>
    <w:rsid w:val="00CD3DA0"/>
    <w:rsid w:val="00CD6773"/>
    <w:rsid w:val="00CD73FB"/>
    <w:rsid w:val="00CE1ED9"/>
    <w:rsid w:val="00CE25E9"/>
    <w:rsid w:val="00CE35F6"/>
    <w:rsid w:val="00D00EE9"/>
    <w:rsid w:val="00D02CF5"/>
    <w:rsid w:val="00D0777F"/>
    <w:rsid w:val="00D149E9"/>
    <w:rsid w:val="00D235B9"/>
    <w:rsid w:val="00D27BEE"/>
    <w:rsid w:val="00D34D5A"/>
    <w:rsid w:val="00D654B8"/>
    <w:rsid w:val="00D876B2"/>
    <w:rsid w:val="00D921F0"/>
    <w:rsid w:val="00D9390F"/>
    <w:rsid w:val="00D97226"/>
    <w:rsid w:val="00DA50A8"/>
    <w:rsid w:val="00DA7A18"/>
    <w:rsid w:val="00DB0C0B"/>
    <w:rsid w:val="00DB173E"/>
    <w:rsid w:val="00DB1B2C"/>
    <w:rsid w:val="00DE5705"/>
    <w:rsid w:val="00DF1335"/>
    <w:rsid w:val="00DF4BC3"/>
    <w:rsid w:val="00DF7E25"/>
    <w:rsid w:val="00E14B5A"/>
    <w:rsid w:val="00E20E4F"/>
    <w:rsid w:val="00E269D8"/>
    <w:rsid w:val="00E31BA3"/>
    <w:rsid w:val="00E379C2"/>
    <w:rsid w:val="00E40BC8"/>
    <w:rsid w:val="00E4299F"/>
    <w:rsid w:val="00E63F59"/>
    <w:rsid w:val="00E64FB5"/>
    <w:rsid w:val="00E7311F"/>
    <w:rsid w:val="00E7693D"/>
    <w:rsid w:val="00E848D4"/>
    <w:rsid w:val="00E97D56"/>
    <w:rsid w:val="00EB25F3"/>
    <w:rsid w:val="00ED0A81"/>
    <w:rsid w:val="00ED322B"/>
    <w:rsid w:val="00EE29EC"/>
    <w:rsid w:val="00F00F40"/>
    <w:rsid w:val="00F029C0"/>
    <w:rsid w:val="00F03FA5"/>
    <w:rsid w:val="00F0782E"/>
    <w:rsid w:val="00F23225"/>
    <w:rsid w:val="00F255C4"/>
    <w:rsid w:val="00F318F8"/>
    <w:rsid w:val="00F41051"/>
    <w:rsid w:val="00F42A7F"/>
    <w:rsid w:val="00F44379"/>
    <w:rsid w:val="00F45903"/>
    <w:rsid w:val="00F46248"/>
    <w:rsid w:val="00F63B24"/>
    <w:rsid w:val="00F8757C"/>
    <w:rsid w:val="00F96AB5"/>
    <w:rsid w:val="00F97E16"/>
    <w:rsid w:val="00FA6AC4"/>
    <w:rsid w:val="00FB264C"/>
    <w:rsid w:val="00FB4E35"/>
    <w:rsid w:val="00FC3193"/>
    <w:rsid w:val="00FC334F"/>
    <w:rsid w:val="00FC72EF"/>
    <w:rsid w:val="00FD0CB6"/>
    <w:rsid w:val="00FD43B1"/>
    <w:rsid w:val="00FD4BC4"/>
    <w:rsid w:val="00FF7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55"/>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845C55"/>
    <w:pPr>
      <w:spacing w:after="160" w:line="240" w:lineRule="exact"/>
    </w:pPr>
    <w:rPr>
      <w:rFonts w:ascii="Verdana" w:hAnsi="Verdana"/>
      <w:sz w:val="16"/>
      <w:szCs w:val="20"/>
      <w:lang w:val="en-US" w:eastAsia="en-US"/>
    </w:rPr>
  </w:style>
  <w:style w:type="paragraph" w:styleId="Footer">
    <w:name w:val="footer"/>
    <w:basedOn w:val="Normal"/>
    <w:rsid w:val="00845C55"/>
    <w:pPr>
      <w:tabs>
        <w:tab w:val="center" w:pos="4153"/>
        <w:tab w:val="right" w:pos="8306"/>
      </w:tabs>
    </w:pPr>
    <w:rPr>
      <w:szCs w:val="20"/>
    </w:rPr>
  </w:style>
  <w:style w:type="paragraph" w:styleId="BodyText">
    <w:name w:val="Body Text"/>
    <w:basedOn w:val="Normal"/>
    <w:rsid w:val="00845C55"/>
    <w:pPr>
      <w:spacing w:after="120"/>
    </w:pPr>
  </w:style>
  <w:style w:type="character" w:styleId="Emphasis">
    <w:name w:val="Emphasis"/>
    <w:basedOn w:val="DefaultParagraphFont"/>
    <w:qFormat/>
    <w:rsid w:val="00845C55"/>
    <w:rPr>
      <w:b/>
      <w:bCs/>
      <w:i w:val="0"/>
      <w:iCs w:val="0"/>
    </w:rPr>
  </w:style>
  <w:style w:type="character" w:customStyle="1" w:styleId="Heading2Char">
    <w:name w:val="Heading 2 Char"/>
    <w:aliases w:val="Title Header2 Char"/>
    <w:rsid w:val="00180A40"/>
    <w:rPr>
      <w:sz w:val="24"/>
      <w:lang w:eastAsia="lt-LT"/>
    </w:rPr>
  </w:style>
  <w:style w:type="character" w:customStyle="1" w:styleId="Heading1Char">
    <w:name w:val="Heading 1 Char"/>
    <w:rsid w:val="00ED322B"/>
    <w:rPr>
      <w:sz w:val="28"/>
      <w:lang w:eastAsia="lt-LT"/>
    </w:rPr>
  </w:style>
  <w:style w:type="character" w:styleId="Hyperlink">
    <w:name w:val="Hyperlink"/>
    <w:unhideWhenUsed/>
    <w:rsid w:val="00CE35F6"/>
    <w:rPr>
      <w:color w:val="0000FF"/>
      <w:u w:val="single"/>
    </w:rPr>
  </w:style>
  <w:style w:type="character" w:styleId="PageNumber">
    <w:name w:val="page number"/>
    <w:basedOn w:val="DefaultParagraphFont"/>
    <w:rsid w:val="0050419E"/>
  </w:style>
  <w:style w:type="paragraph" w:styleId="BalloonText">
    <w:name w:val="Balloon Text"/>
    <w:basedOn w:val="Normal"/>
    <w:link w:val="BalloonTextChar"/>
    <w:uiPriority w:val="99"/>
    <w:semiHidden/>
    <w:unhideWhenUsed/>
    <w:rsid w:val="0055270D"/>
    <w:rPr>
      <w:rFonts w:ascii="Tahoma" w:hAnsi="Tahoma" w:cs="Tahoma"/>
      <w:sz w:val="16"/>
      <w:szCs w:val="16"/>
    </w:rPr>
  </w:style>
  <w:style w:type="character" w:customStyle="1" w:styleId="BalloonTextChar">
    <w:name w:val="Balloon Text Char"/>
    <w:basedOn w:val="DefaultParagraphFont"/>
    <w:link w:val="BalloonText"/>
    <w:uiPriority w:val="99"/>
    <w:semiHidden/>
    <w:rsid w:val="0055270D"/>
    <w:rPr>
      <w:rFonts w:ascii="Tahoma" w:hAnsi="Tahoma" w:cs="Tahoma"/>
      <w:sz w:val="16"/>
      <w:szCs w:val="16"/>
      <w:lang w:val="lt-LT"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6.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Times New Roman" pitchFamily="18" charset="0"/>
                <a:ea typeface="Arial"/>
                <a:cs typeface="Times New Roman" pitchFamily="18" charset="0"/>
              </a:defRPr>
            </a:pPr>
            <a:r>
              <a:rPr lang="lt-LT" sz="1200" b="0" i="0" u="none" strike="noStrike" baseline="0">
                <a:solidFill>
                  <a:srgbClr val="000000"/>
                </a:solidFill>
                <a:latin typeface="Times New Roman" pitchFamily="18" charset="0"/>
                <a:cs typeface="Times New Roman" pitchFamily="18" charset="0"/>
              </a:rPr>
              <a:t>1 diagrama. Panevėžio miesto plėtros  Strateginio plano priemonių vykdymas už 201</a:t>
            </a:r>
            <a:r>
              <a:rPr lang="en-US" sz="1200" b="0" i="0" u="none" strike="noStrike" baseline="0">
                <a:solidFill>
                  <a:srgbClr val="000000"/>
                </a:solidFill>
                <a:latin typeface="Times New Roman" pitchFamily="18" charset="0"/>
                <a:cs typeface="Times New Roman" pitchFamily="18" charset="0"/>
              </a:rPr>
              <a:t>3</a:t>
            </a:r>
            <a:r>
              <a:rPr lang="lt-LT" sz="1200" b="0" i="0" u="none" strike="noStrike" baseline="0">
                <a:solidFill>
                  <a:srgbClr val="000000"/>
                </a:solidFill>
                <a:latin typeface="Times New Roman" pitchFamily="18" charset="0"/>
                <a:cs typeface="Times New Roman" pitchFamily="18" charset="0"/>
              </a:rPr>
              <a:t> metus </a:t>
            </a:r>
          </a:p>
        </c:rich>
      </c:tx>
      <c:layout>
        <c:manualLayout>
          <c:xMode val="edge"/>
          <c:yMode val="edge"/>
          <c:x val="0.16904276985743491"/>
          <c:y val="2.7874564459930428E-2"/>
        </c:manualLayout>
      </c:layout>
      <c:spPr>
        <a:noFill/>
        <a:ln w="25400">
          <a:noFill/>
        </a:ln>
      </c:spPr>
    </c:title>
    <c:plotArea>
      <c:layout>
        <c:manualLayout>
          <c:layoutTarget val="inner"/>
          <c:xMode val="edge"/>
          <c:yMode val="edge"/>
          <c:x val="0.224032586558045"/>
          <c:y val="0.27874564459930279"/>
          <c:w val="0.31839782756279805"/>
          <c:h val="0.49316508937960279"/>
        </c:manualLayout>
      </c:layout>
      <c:pieChart>
        <c:varyColors val="1"/>
        <c:ser>
          <c:idx val="0"/>
          <c:order val="0"/>
          <c:spPr>
            <a:solidFill>
              <a:srgbClr val="9999FF"/>
            </a:solidFill>
            <a:ln w="12700">
              <a:solidFill>
                <a:srgbClr val="000000"/>
              </a:solidFill>
              <a:prstDash val="solid"/>
            </a:ln>
          </c:spPr>
          <c:explosion val="25"/>
          <c:dPt>
            <c:idx val="1"/>
            <c:spPr>
              <a:solidFill>
                <a:srgbClr val="993366"/>
              </a:solidFill>
              <a:ln w="12700">
                <a:solidFill>
                  <a:srgbClr val="000000"/>
                </a:solidFill>
                <a:prstDash val="solid"/>
              </a:ln>
            </c:spPr>
          </c:dPt>
          <c:dLbls>
            <c:dLbl>
              <c:idx val="0"/>
              <c:tx>
                <c:rich>
                  <a:bodyPr/>
                  <a:lstStyle/>
                  <a:p>
                    <a:r>
                      <a:rPr lang="en-US"/>
                      <a:t>87%</a:t>
                    </a:r>
                  </a:p>
                </c:rich>
              </c:tx>
              <c:showPercent val="1"/>
            </c:dLbl>
            <c:dLbl>
              <c:idx val="1"/>
              <c:tx>
                <c:rich>
                  <a:bodyPr/>
                  <a:lstStyle/>
                  <a:p>
                    <a:r>
                      <a:rPr lang="en-US"/>
                      <a:t>13%</a:t>
                    </a:r>
                  </a:p>
                </c:rich>
              </c:tx>
              <c:showPercent val="1"/>
            </c:dLbl>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en-US"/>
              </a:p>
            </c:txPr>
            <c:showPercent val="1"/>
            <c:showLeaderLines val="1"/>
          </c:dLbls>
          <c:cat>
            <c:strRef>
              <c:f>rodikliai!$C$5:$C$6</c:f>
              <c:strCache>
                <c:ptCount val="2"/>
                <c:pt idx="0">
                  <c:v>Vykdoma priemonių</c:v>
                </c:pt>
                <c:pt idx="1">
                  <c:v>Nevykdoma priemonių</c:v>
                </c:pt>
              </c:strCache>
            </c:strRef>
          </c:cat>
          <c:val>
            <c:numRef>
              <c:f>rodikliai!$D$5:$D$6</c:f>
              <c:numCache>
                <c:formatCode>General</c:formatCode>
                <c:ptCount val="2"/>
                <c:pt idx="0">
                  <c:v>95</c:v>
                </c:pt>
                <c:pt idx="1">
                  <c:v>19</c:v>
                </c:pt>
              </c:numCache>
            </c:numRef>
          </c:val>
        </c:ser>
        <c:dLbls>
          <c:showPercent val="1"/>
        </c:dLbls>
        <c:firstSliceAng val="0"/>
      </c:pieChart>
      <c:spPr>
        <a:noFill/>
        <a:ln w="25400">
          <a:noFill/>
        </a:ln>
      </c:spPr>
    </c:plotArea>
    <c:legend>
      <c:legendPos val="r"/>
      <c:layout>
        <c:manualLayout>
          <c:xMode val="edge"/>
          <c:yMode val="edge"/>
          <c:x val="0.6985743380855407"/>
          <c:y val="0.5331010452961672"/>
          <c:w val="0.28513238289205806"/>
          <c:h val="0.14982578397212604"/>
        </c:manualLayout>
      </c:layout>
      <c:spPr>
        <a:solidFill>
          <a:srgbClr val="FFFFFF"/>
        </a:solidFill>
        <a:ln w="25400">
          <a:noFill/>
        </a:ln>
      </c:spPr>
      <c:txPr>
        <a:bodyPr/>
        <a:lstStyle/>
        <a:p>
          <a:pPr>
            <a:defRPr sz="920" b="0" i="0" u="none" strike="noStrike" baseline="0">
              <a:solidFill>
                <a:srgbClr val="000000"/>
              </a:solidFill>
              <a:latin typeface="Times New Roman" pitchFamily="18" charset="0"/>
              <a:ea typeface="Times New Roman"/>
              <a:cs typeface="Times New Roman" pitchFamily="18" charset="0"/>
            </a:defRPr>
          </a:pPr>
          <a:endParaRPr lang="en-US"/>
        </a:p>
      </c:txPr>
    </c:legend>
    <c:plotVisOnly val="1"/>
    <c:dispBlanksAs val="zero"/>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2737642585551381E-2"/>
          <c:y val="0.11538461538461539"/>
          <c:w val="0.9201520912547525"/>
          <c:h val="0.68681318681318682"/>
        </c:manualLayout>
      </c:layout>
      <c:lineChart>
        <c:grouping val="standard"/>
        <c:ser>
          <c:idx val="0"/>
          <c:order val="0"/>
          <c:tx>
            <c:strRef>
              <c:f>Sheet1!$A$2</c:f>
              <c:strCache>
                <c:ptCount val="1"/>
                <c:pt idx="0">
                  <c:v>East</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Sheet1!$B$1:$G$1</c:f>
              <c:numCache>
                <c:formatCode>General</c:formatCode>
                <c:ptCount val="6"/>
                <c:pt idx="0">
                  <c:v>2009</c:v>
                </c:pt>
                <c:pt idx="1">
                  <c:v>2010</c:v>
                </c:pt>
                <c:pt idx="2">
                  <c:v>2011</c:v>
                </c:pt>
                <c:pt idx="3">
                  <c:v>2012</c:v>
                </c:pt>
                <c:pt idx="4">
                  <c:v>2013</c:v>
                </c:pt>
              </c:numCache>
            </c:numRef>
          </c:cat>
          <c:val>
            <c:numRef>
              <c:f>Sheet1!$B$2:$G$2</c:f>
              <c:numCache>
                <c:formatCode>General</c:formatCode>
                <c:ptCount val="6"/>
                <c:pt idx="0">
                  <c:v>12.2</c:v>
                </c:pt>
                <c:pt idx="1">
                  <c:v>16.399999999999999</c:v>
                </c:pt>
                <c:pt idx="2">
                  <c:v>14.9</c:v>
                </c:pt>
                <c:pt idx="3">
                  <c:v>12.8</c:v>
                </c:pt>
                <c:pt idx="4">
                  <c:v>11.3</c:v>
                </c:pt>
              </c:numCache>
            </c:numRef>
          </c:val>
        </c:ser>
        <c:ser>
          <c:idx val="1"/>
          <c:order val="1"/>
          <c:tx>
            <c:strRef>
              <c:f>Sheet1!$A$3</c:f>
              <c:strCache>
                <c:ptCount val="1"/>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numRef>
              <c:f>Sheet1!$B$1:$G$1</c:f>
              <c:numCache>
                <c:formatCode>General</c:formatCode>
                <c:ptCount val="6"/>
                <c:pt idx="0">
                  <c:v>2009</c:v>
                </c:pt>
                <c:pt idx="1">
                  <c:v>2010</c:v>
                </c:pt>
                <c:pt idx="2">
                  <c:v>2011</c:v>
                </c:pt>
                <c:pt idx="3">
                  <c:v>2012</c:v>
                </c:pt>
                <c:pt idx="4">
                  <c:v>2013</c:v>
                </c:pt>
              </c:numCache>
            </c:numRef>
          </c:cat>
          <c:val>
            <c:numRef>
              <c:f>Sheet1!$B$3:$G$3</c:f>
              <c:numCache>
                <c:formatCode>General</c:formatCode>
                <c:ptCount val="6"/>
              </c:numCache>
            </c:numRef>
          </c:val>
        </c:ser>
        <c:marker val="1"/>
        <c:axId val="113945984"/>
        <c:axId val="113956352"/>
      </c:lineChart>
      <c:catAx>
        <c:axId val="113945984"/>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13956352"/>
        <c:crosses val="autoZero"/>
        <c:auto val="1"/>
        <c:lblAlgn val="ctr"/>
        <c:lblOffset val="100"/>
        <c:tickLblSkip val="1"/>
        <c:tickMarkSkip val="1"/>
      </c:catAx>
      <c:valAx>
        <c:axId val="11395635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13945984"/>
        <c:crosses val="autoZero"/>
        <c:crossBetween val="between"/>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1227436823104682E-2"/>
          <c:y val="0.11538461538461539"/>
          <c:w val="0.90252707581227232"/>
          <c:h val="0.68681318681318682"/>
        </c:manualLayout>
      </c:layout>
      <c:lineChart>
        <c:grouping val="standard"/>
        <c:ser>
          <c:idx val="0"/>
          <c:order val="0"/>
          <c:tx>
            <c:strRef>
              <c:f>Sheet1!$A$2</c:f>
              <c:strCache>
                <c:ptCount val="1"/>
                <c:pt idx="0">
                  <c:v>East</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0845697824910039E-2"/>
                  <c:y val="-8.0366240277657597E-2"/>
                </c:manualLayout>
              </c:layout>
              <c:dLblPos val="r"/>
              <c:showVal val="1"/>
            </c:dLbl>
            <c:dLbl>
              <c:idx val="1"/>
              <c:layout>
                <c:manualLayout>
                  <c:x val="-1.1820400858372677E-2"/>
                  <c:y val="1.876394657398596E-2"/>
                </c:manualLayout>
              </c:layout>
              <c:dLblPos val="r"/>
              <c:showVal val="1"/>
            </c:dLbl>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3373</c:v>
                </c:pt>
                <c:pt idx="1">
                  <c:v>3458</c:v>
                </c:pt>
                <c:pt idx="2">
                  <c:v>3191</c:v>
                </c:pt>
                <c:pt idx="3">
                  <c:v>3235</c:v>
                </c:pt>
                <c:pt idx="4">
                  <c:v>3323</c:v>
                </c:pt>
              </c:numCache>
            </c:numRef>
          </c:val>
        </c:ser>
        <c:ser>
          <c:idx val="1"/>
          <c:order val="1"/>
          <c:tx>
            <c:strRef>
              <c:f>Sheet1!$A$3</c:f>
              <c:strCache>
                <c:ptCount val="1"/>
              </c:strCache>
            </c:strRef>
          </c:tx>
          <c:spPr>
            <a:ln w="12700">
              <a:solidFill>
                <a:srgbClr val="FF00FF"/>
              </a:solidFill>
              <a:prstDash val="solid"/>
            </a:ln>
          </c:spPr>
          <c:marker>
            <c:symbol val="square"/>
            <c:size val="4"/>
            <c:spPr>
              <a:solidFill>
                <a:srgbClr val="FF00FF"/>
              </a:solidFill>
              <a:ln>
                <a:solidFill>
                  <a:srgbClr val="FF00FF"/>
                </a:solidFill>
                <a:prstDash val="solid"/>
              </a:ln>
            </c:spPr>
          </c:marker>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numCache>
            </c:numRef>
          </c:val>
        </c:ser>
        <c:marker val="1"/>
        <c:axId val="113751168"/>
        <c:axId val="113753088"/>
      </c:lineChart>
      <c:catAx>
        <c:axId val="113751168"/>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13753088"/>
        <c:crosses val="autoZero"/>
        <c:auto val="1"/>
        <c:lblAlgn val="ctr"/>
        <c:lblOffset val="100"/>
        <c:tickLblSkip val="1"/>
        <c:tickMarkSkip val="1"/>
      </c:catAx>
      <c:valAx>
        <c:axId val="11375308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13751168"/>
        <c:crosses val="autoZero"/>
        <c:crossBetween val="between"/>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Arial"/>
                <a:ea typeface="Arial"/>
                <a:cs typeface="Arial"/>
              </a:defRPr>
            </a:pPr>
            <a:r>
              <a:rPr lang="lt-LT"/>
              <a:t>11 diagrama. Panevėžio miesto strateginio plano II prioriteto veiksmų vykdymas 2013 m.</a:t>
            </a:r>
          </a:p>
        </c:rich>
      </c:tx>
      <c:layout>
        <c:manualLayout>
          <c:xMode val="edge"/>
          <c:yMode val="edge"/>
          <c:x val="0.14663951120162932"/>
          <c:y val="3.6764705882352949E-2"/>
        </c:manualLayout>
      </c:layout>
      <c:spPr>
        <a:noFill/>
        <a:ln w="25400">
          <a:noFill/>
        </a:ln>
      </c:spPr>
    </c:title>
    <c:plotArea>
      <c:layout>
        <c:manualLayout>
          <c:layoutTarget val="inner"/>
          <c:xMode val="edge"/>
          <c:yMode val="edge"/>
          <c:x val="0.22810590631364511"/>
          <c:y val="0.38235294117647289"/>
          <c:w val="0.23625254582484725"/>
          <c:h val="0.42647058823529593"/>
        </c:manualLayout>
      </c:layout>
      <c:pieChart>
        <c:varyColors val="1"/>
        <c:ser>
          <c:idx val="0"/>
          <c:order val="0"/>
          <c:spPr>
            <a:solidFill>
              <a:srgbClr val="9999FF"/>
            </a:solidFill>
            <a:ln w="12700">
              <a:solidFill>
                <a:srgbClr val="000000"/>
              </a:solidFill>
              <a:prstDash val="solid"/>
            </a:ln>
          </c:spPr>
          <c:explosion val="25"/>
          <c:dPt>
            <c:idx val="1"/>
            <c:spPr>
              <a:solidFill>
                <a:srgbClr val="993366"/>
              </a:solidFill>
              <a:ln w="12700">
                <a:solidFill>
                  <a:srgbClr val="000000"/>
                </a:solidFill>
                <a:prstDash val="solid"/>
              </a:ln>
            </c:spPr>
          </c:dPt>
          <c:dLbls>
            <c:dLbl>
              <c:idx val="0"/>
              <c:tx>
                <c:rich>
                  <a:bodyPr/>
                  <a:lstStyle/>
                  <a:p>
                    <a:r>
                      <a:rPr lang="lt-LT"/>
                      <a:t>87</a:t>
                    </a:r>
                    <a:r>
                      <a:rPr lang="en-US"/>
                      <a:t>%</a:t>
                    </a:r>
                  </a:p>
                </c:rich>
              </c:tx>
              <c:showPercent val="1"/>
            </c:dLbl>
            <c:dLbl>
              <c:idx val="1"/>
              <c:tx>
                <c:rich>
                  <a:bodyPr/>
                  <a:lstStyle/>
                  <a:p>
                    <a:r>
                      <a:rPr lang="lt-LT"/>
                      <a:t>13</a:t>
                    </a:r>
                    <a:r>
                      <a:rPr lang="en-US"/>
                      <a:t>%</a:t>
                    </a:r>
                  </a:p>
                </c:rich>
              </c:tx>
              <c:showPercent val="1"/>
            </c:dLbl>
            <c:numFmt formatCode="0%" sourceLinked="0"/>
            <c:spPr>
              <a:noFill/>
              <a:ln w="25400">
                <a:noFill/>
              </a:ln>
            </c:spPr>
            <c:txPr>
              <a:bodyPr/>
              <a:lstStyle/>
              <a:p>
                <a:pPr>
                  <a:defRPr sz="950" b="0" i="0" u="none" strike="noStrike" baseline="0">
                    <a:solidFill>
                      <a:srgbClr val="000000"/>
                    </a:solidFill>
                    <a:latin typeface="Arial"/>
                    <a:ea typeface="Arial"/>
                    <a:cs typeface="Arial"/>
                  </a:defRPr>
                </a:pPr>
                <a:endParaRPr lang="en-US"/>
              </a:p>
            </c:txPr>
            <c:showPercent val="1"/>
            <c:showLeaderLines val="1"/>
          </c:dLbls>
          <c:cat>
            <c:strRef>
              <c:f>rodikliai!$C$110:$C$111</c:f>
              <c:strCache>
                <c:ptCount val="2"/>
                <c:pt idx="0">
                  <c:v>Vykdoma priemonių</c:v>
                </c:pt>
                <c:pt idx="1">
                  <c:v>Nevykdoma (ar dalinai vykdoma) priemonių</c:v>
                </c:pt>
              </c:strCache>
            </c:strRef>
          </c:cat>
          <c:val>
            <c:numRef>
              <c:f>rodikliai!$D$110:$D$111</c:f>
              <c:numCache>
                <c:formatCode>General</c:formatCode>
                <c:ptCount val="2"/>
                <c:pt idx="0">
                  <c:v>33</c:v>
                </c:pt>
                <c:pt idx="1">
                  <c:v>8</c:v>
                </c:pt>
              </c:numCache>
            </c:numRef>
          </c:val>
        </c:ser>
        <c:dLbls>
          <c:showPercent val="1"/>
        </c:dLbls>
        <c:firstSliceAng val="0"/>
      </c:pieChart>
      <c:spPr>
        <a:noFill/>
        <a:ln w="25400">
          <a:noFill/>
        </a:ln>
      </c:spPr>
    </c:plotArea>
    <c:legend>
      <c:legendPos val="r"/>
      <c:layout>
        <c:manualLayout>
          <c:xMode val="edge"/>
          <c:yMode val="edge"/>
          <c:x val="0.6863543788187374"/>
          <c:y val="0.45955882352941307"/>
          <c:w val="0.29938900203666113"/>
          <c:h val="0.27573529411764702"/>
        </c:manualLayout>
      </c:layout>
      <c:spPr>
        <a:solidFill>
          <a:srgbClr val="FFFFFF"/>
        </a:solidFill>
        <a:ln w="25400">
          <a:noFill/>
        </a:ln>
      </c:spPr>
      <c:txPr>
        <a:bodyPr/>
        <a:lstStyle/>
        <a:p>
          <a:pPr>
            <a:defRPr sz="870" b="0" i="0" u="none" strike="noStrike" baseline="0">
              <a:solidFill>
                <a:srgbClr val="000000"/>
              </a:solidFill>
              <a:latin typeface="Arial"/>
              <a:ea typeface="Arial"/>
              <a:cs typeface="Arial"/>
            </a:defRPr>
          </a:pPr>
          <a:endParaRPr lang="en-US"/>
        </a:p>
      </c:txPr>
    </c:legend>
    <c:plotVisOnly val="1"/>
    <c:dispBlanksAs val="zero"/>
  </c:chart>
  <c:spPr>
    <a:solidFill>
      <a:srgbClr val="FFFFFF"/>
    </a:solidFill>
    <a:ln w="9525">
      <a:noFill/>
    </a:ln>
  </c:spPr>
  <c:txPr>
    <a:bodyPr/>
    <a:lstStyle/>
    <a:p>
      <a:pPr>
        <a:defRPr sz="950" b="0" i="0" u="none" strike="noStrike" baseline="0">
          <a:solidFill>
            <a:srgbClr val="000000"/>
          </a:solidFill>
          <a:latin typeface="Arial"/>
          <a:ea typeface="Arial"/>
          <a:cs typeface="Arial"/>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8958333333333801E-2"/>
          <c:y val="0.11538461538461539"/>
          <c:w val="0.8854166666666643"/>
          <c:h val="0.68681318681318682"/>
        </c:manualLayout>
      </c:layout>
      <c:lineChart>
        <c:grouping val="stacked"/>
        <c:ser>
          <c:idx val="0"/>
          <c:order val="0"/>
          <c:tx>
            <c:strRef>
              <c:f>Sheet1!$A$2</c:f>
              <c:strCache>
                <c:ptCount val="1"/>
                <c:pt idx="0">
                  <c:v>Gyventojų skaičius</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1"/>
              <c:layout>
                <c:manualLayout>
                  <c:x val="-1.3651877133105814E-2"/>
                  <c:y val="-7.6388888888888895E-2"/>
                </c:manualLayout>
              </c:layout>
              <c:showVal val="1"/>
            </c:dLbl>
            <c:dLbl>
              <c:idx val="2"/>
              <c:layout>
                <c:manualLayout>
                  <c:x val="-6.8259385665528959E-3"/>
                  <c:y val="-6.25E-2"/>
                </c:manualLayout>
              </c:layout>
              <c:showVal val="1"/>
            </c:dLbl>
            <c:dLbl>
              <c:idx val="3"/>
              <c:layout>
                <c:manualLayout>
                  <c:x val="-6.8259385665528959E-3"/>
                  <c:y val="-6.25E-2"/>
                </c:manualLayout>
              </c:layout>
              <c:showVal val="1"/>
            </c:dLbl>
            <c:dLbl>
              <c:idx val="4"/>
              <c:layout>
                <c:manualLayout>
                  <c:x val="-9.1012514220705169E-3"/>
                  <c:y val="-5.5555555555555455E-2"/>
                </c:manualLayout>
              </c:layout>
              <c:showVal val="1"/>
            </c:dLbl>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103101</c:v>
                </c:pt>
                <c:pt idx="1">
                  <c:v>100027</c:v>
                </c:pt>
                <c:pt idx="2">
                  <c:v>98469</c:v>
                </c:pt>
                <c:pt idx="3">
                  <c:v>97343</c:v>
                </c:pt>
                <c:pt idx="4">
                  <c:v>96328</c:v>
                </c:pt>
              </c:numCache>
            </c:numRef>
          </c:val>
        </c:ser>
        <c:marker val="1"/>
        <c:axId val="114410624"/>
        <c:axId val="114412160"/>
      </c:lineChart>
      <c:catAx>
        <c:axId val="114410624"/>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14412160"/>
        <c:crosses val="autoZero"/>
        <c:auto val="1"/>
        <c:lblAlgn val="ctr"/>
        <c:lblOffset val="100"/>
        <c:tickLblSkip val="1"/>
        <c:tickMarkSkip val="1"/>
      </c:catAx>
      <c:valAx>
        <c:axId val="114412160"/>
        <c:scaling>
          <c:orientation val="minMax"/>
        </c:scaling>
        <c:axPos val="l"/>
        <c:majorGridlines>
          <c:spPr>
            <a:ln w="3175">
              <a:solidFill>
                <a:srgbClr val="000000"/>
              </a:solidFill>
              <a:prstDash val="solid"/>
            </a:ln>
          </c:spPr>
        </c:majorGridlines>
        <c:numFmt formatCode="General" sourceLinked="1"/>
        <c:tickLblPos val="nextTo"/>
        <c:spPr>
          <a:ln w="9525">
            <a:noFill/>
          </a:ln>
        </c:spPr>
        <c:txPr>
          <a:bodyPr rot="0" vert="horz"/>
          <a:lstStyle/>
          <a:p>
            <a:pPr>
              <a:defRPr sz="800" b="1" i="0" u="none" strike="noStrike" baseline="0">
                <a:solidFill>
                  <a:srgbClr val="000000"/>
                </a:solidFill>
                <a:latin typeface="Arial"/>
                <a:ea typeface="Arial"/>
                <a:cs typeface="Arial"/>
              </a:defRPr>
            </a:pPr>
            <a:endParaRPr lang="en-US"/>
          </a:p>
        </c:txPr>
        <c:crossAx val="114410624"/>
        <c:crosses val="autoZero"/>
        <c:crossBetween val="between"/>
      </c:valAx>
      <c:spPr>
        <a:solidFill>
          <a:srgbClr val="C0C0C0"/>
        </a:solidFill>
        <a:ln w="12700">
          <a:solidFill>
            <a:srgbClr val="808080"/>
          </a:solidFill>
          <a:prstDash val="solid"/>
        </a:ln>
      </c:spPr>
    </c:plotArea>
    <c:plotVisOnly val="1"/>
    <c:dispBlanksAs val="zero"/>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2356215213358124E-2"/>
          <c:y val="0.12962962962962893"/>
          <c:w val="0.91094619666048471"/>
          <c:h val="0.64814814814815036"/>
        </c:manualLayout>
      </c:layout>
      <c:lineChart>
        <c:grouping val="standard"/>
        <c:ser>
          <c:idx val="0"/>
          <c:order val="0"/>
          <c:tx>
            <c:strRef>
              <c:f>Sheet1!$A$2</c:f>
              <c:strCache>
                <c:ptCount val="1"/>
              </c:strCache>
            </c:strRef>
          </c:tx>
          <c:spPr>
            <a:ln w="1263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4420024420024446E-3"/>
                  <c:y val="5.4263565891472874E-2"/>
                </c:manualLayout>
              </c:layout>
              <c:showVal val="1"/>
            </c:dLbl>
            <c:dLbl>
              <c:idx val="1"/>
              <c:layout>
                <c:manualLayout>
                  <c:x val="-4.8840048840048424E-3"/>
                  <c:y val="4.651162790697682E-2"/>
                </c:manualLayout>
              </c:layout>
              <c:showVal val="1"/>
            </c:dLbl>
            <c:dLbl>
              <c:idx val="2"/>
              <c:layout>
                <c:manualLayout>
                  <c:x val="-4.8840048840048892E-3"/>
                  <c:y val="6.9767441860465185E-2"/>
                </c:manualLayout>
              </c:layout>
              <c:showVal val="1"/>
            </c:dLbl>
            <c:dLbl>
              <c:idx val="3"/>
              <c:layout>
                <c:manualLayout>
                  <c:x val="-4.8840048840048892E-3"/>
                  <c:y val="3.1007751937984489E-2"/>
                </c:manualLayout>
              </c:layout>
              <c:showVal val="1"/>
            </c:dLbl>
            <c:spPr>
              <a:noFill/>
              <a:ln w="25261">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504</c:v>
                </c:pt>
                <c:pt idx="1">
                  <c:v>509</c:v>
                </c:pt>
                <c:pt idx="2">
                  <c:v>517</c:v>
                </c:pt>
                <c:pt idx="3">
                  <c:v>528</c:v>
                </c:pt>
                <c:pt idx="4">
                  <c:v>541</c:v>
                </c:pt>
              </c:numCache>
            </c:numRef>
          </c:val>
        </c:ser>
        <c:marker val="1"/>
        <c:axId val="114235264"/>
        <c:axId val="114236800"/>
      </c:lineChart>
      <c:catAx>
        <c:axId val="114235264"/>
        <c:scaling>
          <c:orientation val="minMax"/>
        </c:scaling>
        <c:axPos val="b"/>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14236800"/>
        <c:crosses val="autoZero"/>
        <c:auto val="1"/>
        <c:lblAlgn val="ctr"/>
        <c:lblOffset val="100"/>
        <c:tickLblSkip val="1"/>
        <c:tickMarkSkip val="1"/>
      </c:catAx>
      <c:valAx>
        <c:axId val="114236800"/>
        <c:scaling>
          <c:orientation val="minMax"/>
          <c:min val="0"/>
        </c:scaling>
        <c:axPos val="l"/>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14235264"/>
        <c:crosses val="autoZero"/>
        <c:crossBetween val="between"/>
        <c:majorUnit val="200"/>
      </c:valAx>
      <c:spPr>
        <a:solidFill>
          <a:srgbClr val="C0C0C0"/>
        </a:solidFill>
        <a:ln w="12630">
          <a:solidFill>
            <a:srgbClr val="808080"/>
          </a:solidFill>
          <a:prstDash val="solid"/>
        </a:ln>
      </c:spPr>
    </c:plotArea>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1913696060037701E-2"/>
          <c:y val="0.10714285714285714"/>
          <c:w val="0.92120075046904315"/>
          <c:h val="0.70918367346938993"/>
        </c:manualLayout>
      </c:layout>
      <c:lineChart>
        <c:grouping val="stacked"/>
        <c:ser>
          <c:idx val="0"/>
          <c:order val="0"/>
          <c:tx>
            <c:strRef>
              <c:f>Sheet1!$A$2</c:f>
              <c:strCache>
                <c:ptCount val="1"/>
                <c:pt idx="0">
                  <c:v>Vežta keleivių miesto visuomeniniu transportu</c:v>
                </c:pt>
              </c:strCache>
            </c:strRef>
          </c:tx>
          <c:spPr>
            <a:ln w="12625">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5841584158415863E-2"/>
                  <c:y val="4.8611111111111112E-2"/>
                </c:manualLayout>
              </c:layout>
              <c:showVal val="1"/>
            </c:dLbl>
            <c:dLbl>
              <c:idx val="1"/>
              <c:layout>
                <c:manualLayout>
                  <c:x val="5.2805280528052823E-3"/>
                  <c:y val="6.25E-2"/>
                </c:manualLayout>
              </c:layout>
              <c:showVal val="1"/>
            </c:dLbl>
            <c:dLbl>
              <c:idx val="2"/>
              <c:layout>
                <c:manualLayout>
                  <c:x val="-7.9207920792079296E-3"/>
                  <c:y val="-7.6388888888888895E-2"/>
                </c:manualLayout>
              </c:layout>
              <c:showVal val="1"/>
            </c:dLbl>
            <c:dLbl>
              <c:idx val="3"/>
              <c:layout>
                <c:manualLayout>
                  <c:x val="0"/>
                  <c:y val="3.4722222222222286E-2"/>
                </c:manualLayout>
              </c:layout>
              <c:showVal val="1"/>
            </c:dLbl>
            <c:spPr>
              <a:noFill/>
              <a:ln w="25251">
                <a:noFill/>
              </a:ln>
            </c:spPr>
            <c:txPr>
              <a:bodyPr/>
              <a:lstStyle/>
              <a:p>
                <a:pPr>
                  <a:defRPr sz="845"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9.5</c:v>
                </c:pt>
                <c:pt idx="1">
                  <c:v>9.9</c:v>
                </c:pt>
                <c:pt idx="2">
                  <c:v>12.1</c:v>
                </c:pt>
                <c:pt idx="3">
                  <c:v>8.9</c:v>
                </c:pt>
                <c:pt idx="4">
                  <c:v>9.2000000000000011</c:v>
                </c:pt>
              </c:numCache>
            </c:numRef>
          </c:val>
        </c:ser>
        <c:marker val="1"/>
        <c:axId val="114498176"/>
        <c:axId val="114504064"/>
      </c:lineChart>
      <c:catAx>
        <c:axId val="114498176"/>
        <c:scaling>
          <c:orientation val="minMax"/>
        </c:scaling>
        <c:axPos val="b"/>
        <c:numFmt formatCode="General" sourceLinked="1"/>
        <c:tickLblPos val="nextTo"/>
        <c:spPr>
          <a:ln w="3156">
            <a:solidFill>
              <a:srgbClr val="000000"/>
            </a:solidFill>
            <a:prstDash val="solid"/>
          </a:ln>
        </c:spPr>
        <c:txPr>
          <a:bodyPr rot="0" vert="horz"/>
          <a:lstStyle/>
          <a:p>
            <a:pPr>
              <a:defRPr sz="845" b="1" i="0" u="none" strike="noStrike" baseline="0">
                <a:solidFill>
                  <a:srgbClr val="000000"/>
                </a:solidFill>
                <a:latin typeface="Arial"/>
                <a:ea typeface="Arial"/>
                <a:cs typeface="Arial"/>
              </a:defRPr>
            </a:pPr>
            <a:endParaRPr lang="en-US"/>
          </a:p>
        </c:txPr>
        <c:crossAx val="114504064"/>
        <c:crosses val="autoZero"/>
        <c:auto val="1"/>
        <c:lblAlgn val="ctr"/>
        <c:lblOffset val="100"/>
        <c:tickLblSkip val="1"/>
        <c:tickMarkSkip val="1"/>
      </c:catAx>
      <c:valAx>
        <c:axId val="114504064"/>
        <c:scaling>
          <c:orientation val="minMax"/>
        </c:scaling>
        <c:axPos val="l"/>
        <c:majorGridlines>
          <c:spPr>
            <a:ln w="3156">
              <a:solidFill>
                <a:srgbClr val="000000"/>
              </a:solidFill>
              <a:prstDash val="solid"/>
            </a:ln>
          </c:spPr>
        </c:majorGridlines>
        <c:numFmt formatCode="General" sourceLinked="1"/>
        <c:tickLblPos val="nextTo"/>
        <c:spPr>
          <a:ln w="3156">
            <a:solidFill>
              <a:srgbClr val="000000"/>
            </a:solidFill>
            <a:prstDash val="solid"/>
          </a:ln>
        </c:spPr>
        <c:txPr>
          <a:bodyPr rot="0" vert="horz"/>
          <a:lstStyle/>
          <a:p>
            <a:pPr>
              <a:defRPr sz="845" b="1" i="0" u="none" strike="noStrike" baseline="0">
                <a:solidFill>
                  <a:srgbClr val="000000"/>
                </a:solidFill>
                <a:latin typeface="Arial"/>
                <a:ea typeface="Arial"/>
                <a:cs typeface="Arial"/>
              </a:defRPr>
            </a:pPr>
            <a:endParaRPr lang="en-US"/>
          </a:p>
        </c:txPr>
        <c:crossAx val="114498176"/>
        <c:crosses val="autoZero"/>
        <c:crossBetween val="between"/>
        <c:majorUnit val="6"/>
      </c:valAx>
      <c:spPr>
        <a:solidFill>
          <a:srgbClr val="C0C0C0"/>
        </a:solidFill>
        <a:ln w="12625">
          <a:solidFill>
            <a:srgbClr val="808080"/>
          </a:solidFill>
          <a:prstDash val="solid"/>
        </a:ln>
      </c:spPr>
    </c:plotArea>
    <c:plotVisOnly val="1"/>
    <c:dispBlanksAs val="zero"/>
  </c:chart>
  <c:spPr>
    <a:noFill/>
    <a:ln>
      <a:noFill/>
    </a:ln>
  </c:spPr>
  <c:txPr>
    <a:bodyPr/>
    <a:lstStyle/>
    <a:p>
      <a:pPr>
        <a:defRPr sz="845" b="1" i="0" u="none" strike="noStrike" baseline="0">
          <a:solidFill>
            <a:srgbClr val="000000"/>
          </a:solidFill>
          <a:latin typeface="Arial"/>
          <a:ea typeface="Arial"/>
          <a:cs typeface="Arial"/>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6798623063683509E-2"/>
          <c:y val="0.11538461538461539"/>
          <c:w val="0.66092943201377585"/>
          <c:h val="0.68681318681318682"/>
        </c:manualLayout>
      </c:layout>
      <c:lineChart>
        <c:grouping val="standard"/>
        <c:ser>
          <c:idx val="0"/>
          <c:order val="0"/>
          <c:tx>
            <c:strRef>
              <c:f>Sheet1!$A$2</c:f>
              <c:strCache>
                <c:ptCount val="1"/>
                <c:pt idx="0">
                  <c:v>Lietuvos Respublika</c:v>
                </c:pt>
              </c:strCache>
            </c:strRef>
          </c:tx>
          <c:spPr>
            <a:ln w="12635">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2353395584588164E-2"/>
                  <c:y val="5.4550548969840414E-2"/>
                </c:manualLayout>
              </c:layout>
              <c:dLblPos val="r"/>
              <c:showVal val="1"/>
            </c:dLbl>
            <c:dLbl>
              <c:idx val="1"/>
              <c:layout>
                <c:manualLayout>
                  <c:x val="-2.0287902910587189E-2"/>
                  <c:y val="6.9660679434301903E-2"/>
                </c:manualLayout>
              </c:layout>
              <c:dLblPos val="r"/>
              <c:showVal val="1"/>
            </c:dLbl>
            <c:dLbl>
              <c:idx val="2"/>
              <c:layout>
                <c:manualLayout>
                  <c:x val="-1.0108848270040979E-3"/>
                  <c:y val="8.2023076442367782E-2"/>
                </c:manualLayout>
              </c:layout>
              <c:dLblPos val="r"/>
              <c:showVal val="1"/>
            </c:dLbl>
            <c:dLbl>
              <c:idx val="3"/>
              <c:layout>
                <c:manualLayout>
                  <c:x val="-1.7878266507564394E-2"/>
                  <c:y val="8.0649275811677357E-2"/>
                </c:manualLayout>
              </c:layout>
              <c:dLblPos val="r"/>
              <c:showVal val="1"/>
            </c:dLbl>
            <c:dLbl>
              <c:idx val="4"/>
              <c:layout>
                <c:manualLayout>
                  <c:x val="-1.0649262645955801E-2"/>
                  <c:y val="9.7132924490208009E-2"/>
                </c:manualLayout>
              </c:layout>
              <c:dLblPos val="r"/>
              <c:showVal val="1"/>
            </c:dLbl>
            <c:spPr>
              <a:noFill/>
              <a:ln w="25271">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7.3</c:v>
                </c:pt>
                <c:pt idx="1">
                  <c:v>7.2</c:v>
                </c:pt>
                <c:pt idx="2">
                  <c:v>7.3</c:v>
                </c:pt>
                <c:pt idx="3">
                  <c:v>7.6</c:v>
                </c:pt>
                <c:pt idx="4">
                  <c:v>8</c:v>
                </c:pt>
              </c:numCache>
            </c:numRef>
          </c:val>
        </c:ser>
        <c:ser>
          <c:idx val="1"/>
          <c:order val="1"/>
          <c:tx>
            <c:strRef>
              <c:f>Sheet1!$A$3</c:f>
              <c:strCache>
                <c:ptCount val="1"/>
                <c:pt idx="0">
                  <c:v>Panevėžys</c:v>
                </c:pt>
              </c:strCache>
            </c:strRef>
          </c:tx>
          <c:spPr>
            <a:ln w="12635">
              <a:solidFill>
                <a:srgbClr val="FF00FF"/>
              </a:solidFill>
              <a:prstDash val="solid"/>
            </a:ln>
          </c:spPr>
          <c:marker>
            <c:symbol val="square"/>
            <c:size val="4"/>
            <c:spPr>
              <a:solidFill>
                <a:srgbClr val="FF00FF"/>
              </a:solidFill>
              <a:ln>
                <a:solidFill>
                  <a:srgbClr val="FF00FF"/>
                </a:solidFill>
                <a:prstDash val="solid"/>
              </a:ln>
            </c:spPr>
          </c:marker>
          <c:dLbls>
            <c:spPr>
              <a:noFill/>
              <a:ln w="25271">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pt idx="0">
                  <c:v>8.9</c:v>
                </c:pt>
                <c:pt idx="1">
                  <c:v>8.5</c:v>
                </c:pt>
                <c:pt idx="2">
                  <c:v>9.2000000000000011</c:v>
                </c:pt>
                <c:pt idx="3">
                  <c:v>9.4</c:v>
                </c:pt>
                <c:pt idx="4">
                  <c:v>9.5</c:v>
                </c:pt>
              </c:numCache>
            </c:numRef>
          </c:val>
        </c:ser>
        <c:marker val="1"/>
        <c:axId val="115430144"/>
        <c:axId val="115431680"/>
      </c:lineChart>
      <c:catAx>
        <c:axId val="115430144"/>
        <c:scaling>
          <c:orientation val="minMax"/>
        </c:scaling>
        <c:axPos val="b"/>
        <c:numFmt formatCode="General" sourceLinked="1"/>
        <c:tickLblPos val="nextTo"/>
        <c:spPr>
          <a:ln w="3159">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15431680"/>
        <c:crosses val="autoZero"/>
        <c:auto val="1"/>
        <c:lblAlgn val="ctr"/>
        <c:lblOffset val="100"/>
        <c:tickLblSkip val="1"/>
        <c:tickMarkSkip val="1"/>
      </c:catAx>
      <c:valAx>
        <c:axId val="115431680"/>
        <c:scaling>
          <c:orientation val="minMax"/>
        </c:scaling>
        <c:axPos val="l"/>
        <c:majorGridlines>
          <c:spPr>
            <a:ln w="3159">
              <a:solidFill>
                <a:srgbClr val="000000"/>
              </a:solidFill>
              <a:prstDash val="solid"/>
            </a:ln>
          </c:spPr>
        </c:majorGridlines>
        <c:numFmt formatCode="General" sourceLinked="1"/>
        <c:tickLblPos val="nextTo"/>
        <c:spPr>
          <a:ln w="3159">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15430144"/>
        <c:crosses val="autoZero"/>
        <c:crossBetween val="between"/>
      </c:valAx>
      <c:spPr>
        <a:solidFill>
          <a:srgbClr val="C0C0C0"/>
        </a:solidFill>
        <a:ln w="12635">
          <a:solidFill>
            <a:srgbClr val="808080"/>
          </a:solidFill>
          <a:prstDash val="solid"/>
        </a:ln>
      </c:spPr>
    </c:plotArea>
    <c:legend>
      <c:legendPos val="r"/>
      <c:layout>
        <c:manualLayout>
          <c:xMode val="edge"/>
          <c:yMode val="edge"/>
          <c:x val="0.73493975903614461"/>
          <c:y val="0.34615384615384631"/>
          <c:w val="0.25817555938037867"/>
          <c:h val="0.21428571428571427"/>
        </c:manualLayout>
      </c:layout>
      <c:spPr>
        <a:noFill/>
        <a:ln w="3159">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6003372681281706E-2"/>
          <c:y val="0.13291139240506414"/>
          <c:w val="0.89881956155143339"/>
          <c:h val="0.63924050632911755"/>
        </c:manualLayout>
      </c:layout>
      <c:lineChart>
        <c:grouping val="stacked"/>
        <c:ser>
          <c:idx val="0"/>
          <c:order val="0"/>
          <c:tx>
            <c:strRef>
              <c:f>Sheet1!$A$2</c:f>
              <c:strCache>
                <c:ptCount val="1"/>
                <c:pt idx="0">
                  <c:v>Savivaldybės biudžeto išlaidos socialinei apsaugai, globai rūpybai </c:v>
                </c:pt>
              </c:strCache>
            </c:strRef>
          </c:tx>
          <c:spPr>
            <a:ln w="12637">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1616898815135505E-2"/>
                  <c:y val="-0.14444925396983663"/>
                </c:manualLayout>
              </c:layout>
              <c:dLblPos val="r"/>
              <c:showVal val="1"/>
            </c:dLbl>
            <c:dLbl>
              <c:idx val="1"/>
              <c:layout>
                <c:manualLayout>
                  <c:x val="-3.9610195647972295E-2"/>
                  <c:y val="-0.1360817951553524"/>
                </c:manualLayout>
              </c:layout>
              <c:dLblPos val="r"/>
              <c:showVal val="1"/>
            </c:dLbl>
            <c:dLbl>
              <c:idx val="2"/>
              <c:layout>
                <c:manualLayout>
                  <c:x val="-5.2426426713524397E-2"/>
                  <c:y val="-0.16803345784308621"/>
                </c:manualLayout>
              </c:layout>
              <c:dLblPos val="r"/>
              <c:showVal val="1"/>
            </c:dLbl>
            <c:dLbl>
              <c:idx val="3"/>
              <c:layout>
                <c:manualLayout>
                  <c:x val="-5.1751932652600321E-2"/>
                  <c:y val="-0.11570773590010112"/>
                </c:manualLayout>
              </c:layout>
              <c:dLblPos val="r"/>
              <c:showVal val="1"/>
            </c:dLbl>
            <c:dLbl>
              <c:idx val="4"/>
              <c:layout>
                <c:manualLayout>
                  <c:x val="-5.7822801154914533E-2"/>
                  <c:y val="-0.11326819907005289"/>
                </c:manualLayout>
              </c:layout>
              <c:dLblPos val="r"/>
              <c:showVal val="1"/>
            </c:dLbl>
            <c:spPr>
              <a:noFill/>
              <a:ln w="25274">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22715.9</c:v>
                </c:pt>
                <c:pt idx="1">
                  <c:v>41385.699999999997</c:v>
                </c:pt>
                <c:pt idx="2">
                  <c:v>49713.2</c:v>
                </c:pt>
                <c:pt idx="3">
                  <c:v>44920.6</c:v>
                </c:pt>
                <c:pt idx="4">
                  <c:v>43623.6</c:v>
                </c:pt>
              </c:numCache>
            </c:numRef>
          </c:val>
        </c:ser>
        <c:marker val="1"/>
        <c:axId val="114767744"/>
        <c:axId val="114769280"/>
      </c:lineChart>
      <c:catAx>
        <c:axId val="114767744"/>
        <c:scaling>
          <c:orientation val="minMax"/>
        </c:scaling>
        <c:axPos val="b"/>
        <c:numFmt formatCode="General" sourceLinked="1"/>
        <c:tickLblPos val="nextTo"/>
        <c:spPr>
          <a:ln w="3159">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14769280"/>
        <c:crosses val="autoZero"/>
        <c:auto val="1"/>
        <c:lblAlgn val="ctr"/>
        <c:lblOffset val="100"/>
        <c:tickLblSkip val="1"/>
        <c:tickMarkSkip val="1"/>
      </c:catAx>
      <c:valAx>
        <c:axId val="114769280"/>
        <c:scaling>
          <c:orientation val="minMax"/>
          <c:min val="5000"/>
        </c:scaling>
        <c:axPos val="l"/>
        <c:majorGridlines>
          <c:spPr>
            <a:ln w="3159">
              <a:solidFill>
                <a:srgbClr val="000000"/>
              </a:solidFill>
              <a:prstDash val="solid"/>
            </a:ln>
          </c:spPr>
        </c:majorGridlines>
        <c:numFmt formatCode="General" sourceLinked="1"/>
        <c:tickLblPos val="nextTo"/>
        <c:spPr>
          <a:ln w="3159">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14767744"/>
        <c:crosses val="autoZero"/>
        <c:crossBetween val="between"/>
        <c:majorUnit val="10000"/>
      </c:valAx>
      <c:spPr>
        <a:solidFill>
          <a:srgbClr val="C0C0C0"/>
        </a:solidFill>
        <a:ln w="12637">
          <a:solidFill>
            <a:srgbClr val="808080"/>
          </a:solidFill>
          <a:prstDash val="solid"/>
        </a:ln>
      </c:spPr>
    </c:plotArea>
    <c:plotVisOnly val="1"/>
    <c:dispBlanksAs val="zero"/>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rgbClr val="000000"/>
                </a:solidFill>
                <a:latin typeface="Arial"/>
                <a:ea typeface="Arial"/>
                <a:cs typeface="Arial"/>
              </a:defRPr>
            </a:pPr>
            <a:r>
              <a:rPr lang="lt-LT"/>
              <a:t>17 diagrama. Panevėžio miesto Strateginio plano III-io prioriteto priemonių vykdymas</a:t>
            </a:r>
          </a:p>
        </c:rich>
      </c:tx>
      <c:layout>
        <c:manualLayout>
          <c:xMode val="edge"/>
          <c:yMode val="edge"/>
          <c:x val="0.1283095723014257"/>
          <c:y val="3.8327526132404179E-2"/>
        </c:manualLayout>
      </c:layout>
      <c:spPr>
        <a:noFill/>
        <a:ln w="25400">
          <a:noFill/>
        </a:ln>
      </c:spPr>
    </c:title>
    <c:plotArea>
      <c:layout>
        <c:manualLayout>
          <c:layoutTarget val="inner"/>
          <c:xMode val="edge"/>
          <c:yMode val="edge"/>
          <c:x val="0.21181262729124239"/>
          <c:y val="0.36933797909407912"/>
          <c:w val="0.25865580448065184"/>
          <c:h val="0.44250871080139376"/>
        </c:manualLayout>
      </c:layout>
      <c:pieChart>
        <c:varyColors val="1"/>
        <c:ser>
          <c:idx val="0"/>
          <c:order val="0"/>
          <c:spPr>
            <a:solidFill>
              <a:srgbClr val="9999FF"/>
            </a:solidFill>
            <a:ln w="12700">
              <a:solidFill>
                <a:srgbClr val="000000"/>
              </a:solidFill>
              <a:prstDash val="solid"/>
            </a:ln>
          </c:spPr>
          <c:explosion val="25"/>
          <c:dPt>
            <c:idx val="1"/>
            <c:spPr>
              <a:solidFill>
                <a:srgbClr val="993366"/>
              </a:solidFill>
              <a:ln w="12700">
                <a:solidFill>
                  <a:srgbClr val="000000"/>
                </a:solidFill>
                <a:prstDash val="solid"/>
              </a:ln>
            </c:spPr>
          </c:dPt>
          <c:dLbls>
            <c:dLbl>
              <c:idx val="0"/>
              <c:tx>
                <c:rich>
                  <a:bodyPr/>
                  <a:lstStyle/>
                  <a:p>
                    <a:r>
                      <a:rPr lang="en-US"/>
                      <a:t>8</a:t>
                    </a:r>
                    <a:r>
                      <a:rPr lang="lt-LT"/>
                      <a:t>1</a:t>
                    </a:r>
                    <a:r>
                      <a:rPr lang="en-US"/>
                      <a:t>%</a:t>
                    </a:r>
                  </a:p>
                </c:rich>
              </c:tx>
              <c:showPercent val="1"/>
            </c:dLbl>
            <c:dLbl>
              <c:idx val="1"/>
              <c:tx>
                <c:rich>
                  <a:bodyPr/>
                  <a:lstStyle/>
                  <a:p>
                    <a:r>
                      <a:rPr lang="en-US"/>
                      <a:t>1</a:t>
                    </a:r>
                    <a:r>
                      <a:rPr lang="lt-LT"/>
                      <a:t>9</a:t>
                    </a:r>
                    <a:r>
                      <a:rPr lang="en-US"/>
                      <a:t>%</a:t>
                    </a:r>
                  </a:p>
                </c:rich>
              </c:tx>
              <c:showPercent val="1"/>
            </c:dLbl>
            <c:numFmt formatCode="0%" sourceLinked="0"/>
            <c:spPr>
              <a:noFill/>
              <a:ln w="25400">
                <a:noFill/>
              </a:ln>
            </c:spPr>
            <c:txPr>
              <a:bodyPr/>
              <a:lstStyle/>
              <a:p>
                <a:pPr>
                  <a:defRPr sz="1000" b="0" i="0" u="none" strike="noStrike" baseline="0">
                    <a:solidFill>
                      <a:srgbClr val="000000"/>
                    </a:solidFill>
                    <a:latin typeface="Arial"/>
                    <a:ea typeface="Arial"/>
                    <a:cs typeface="Arial"/>
                  </a:defRPr>
                </a:pPr>
                <a:endParaRPr lang="en-US"/>
              </a:p>
            </c:txPr>
            <c:showPercent val="1"/>
            <c:showLeaderLines val="1"/>
          </c:dLbls>
          <c:cat>
            <c:strRef>
              <c:f>rodikliai!$C$158:$C$159</c:f>
              <c:strCache>
                <c:ptCount val="2"/>
                <c:pt idx="0">
                  <c:v>Vykdoma priemonių</c:v>
                </c:pt>
                <c:pt idx="1">
                  <c:v>Nevykdoma (ar vykdoma dalinai) priemonių</c:v>
                </c:pt>
              </c:strCache>
            </c:strRef>
          </c:cat>
          <c:val>
            <c:numRef>
              <c:f>rodikliai!$D$158:$D$159</c:f>
              <c:numCache>
                <c:formatCode>General</c:formatCode>
                <c:ptCount val="2"/>
                <c:pt idx="0">
                  <c:v>29</c:v>
                </c:pt>
                <c:pt idx="1">
                  <c:v>5</c:v>
                </c:pt>
              </c:numCache>
            </c:numRef>
          </c:val>
        </c:ser>
        <c:firstSliceAng val="0"/>
      </c:pieChart>
      <c:spPr>
        <a:noFill/>
        <a:ln w="25400">
          <a:noFill/>
        </a:ln>
      </c:spPr>
    </c:plotArea>
    <c:legend>
      <c:legendPos val="r"/>
      <c:legendEntry>
        <c:idx val="0"/>
        <c:txPr>
          <a:bodyPr/>
          <a:lstStyle/>
          <a:p>
            <a:pPr>
              <a:defRPr sz="920"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92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67413441955193565"/>
          <c:y val="0.45993031358885145"/>
          <c:w val="0.3116089613034656"/>
          <c:h val="0.26132404181184865"/>
        </c:manualLayout>
      </c:layout>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zero"/>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377245508982042"/>
          <c:y val="0.12352941176470589"/>
          <c:w val="0.86826347305389484"/>
          <c:h val="0.66470588235294348"/>
        </c:manualLayout>
      </c:layout>
      <c:lineChart>
        <c:grouping val="stacked"/>
        <c:ser>
          <c:idx val="0"/>
          <c:order val="0"/>
          <c:tx>
            <c:strRef>
              <c:f>Sheet1!$A$2</c:f>
              <c:strCache>
                <c:ptCount val="1"/>
                <c:pt idx="0">
                  <c:v>East</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Lbls>
            <c:dLbl>
              <c:idx val="1"/>
              <c:layout>
                <c:manualLayout>
                  <c:x val="-3.2008399491446481E-2"/>
                  <c:y val="3.78165817508107E-2"/>
                </c:manualLayout>
              </c:layout>
              <c:dLblPos val="r"/>
              <c:showVal val="1"/>
            </c:dLbl>
            <c:dLbl>
              <c:idx val="2"/>
              <c:layout>
                <c:manualLayout>
                  <c:x val="-2.6020494874774355E-2"/>
                  <c:y val="5.5173073953991396E-2"/>
                </c:manualLayout>
              </c:layout>
              <c:dLblPos val="r"/>
              <c:showVal val="1"/>
            </c:dLbl>
            <c:dLbl>
              <c:idx val="3"/>
              <c:layout>
                <c:manualLayout>
                  <c:x val="0"/>
                  <c:y val="-6.6666666666666735E-2"/>
                </c:manualLayout>
              </c:layout>
              <c:showVal val="1"/>
            </c:dLbl>
            <c:spPr>
              <a:noFill/>
              <a:ln w="25398">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130863</c:v>
                </c:pt>
                <c:pt idx="1">
                  <c:v>117566</c:v>
                </c:pt>
                <c:pt idx="2">
                  <c:v>118195</c:v>
                </c:pt>
                <c:pt idx="3">
                  <c:v>118398</c:v>
                </c:pt>
                <c:pt idx="4">
                  <c:v>116973</c:v>
                </c:pt>
              </c:numCache>
            </c:numRef>
          </c:val>
        </c:ser>
        <c:marker val="1"/>
        <c:axId val="114096384"/>
        <c:axId val="114532352"/>
      </c:lineChart>
      <c:catAx>
        <c:axId val="114096384"/>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14532352"/>
        <c:crosses val="autoZero"/>
        <c:auto val="1"/>
        <c:lblAlgn val="ctr"/>
        <c:lblOffset val="100"/>
        <c:tickLblSkip val="1"/>
        <c:tickMarkSkip val="1"/>
      </c:catAx>
      <c:valAx>
        <c:axId val="11453235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14096384"/>
        <c:crosses val="autoZero"/>
        <c:crossBetween val="between"/>
        <c:majorUnit val="50000"/>
        <c:minorUnit val="10000"/>
      </c:valAx>
      <c:spPr>
        <a:solidFill>
          <a:srgbClr val="C0C0C0"/>
        </a:solidFill>
        <a:ln w="12699">
          <a:solidFill>
            <a:srgbClr val="808080"/>
          </a:solidFill>
          <a:prstDash val="solid"/>
        </a:ln>
      </c:spPr>
    </c:plotArea>
    <c:plotVisOnly val="1"/>
    <c:dispBlanksAs val="zero"/>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Times New Roman"/>
                <a:ea typeface="Times New Roman"/>
                <a:cs typeface="Times New Roman"/>
              </a:defRPr>
            </a:pPr>
            <a:r>
              <a:rPr lang="lt-LT"/>
              <a:t>2 diagrama. Strateginiam planui įgyvendinti panaudotos lėšos per 201</a:t>
            </a:r>
            <a:r>
              <a:rPr lang="en-US"/>
              <a:t>3</a:t>
            </a:r>
            <a:r>
              <a:rPr lang="lt-LT"/>
              <a:t> metus (tūkst.</a:t>
            </a:r>
            <a:r>
              <a:rPr lang="en-US"/>
              <a:t> </a:t>
            </a:r>
            <a:r>
              <a:rPr lang="lt-LT"/>
              <a:t>Lt)</a:t>
            </a:r>
          </a:p>
        </c:rich>
      </c:tx>
      <c:layout>
        <c:manualLayout>
          <c:xMode val="edge"/>
          <c:yMode val="edge"/>
          <c:x val="2.3593466424682397E-2"/>
          <c:y val="1.5576323987538939E-2"/>
        </c:manualLayout>
      </c:layout>
      <c:spPr>
        <a:noFill/>
        <a:ln w="25400">
          <a:noFill/>
        </a:ln>
      </c:spPr>
    </c:title>
    <c:view3D>
      <c:hPercent val="73"/>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2.5408348457350422E-2"/>
          <c:y val="0.14018734237290251"/>
          <c:w val="0.6333938294010909"/>
          <c:h val="0.80685603721292476"/>
        </c:manualLayout>
      </c:layout>
      <c:bar3DChart>
        <c:barDir val="col"/>
        <c:grouping val="clustered"/>
        <c:ser>
          <c:idx val="0"/>
          <c:order val="0"/>
          <c:tx>
            <c:strRef>
              <c:f>rodikliai!$C$28</c:f>
              <c:strCache>
                <c:ptCount val="1"/>
                <c:pt idx="0">
                  <c:v>Savivaldybės lėšos</c:v>
                </c:pt>
              </c:strCache>
            </c:strRef>
          </c:tx>
          <c:spPr>
            <a:solidFill>
              <a:srgbClr val="9999FF"/>
            </a:solidFill>
            <a:ln w="12700">
              <a:solidFill>
                <a:srgbClr val="000000"/>
              </a:solidFill>
              <a:prstDash val="solid"/>
            </a:ln>
          </c:spPr>
          <c:dLbls>
            <c:dLbl>
              <c:idx val="0"/>
              <c:layout>
                <c:manualLayout>
                  <c:x val="1.364010079502319E-2"/>
                  <c:y val="-6.6534505578439346E-2"/>
                </c:manualLayout>
              </c:layout>
              <c:showVal val="1"/>
            </c:dLbl>
            <c:spPr>
              <a:noFill/>
              <a:ln w="25400">
                <a:noFill/>
              </a:ln>
            </c:spPr>
            <c:txPr>
              <a:bodyPr/>
              <a:lstStyle/>
              <a:p>
                <a:pPr>
                  <a:defRPr sz="1150" b="1" i="0" u="none" strike="noStrike" baseline="0">
                    <a:solidFill>
                      <a:srgbClr val="000000"/>
                    </a:solidFill>
                    <a:latin typeface="Arial"/>
                    <a:ea typeface="Arial"/>
                    <a:cs typeface="Arial"/>
                  </a:defRPr>
                </a:pPr>
                <a:endParaRPr lang="en-US"/>
              </a:p>
            </c:txPr>
            <c:showVal val="1"/>
          </c:dLbls>
          <c:val>
            <c:numRef>
              <c:f>rodikliai!$D$28</c:f>
              <c:numCache>
                <c:formatCode>General</c:formatCode>
                <c:ptCount val="1"/>
                <c:pt idx="0">
                  <c:v>7898.7</c:v>
                </c:pt>
              </c:numCache>
            </c:numRef>
          </c:val>
        </c:ser>
        <c:ser>
          <c:idx val="1"/>
          <c:order val="1"/>
          <c:tx>
            <c:strRef>
              <c:f>rodikliai!$C$29</c:f>
              <c:strCache>
                <c:ptCount val="1"/>
                <c:pt idx="0">
                  <c:v>Nacionalinio biudžeto lėšos</c:v>
                </c:pt>
              </c:strCache>
            </c:strRef>
          </c:tx>
          <c:spPr>
            <a:solidFill>
              <a:srgbClr val="993366"/>
            </a:solidFill>
            <a:ln w="12700">
              <a:solidFill>
                <a:srgbClr val="000000"/>
              </a:solidFill>
              <a:prstDash val="solid"/>
            </a:ln>
          </c:spPr>
          <c:dLbls>
            <c:dLbl>
              <c:idx val="0"/>
              <c:layout>
                <c:manualLayout>
                  <c:x val="4.1723804488141412E-2"/>
                  <c:y val="-6.4054783786875499E-2"/>
                </c:manualLayout>
              </c:layout>
              <c:showVal val="1"/>
            </c:dLbl>
            <c:spPr>
              <a:noFill/>
              <a:ln w="25400">
                <a:noFill/>
              </a:ln>
            </c:spPr>
            <c:txPr>
              <a:bodyPr/>
              <a:lstStyle/>
              <a:p>
                <a:pPr>
                  <a:defRPr sz="1150" b="1" i="0" u="none" strike="noStrike" baseline="0">
                    <a:solidFill>
                      <a:srgbClr val="000000"/>
                    </a:solidFill>
                    <a:latin typeface="Arial"/>
                    <a:ea typeface="Arial"/>
                    <a:cs typeface="Arial"/>
                  </a:defRPr>
                </a:pPr>
                <a:endParaRPr lang="en-US"/>
              </a:p>
            </c:txPr>
            <c:showVal val="1"/>
          </c:dLbls>
          <c:val>
            <c:numRef>
              <c:f>rodikliai!$D$29</c:f>
              <c:numCache>
                <c:formatCode>General</c:formatCode>
                <c:ptCount val="1"/>
                <c:pt idx="0">
                  <c:v>7034.9</c:v>
                </c:pt>
              </c:numCache>
            </c:numRef>
          </c:val>
        </c:ser>
        <c:ser>
          <c:idx val="2"/>
          <c:order val="2"/>
          <c:tx>
            <c:strRef>
              <c:f>rodikliai!$C$30</c:f>
              <c:strCache>
                <c:ptCount val="1"/>
                <c:pt idx="0">
                  <c:v>ES, kita užs.valstybių parama</c:v>
                </c:pt>
              </c:strCache>
            </c:strRef>
          </c:tx>
          <c:spPr>
            <a:solidFill>
              <a:srgbClr val="FFFFCC"/>
            </a:solidFill>
            <a:ln w="12700">
              <a:solidFill>
                <a:srgbClr val="000000"/>
              </a:solidFill>
              <a:prstDash val="solid"/>
            </a:ln>
          </c:spPr>
          <c:dLbls>
            <c:dLbl>
              <c:idx val="0"/>
              <c:layout>
                <c:manualLayout>
                  <c:x val="2.9644216433018566E-2"/>
                  <c:y val="-3.8322409461515321E-2"/>
                </c:manualLayout>
              </c:layout>
              <c:showVal val="1"/>
            </c:dLbl>
            <c:spPr>
              <a:noFill/>
              <a:ln w="25400">
                <a:noFill/>
              </a:ln>
            </c:spPr>
            <c:txPr>
              <a:bodyPr/>
              <a:lstStyle/>
              <a:p>
                <a:pPr>
                  <a:defRPr sz="1150" b="1" i="0" u="none" strike="noStrike" baseline="0">
                    <a:solidFill>
                      <a:srgbClr val="000000"/>
                    </a:solidFill>
                    <a:latin typeface="Arial"/>
                    <a:ea typeface="Arial"/>
                    <a:cs typeface="Arial"/>
                  </a:defRPr>
                </a:pPr>
                <a:endParaRPr lang="en-US"/>
              </a:p>
            </c:txPr>
            <c:showVal val="1"/>
          </c:dLbls>
          <c:val>
            <c:numRef>
              <c:f>rodikliai!$D$30</c:f>
              <c:numCache>
                <c:formatCode>General</c:formatCode>
                <c:ptCount val="1"/>
                <c:pt idx="0">
                  <c:v>38076.400000000001</c:v>
                </c:pt>
              </c:numCache>
            </c:numRef>
          </c:val>
        </c:ser>
        <c:ser>
          <c:idx val="3"/>
          <c:order val="3"/>
          <c:tx>
            <c:strRef>
              <c:f>rodikliai!$C$31</c:f>
              <c:strCache>
                <c:ptCount val="1"/>
                <c:pt idx="0">
                  <c:v>Privačios lėšos</c:v>
                </c:pt>
              </c:strCache>
            </c:strRef>
          </c:tx>
          <c:spPr>
            <a:solidFill>
              <a:srgbClr val="CCFFFF"/>
            </a:solidFill>
            <a:ln w="12700">
              <a:solidFill>
                <a:srgbClr val="000000"/>
              </a:solidFill>
              <a:prstDash val="solid"/>
            </a:ln>
          </c:spPr>
          <c:dLbls>
            <c:dLbl>
              <c:idx val="0"/>
              <c:layout>
                <c:manualLayout>
                  <c:x val="6.7425201613863561E-2"/>
                  <c:y val="-8.4456797518166662E-2"/>
                </c:manualLayout>
              </c:layout>
              <c:showVal val="1"/>
            </c:dLbl>
            <c:spPr>
              <a:noFill/>
              <a:ln w="25400">
                <a:noFill/>
              </a:ln>
            </c:spPr>
            <c:txPr>
              <a:bodyPr/>
              <a:lstStyle/>
              <a:p>
                <a:pPr>
                  <a:defRPr sz="1150" b="1" i="0" u="none" strike="noStrike" baseline="0">
                    <a:solidFill>
                      <a:srgbClr val="000000"/>
                    </a:solidFill>
                    <a:latin typeface="Arial"/>
                    <a:ea typeface="Arial"/>
                    <a:cs typeface="Arial"/>
                  </a:defRPr>
                </a:pPr>
                <a:endParaRPr lang="en-US"/>
              </a:p>
            </c:txPr>
            <c:showVal val="1"/>
          </c:dLbls>
          <c:val>
            <c:numRef>
              <c:f>rodikliai!$D$31</c:f>
              <c:numCache>
                <c:formatCode>General</c:formatCode>
                <c:ptCount val="1"/>
                <c:pt idx="0">
                  <c:v>5490.4</c:v>
                </c:pt>
              </c:numCache>
            </c:numRef>
          </c:val>
        </c:ser>
        <c:dLbls>
          <c:showVal val="1"/>
        </c:dLbls>
        <c:shape val="box"/>
        <c:axId val="102196736"/>
        <c:axId val="102198272"/>
        <c:axId val="0"/>
      </c:bar3DChart>
      <c:catAx>
        <c:axId val="102196736"/>
        <c:scaling>
          <c:orientation val="minMax"/>
        </c:scaling>
        <c:delete val="1"/>
        <c:axPos val="b"/>
        <c:tickLblPos val="none"/>
        <c:crossAx val="102198272"/>
        <c:crosses val="autoZero"/>
        <c:auto val="1"/>
        <c:lblAlgn val="ctr"/>
        <c:lblOffset val="100"/>
      </c:catAx>
      <c:valAx>
        <c:axId val="102198272"/>
        <c:scaling>
          <c:orientation val="minMax"/>
        </c:scaling>
        <c:delete val="1"/>
        <c:axPos val="l"/>
        <c:majorGridlines>
          <c:spPr>
            <a:ln w="3175">
              <a:solidFill>
                <a:srgbClr val="FFFFFF"/>
              </a:solidFill>
              <a:prstDash val="sysDash"/>
            </a:ln>
          </c:spPr>
        </c:majorGridlines>
        <c:numFmt formatCode="General" sourceLinked="1"/>
        <c:tickLblPos val="none"/>
        <c:crossAx val="102196736"/>
        <c:crosses val="autoZero"/>
        <c:crossBetween val="between"/>
      </c:valAx>
      <c:spPr>
        <a:noFill/>
        <a:ln w="25400">
          <a:noFill/>
        </a:ln>
      </c:spPr>
    </c:plotArea>
    <c:legend>
      <c:legendPos val="r"/>
      <c:layout>
        <c:manualLayout>
          <c:xMode val="edge"/>
          <c:yMode val="edge"/>
          <c:x val="0.66243194192377564"/>
          <c:y val="0.30841219613903542"/>
          <c:w val="0.32667876588022043"/>
          <c:h val="0.51402032689839061"/>
        </c:manualLayout>
      </c:layout>
      <c:spPr>
        <a:solidFill>
          <a:srgbClr val="FFFFFF"/>
        </a:solidFill>
        <a:ln w="25400">
          <a:noFill/>
        </a:ln>
      </c:spPr>
      <c:txPr>
        <a:bodyPr/>
        <a:lstStyle/>
        <a:p>
          <a:pPr>
            <a:defRPr sz="1035" b="0" i="0" u="none" strike="noStrike" baseline="0">
              <a:solidFill>
                <a:srgbClr val="000000"/>
              </a:solidFill>
              <a:latin typeface="Times New Roman"/>
              <a:ea typeface="Times New Roman"/>
              <a:cs typeface="Times New Roman"/>
            </a:defRPr>
          </a:pPr>
          <a:endParaRPr lang="en-US"/>
        </a:p>
      </c:txPr>
    </c:legend>
    <c:plotVisOnly val="1"/>
    <c:dispBlanksAs val="gap"/>
  </c:chart>
  <c:spPr>
    <a:solidFill>
      <a:srgbClr val="FFFFFF"/>
    </a:solidFill>
    <a:ln w="9525">
      <a:noFill/>
    </a:ln>
  </c:spPr>
  <c:txPr>
    <a:bodyPr/>
    <a:lstStyle/>
    <a:p>
      <a:pPr>
        <a:defRPr sz="1125" b="0" i="0" u="none" strike="noStrike" baseline="0">
          <a:solidFill>
            <a:srgbClr val="000000"/>
          </a:solidFill>
          <a:latin typeface="Arial"/>
          <a:ea typeface="Arial"/>
          <a:cs typeface="Arial"/>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2558983666061703E-2"/>
          <c:y val="0.11538461538461539"/>
          <c:w val="0.56987295825771322"/>
          <c:h val="0.68681318681318682"/>
        </c:manualLayout>
      </c:layout>
      <c:lineChart>
        <c:grouping val="standard"/>
        <c:ser>
          <c:idx val="0"/>
          <c:order val="0"/>
          <c:tx>
            <c:strRef>
              <c:f>Sheet1!$A$2</c:f>
              <c:strCache>
                <c:ptCount val="1"/>
                <c:pt idx="0">
                  <c:v>Bendrojo lavinimo m-klų moksleivių sk.</c:v>
                </c:pt>
              </c:strCache>
            </c:strRef>
          </c:tx>
          <c:spPr>
            <a:ln w="12632">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0858502424136596E-2"/>
                  <c:y val="-8.0682811283204994E-2"/>
                </c:manualLayout>
              </c:layout>
              <c:dLblPos val="r"/>
              <c:showVal val="1"/>
            </c:dLbl>
            <c:dLbl>
              <c:idx val="1"/>
              <c:layout>
                <c:manualLayout>
                  <c:x val="-8.68059583803521E-3"/>
                  <c:y val="-9.232464932268114E-2"/>
                </c:manualLayout>
              </c:layout>
              <c:dLblPos val="r"/>
              <c:showVal val="1"/>
            </c:dLbl>
            <c:dLbl>
              <c:idx val="2"/>
              <c:layout>
                <c:manualLayout>
                  <c:x val="-3.5540801774619615E-2"/>
                  <c:y val="4.4385900079797813E-2"/>
                </c:manualLayout>
              </c:layout>
              <c:dLblPos val="r"/>
              <c:showVal val="1"/>
            </c:dLbl>
            <c:dLbl>
              <c:idx val="3"/>
              <c:layout>
                <c:manualLayout>
                  <c:x val="-2.2473602992510985E-2"/>
                  <c:y val="5.8018781306182994E-2"/>
                </c:manualLayout>
              </c:layout>
              <c:dLblPos val="r"/>
              <c:showVal val="1"/>
            </c:dLbl>
            <c:dLbl>
              <c:idx val="4"/>
              <c:layout>
                <c:manualLayout>
                  <c:x val="-2.392546047174527E-2"/>
                  <c:y val="4.345860613577153E-2"/>
                </c:manualLayout>
              </c:layout>
              <c:dLblPos val="r"/>
              <c:showVal val="1"/>
            </c:dLbl>
            <c:spPr>
              <a:noFill/>
              <a:ln w="25265">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16403</c:v>
                </c:pt>
                <c:pt idx="1">
                  <c:v>15264</c:v>
                </c:pt>
                <c:pt idx="2">
                  <c:v>14381</c:v>
                </c:pt>
                <c:pt idx="3">
                  <c:v>13797</c:v>
                </c:pt>
                <c:pt idx="4">
                  <c:v>13081</c:v>
                </c:pt>
              </c:numCache>
            </c:numRef>
          </c:val>
        </c:ser>
        <c:ser>
          <c:idx val="1"/>
          <c:order val="1"/>
          <c:tx>
            <c:strRef>
              <c:f>Sheet1!$A$3</c:f>
              <c:strCache>
                <c:ptCount val="1"/>
                <c:pt idx="0">
                  <c:v>Gimnazistų sk.</c:v>
                </c:pt>
              </c:strCache>
            </c:strRef>
          </c:tx>
          <c:spPr>
            <a:ln w="12632">
              <a:solidFill>
                <a:srgbClr val="FF00FF"/>
              </a:solidFill>
              <a:prstDash val="solid"/>
            </a:ln>
          </c:spPr>
          <c:marker>
            <c:symbol val="square"/>
            <c:size val="4"/>
            <c:spPr>
              <a:solidFill>
                <a:srgbClr val="FF00FF"/>
              </a:solidFill>
              <a:ln>
                <a:solidFill>
                  <a:srgbClr val="FF00FF"/>
                </a:solidFill>
                <a:prstDash val="solid"/>
              </a:ln>
            </c:spPr>
          </c:marker>
          <c:dLbls>
            <c:spPr>
              <a:noFill/>
              <a:ln w="25265">
                <a:noFill/>
              </a:ln>
            </c:spPr>
            <c:txPr>
              <a:bodyPr/>
              <a:lstStyle/>
              <a:p>
                <a:pPr>
                  <a:defRPr sz="796"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pt idx="0">
                  <c:v>2853</c:v>
                </c:pt>
                <c:pt idx="1">
                  <c:v>3512</c:v>
                </c:pt>
                <c:pt idx="2">
                  <c:v>4200</c:v>
                </c:pt>
                <c:pt idx="3">
                  <c:v>4120</c:v>
                </c:pt>
                <c:pt idx="4">
                  <c:v>4072</c:v>
                </c:pt>
              </c:numCache>
            </c:numRef>
          </c:val>
        </c:ser>
        <c:dLbls>
          <c:showVal val="1"/>
        </c:dLbls>
        <c:marker val="1"/>
        <c:axId val="121725312"/>
        <c:axId val="121726848"/>
      </c:lineChart>
      <c:catAx>
        <c:axId val="121725312"/>
        <c:scaling>
          <c:orientation val="minMax"/>
        </c:scaling>
        <c:axPos val="b"/>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21726848"/>
        <c:crosses val="autoZero"/>
        <c:auto val="1"/>
        <c:lblAlgn val="ctr"/>
        <c:lblOffset val="100"/>
        <c:tickLblSkip val="1"/>
        <c:tickMarkSkip val="1"/>
      </c:catAx>
      <c:valAx>
        <c:axId val="121726848"/>
        <c:scaling>
          <c:orientation val="minMax"/>
        </c:scaling>
        <c:axPos val="l"/>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21725312"/>
        <c:crosses val="autoZero"/>
        <c:crossBetween val="between"/>
      </c:valAx>
      <c:spPr>
        <a:solidFill>
          <a:srgbClr val="C0C0C0"/>
        </a:solidFill>
        <a:ln w="12632">
          <a:solidFill>
            <a:srgbClr val="808080"/>
          </a:solidFill>
          <a:prstDash val="solid"/>
        </a:ln>
      </c:spPr>
    </c:plotArea>
    <c:legend>
      <c:legendPos val="r"/>
      <c:layout>
        <c:manualLayout>
          <c:xMode val="edge"/>
          <c:yMode val="edge"/>
          <c:x val="0.6805807622504535"/>
          <c:y val="0.26923076923076938"/>
          <c:w val="0.3121597096188759"/>
          <c:h val="0.36813186813186832"/>
        </c:manualLayout>
      </c:layout>
      <c:spPr>
        <a:noFill/>
        <a:ln w="3158">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7548638132295714E-2"/>
          <c:y val="0.11538461538461539"/>
          <c:w val="0.89494163424124562"/>
          <c:h val="0.68681318681318682"/>
        </c:manualLayout>
      </c:layout>
      <c:lineChart>
        <c:grouping val="standard"/>
        <c:ser>
          <c:idx val="0"/>
          <c:order val="0"/>
          <c:tx>
            <c:strRef>
              <c:f>Sheet1!$A$2</c:f>
              <c:strCache>
                <c:ptCount val="1"/>
                <c:pt idx="0">
                  <c:v>Aukštųjų m-klų studentų sk.</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7.633587786259572E-3"/>
                  <c:y val="-8.3333333333333343E-2"/>
                </c:manualLayout>
              </c:layout>
              <c:showVal val="1"/>
            </c:dLbl>
            <c:dLbl>
              <c:idx val="1"/>
              <c:layout>
                <c:manualLayout>
                  <c:x val="-1.0178117048346057E-2"/>
                  <c:y val="-4.1666666666666664E-2"/>
                </c:manualLayout>
              </c:layout>
              <c:showVal val="1"/>
            </c:dLbl>
            <c:dLbl>
              <c:idx val="2"/>
              <c:layout>
                <c:manualLayout>
                  <c:x val="-7.6335877862595434E-3"/>
                  <c:y val="-6.25E-2"/>
                </c:manualLayout>
              </c:layout>
              <c:showVal val="1"/>
            </c:dLbl>
            <c:dLbl>
              <c:idx val="3"/>
              <c:layout>
                <c:manualLayout>
                  <c:x val="-2.0356234096692179E-2"/>
                  <c:y val="-6.25E-2"/>
                </c:manualLayout>
              </c:layout>
              <c:showVal val="1"/>
            </c:dLbl>
            <c:spPr>
              <a:noFill/>
              <a:ln w="25399">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3576</c:v>
                </c:pt>
                <c:pt idx="1">
                  <c:v>3216</c:v>
                </c:pt>
                <c:pt idx="2">
                  <c:v>2949</c:v>
                </c:pt>
                <c:pt idx="3">
                  <c:v>2538</c:v>
                </c:pt>
                <c:pt idx="4">
                  <c:v>2494</c:v>
                </c:pt>
              </c:numCache>
            </c:numRef>
          </c:val>
        </c:ser>
        <c:marker val="1"/>
        <c:axId val="121648640"/>
        <c:axId val="121650176"/>
      </c:lineChart>
      <c:catAx>
        <c:axId val="121648640"/>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1650176"/>
        <c:crosses val="autoZero"/>
        <c:auto val="1"/>
        <c:lblAlgn val="ctr"/>
        <c:lblOffset val="100"/>
        <c:tickLblSkip val="1"/>
        <c:tickMarkSkip val="1"/>
      </c:catAx>
      <c:valAx>
        <c:axId val="121650176"/>
        <c:scaling>
          <c:orientation val="minMax"/>
          <c:max val="8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1648640"/>
        <c:crosses val="autoZero"/>
        <c:crossBetween val="between"/>
        <c:majorUnit val="2000"/>
        <c:minorUnit val="1000"/>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9221789883268477E-2"/>
          <c:y val="0.11538461538461539"/>
          <c:w val="0.88326848249027234"/>
          <c:h val="0.68681318681318682"/>
        </c:manualLayout>
      </c:layout>
      <c:lineChart>
        <c:grouping val="standard"/>
        <c:ser>
          <c:idx val="0"/>
          <c:order val="0"/>
          <c:tx>
            <c:strRef>
              <c:f>Sheet1!$A$2</c:f>
              <c:strCache>
                <c:ptCount val="1"/>
                <c:pt idx="0">
                  <c:v>Kultura</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0"/>
                  <c:y val="-5.555555555555549E-2"/>
                </c:manualLayout>
              </c:layout>
              <c:showVal val="1"/>
            </c:dLbl>
            <c:dLbl>
              <c:idx val="1"/>
              <c:layout>
                <c:manualLayout>
                  <c:x val="-1.7811704834605653E-2"/>
                  <c:y val="-6.25E-2"/>
                </c:manualLayout>
              </c:layout>
              <c:showVal val="1"/>
            </c:dLbl>
            <c:dLbl>
              <c:idx val="2"/>
              <c:layout>
                <c:manualLayout>
                  <c:x val="-2.2900763358778626E-2"/>
                  <c:y val="-6.25E-2"/>
                </c:manualLayout>
              </c:layout>
              <c:showVal val="1"/>
            </c:dLbl>
            <c:dLbl>
              <c:idx val="3"/>
              <c:layout>
                <c:manualLayout>
                  <c:x val="-2.0356234096692107E-2"/>
                  <c:y val="-4.1666666666666637E-2"/>
                </c:manualLayout>
              </c:layout>
              <c:showVal val="1"/>
            </c:dLbl>
            <c:spPr>
              <a:noFill/>
              <a:ln w="25399">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8842</c:v>
                </c:pt>
                <c:pt idx="1">
                  <c:v>8137</c:v>
                </c:pt>
                <c:pt idx="2">
                  <c:v>7580</c:v>
                </c:pt>
                <c:pt idx="3">
                  <c:v>7820</c:v>
                </c:pt>
                <c:pt idx="4">
                  <c:v>7730</c:v>
                </c:pt>
              </c:numCache>
            </c:numRef>
          </c:val>
        </c:ser>
        <c:marker val="1"/>
        <c:axId val="127744256"/>
        <c:axId val="127750144"/>
      </c:lineChart>
      <c:catAx>
        <c:axId val="127744256"/>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7750144"/>
        <c:crosses val="autoZero"/>
        <c:auto val="1"/>
        <c:lblAlgn val="ctr"/>
        <c:lblOffset val="100"/>
        <c:tickLblSkip val="1"/>
        <c:tickMarkSkip val="1"/>
      </c:catAx>
      <c:valAx>
        <c:axId val="127750144"/>
        <c:scaling>
          <c:orientation val="minMax"/>
          <c:max val="10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7744256"/>
        <c:crosses val="autoZero"/>
        <c:crossBetween val="between"/>
        <c:majorUnit val="5000"/>
        <c:minorUnit val="1000"/>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4132756306225085E-2"/>
          <c:y val="0.10843996062992119"/>
          <c:w val="0.88326848249027268"/>
          <c:h val="0.68681318681318693"/>
        </c:manualLayout>
      </c:layout>
      <c:lineChart>
        <c:grouping val="standard"/>
        <c:ser>
          <c:idx val="0"/>
          <c:order val="0"/>
          <c:tx>
            <c:strRef>
              <c:f>Sheet1!$A$2</c:f>
              <c:strCache>
                <c:ptCount val="1"/>
                <c:pt idx="0">
                  <c:v>Kultura</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1.0178117048346057E-2"/>
                  <c:y val="-4.1666666666666664E-2"/>
                </c:manualLayout>
              </c:layout>
              <c:showVal val="1"/>
            </c:dLbl>
            <c:dLbl>
              <c:idx val="1"/>
              <c:layout>
                <c:manualLayout>
                  <c:x val="-1.7811704834605653E-2"/>
                  <c:y val="0.10416666666666674"/>
                </c:manualLayout>
              </c:layout>
              <c:showVal val="1"/>
            </c:dLbl>
            <c:dLbl>
              <c:idx val="2"/>
              <c:layout>
                <c:manualLayout>
                  <c:x val="-1.5267175572519094E-2"/>
                  <c:y val="-8.3333333333333343E-2"/>
                </c:manualLayout>
              </c:layout>
              <c:showVal val="1"/>
            </c:dLbl>
            <c:dLbl>
              <c:idx val="3"/>
              <c:layout>
                <c:manualLayout>
                  <c:x val="-1.5267175572519094E-2"/>
                  <c:y val="5.555555555555549E-2"/>
                </c:manualLayout>
              </c:layout>
              <c:showVal val="1"/>
            </c:dLbl>
            <c:spPr>
              <a:noFill/>
              <a:ln w="25399">
                <a:noFill/>
              </a:ln>
            </c:spPr>
            <c:txPr>
              <a:bodyPr/>
              <a:lstStyle/>
              <a:p>
                <a:pPr>
                  <a:defRPr sz="800"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6540</c:v>
                </c:pt>
                <c:pt idx="1">
                  <c:v>6031</c:v>
                </c:pt>
                <c:pt idx="2">
                  <c:v>6907</c:v>
                </c:pt>
                <c:pt idx="3">
                  <c:v>6202</c:v>
                </c:pt>
                <c:pt idx="4">
                  <c:v>6519</c:v>
                </c:pt>
              </c:numCache>
            </c:numRef>
          </c:val>
        </c:ser>
        <c:marker val="1"/>
        <c:axId val="127765504"/>
        <c:axId val="123273984"/>
      </c:lineChart>
      <c:catAx>
        <c:axId val="127765504"/>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3273984"/>
        <c:crosses val="autoZero"/>
        <c:auto val="1"/>
        <c:lblAlgn val="ctr"/>
        <c:lblOffset val="100"/>
        <c:tickLblSkip val="1"/>
        <c:tickMarkSkip val="1"/>
      </c:catAx>
      <c:valAx>
        <c:axId val="123273984"/>
        <c:scaling>
          <c:orientation val="minMax"/>
          <c:max val="100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27765504"/>
        <c:crosses val="autoZero"/>
        <c:crossBetween val="between"/>
        <c:majorUnit val="5000"/>
        <c:minorUnit val="1000"/>
      </c:valAx>
      <c:spPr>
        <a:solidFill>
          <a:srgbClr val="C0C0C0"/>
        </a:solidFill>
        <a:ln w="12700">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Arial"/>
                <a:ea typeface="Arial"/>
                <a:cs typeface="Arial"/>
              </a:defRPr>
            </a:pPr>
            <a:r>
              <a:rPr lang="lt-LT"/>
              <a:t>Strateginio plano lėšų pasiskirstymas pagal prioritetus (tūkst.Lt)</a:t>
            </a:r>
          </a:p>
        </c:rich>
      </c:tx>
      <c:layout>
        <c:manualLayout>
          <c:xMode val="edge"/>
          <c:yMode val="edge"/>
          <c:x val="0.15885947046843249"/>
          <c:y val="4.8780487804878349E-2"/>
        </c:manualLayout>
      </c:layout>
      <c:spPr>
        <a:noFill/>
        <a:ln w="25400">
          <a:noFill/>
        </a:ln>
      </c:spPr>
    </c:title>
    <c:view3D>
      <c:hPercent val="43"/>
      <c:depthPercent val="100"/>
      <c:rAngAx val="1"/>
    </c:view3D>
    <c:floor>
      <c:spPr>
        <a:solidFill>
          <a:srgbClr val="C0C0C0"/>
        </a:solidFill>
        <a:ln w="3175">
          <a:solidFill>
            <a:srgbClr val="000000"/>
          </a:solidFill>
          <a:prstDash val="solid"/>
        </a:ln>
      </c:spPr>
    </c:floor>
    <c:sideWall>
      <c:spPr>
        <a:solidFill>
          <a:srgbClr val="FFFFFF"/>
        </a:solidFill>
        <a:ln w="25400">
          <a:noFill/>
        </a:ln>
      </c:spPr>
    </c:sideWall>
    <c:backWall>
      <c:spPr>
        <a:solidFill>
          <a:srgbClr val="FFFFFF"/>
        </a:solidFill>
        <a:ln w="25400">
          <a:noFill/>
        </a:ln>
      </c:spPr>
    </c:backWall>
    <c:plotArea>
      <c:layout>
        <c:manualLayout>
          <c:layoutTarget val="inner"/>
          <c:xMode val="edge"/>
          <c:yMode val="edge"/>
          <c:x val="2.8513238289205795E-2"/>
          <c:y val="0.26132404181184826"/>
          <c:w val="0.94297352342159069"/>
          <c:h val="0.59930313588850159"/>
        </c:manualLayout>
      </c:layout>
      <c:bar3DChart>
        <c:barDir val="col"/>
        <c:grouping val="clustered"/>
        <c:ser>
          <c:idx val="0"/>
          <c:order val="0"/>
          <c:spPr>
            <a:solidFill>
              <a:srgbClr val="9999FF"/>
            </a:solidFill>
            <a:ln w="12700">
              <a:solidFill>
                <a:srgbClr val="000000"/>
              </a:solidFill>
              <a:prstDash val="solid"/>
            </a:ln>
          </c:spPr>
          <c:dLbls>
            <c:dLbl>
              <c:idx val="0"/>
              <c:layout>
                <c:manualLayout>
                  <c:x val="1.6612302280952181E-2"/>
                  <c:y val="-4.6748424739590483E-2"/>
                </c:manualLayout>
              </c:layout>
              <c:showVal val="1"/>
            </c:dLbl>
            <c:dLbl>
              <c:idx val="1"/>
              <c:layout>
                <c:manualLayout>
                  <c:x val="2.0256480159939309E-2"/>
                  <c:y val="-4.2658326245804623E-2"/>
                </c:manualLayout>
              </c:layout>
              <c:showVal val="1"/>
            </c:dLbl>
            <c:dLbl>
              <c:idx val="2"/>
              <c:layout>
                <c:manualLayout>
                  <c:x val="2.1184897712633096E-2"/>
                  <c:y val="-5.3113116957941561E-2"/>
                </c:manualLayout>
              </c:layout>
              <c:showVal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showVal val="1"/>
          </c:dLbls>
          <c:cat>
            <c:strRef>
              <c:f>rodikliai!$C$55:$C$57</c:f>
              <c:strCache>
                <c:ptCount val="3"/>
                <c:pt idx="0">
                  <c:v>I prioritetas</c:v>
                </c:pt>
                <c:pt idx="1">
                  <c:v>II prioritetas</c:v>
                </c:pt>
                <c:pt idx="2">
                  <c:v>III prioritetas</c:v>
                </c:pt>
              </c:strCache>
            </c:strRef>
          </c:cat>
          <c:val>
            <c:numRef>
              <c:f>rodikliai!$D$55:$D$57</c:f>
              <c:numCache>
                <c:formatCode>General</c:formatCode>
                <c:ptCount val="3"/>
                <c:pt idx="0">
                  <c:v>10721.7</c:v>
                </c:pt>
                <c:pt idx="1">
                  <c:v>36498.699999999997</c:v>
                </c:pt>
                <c:pt idx="2">
                  <c:v>11280</c:v>
                </c:pt>
              </c:numCache>
            </c:numRef>
          </c:val>
        </c:ser>
        <c:dLbls>
          <c:showVal val="1"/>
        </c:dLbls>
        <c:shape val="box"/>
        <c:axId val="102448512"/>
        <c:axId val="102454400"/>
        <c:axId val="0"/>
      </c:bar3DChart>
      <c:catAx>
        <c:axId val="102448512"/>
        <c:scaling>
          <c:orientation val="minMax"/>
        </c:scaling>
        <c:axPos val="b"/>
        <c:numFmt formatCode="General" sourceLinked="1"/>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02454400"/>
        <c:crosses val="autoZero"/>
        <c:auto val="1"/>
        <c:lblAlgn val="ctr"/>
        <c:lblOffset val="100"/>
        <c:tickLblSkip val="1"/>
        <c:tickMarkSkip val="1"/>
      </c:catAx>
      <c:valAx>
        <c:axId val="102454400"/>
        <c:scaling>
          <c:orientation val="minMax"/>
        </c:scaling>
        <c:delete val="1"/>
        <c:axPos val="l"/>
        <c:numFmt formatCode="General" sourceLinked="1"/>
        <c:tickLblPos val="none"/>
        <c:crossAx val="102448512"/>
        <c:crosses val="autoZero"/>
        <c:crossBetween val="between"/>
      </c:valAx>
      <c:spPr>
        <a:noFill/>
        <a:ln w="25400">
          <a:noFill/>
        </a:ln>
      </c:spPr>
    </c:plotArea>
    <c:plotVisOnly val="1"/>
    <c:dispBlanksAs val="gap"/>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b="0" i="0" u="none" strike="noStrike" baseline="0">
                <a:solidFill>
                  <a:srgbClr val="000000"/>
                </a:solidFill>
                <a:latin typeface="Times New Roman" pitchFamily="18" charset="0"/>
                <a:ea typeface="Arial"/>
                <a:cs typeface="Times New Roman" pitchFamily="18" charset="0"/>
              </a:defRPr>
            </a:pPr>
            <a:r>
              <a:rPr lang="lt-LT" sz="1100">
                <a:latin typeface="Times New Roman" pitchFamily="18" charset="0"/>
                <a:cs typeface="Times New Roman" pitchFamily="18" charset="0"/>
              </a:rPr>
              <a:t>4 diagrama. Strateginio plano I prioriteto priemonių vykdymas 201</a:t>
            </a:r>
            <a:r>
              <a:rPr lang="en-US" sz="1100">
                <a:latin typeface="Times New Roman" pitchFamily="18" charset="0"/>
                <a:cs typeface="Times New Roman" pitchFamily="18" charset="0"/>
              </a:rPr>
              <a:t>3</a:t>
            </a:r>
            <a:r>
              <a:rPr lang="lt-LT" sz="1100">
                <a:latin typeface="Times New Roman" pitchFamily="18" charset="0"/>
                <a:cs typeface="Times New Roman" pitchFamily="18" charset="0"/>
              </a:rPr>
              <a:t> m.</a:t>
            </a:r>
          </a:p>
        </c:rich>
      </c:tx>
      <c:layout>
        <c:manualLayout>
          <c:xMode val="edge"/>
          <c:yMode val="edge"/>
          <c:x val="0.13849287169042843"/>
          <c:y val="3.8327526132404179E-2"/>
        </c:manualLayout>
      </c:layout>
      <c:spPr>
        <a:noFill/>
        <a:ln w="25400">
          <a:noFill/>
        </a:ln>
      </c:spPr>
    </c:title>
    <c:plotArea>
      <c:layout>
        <c:manualLayout>
          <c:layoutTarget val="inner"/>
          <c:xMode val="edge"/>
          <c:yMode val="edge"/>
          <c:x val="0.20773930753564232"/>
          <c:y val="0.36933797909407901"/>
          <c:w val="0.25865580448065184"/>
          <c:h val="0.4425087108013937"/>
        </c:manualLayout>
      </c:layout>
      <c:pieChart>
        <c:varyColors val="1"/>
        <c:ser>
          <c:idx val="0"/>
          <c:order val="0"/>
          <c:spPr>
            <a:solidFill>
              <a:srgbClr val="9999FF"/>
            </a:solidFill>
            <a:ln w="12700">
              <a:solidFill>
                <a:srgbClr val="000000"/>
              </a:solidFill>
              <a:prstDash val="solid"/>
            </a:ln>
          </c:spPr>
          <c:explosion val="35"/>
          <c:dPt>
            <c:idx val="1"/>
            <c:spPr>
              <a:solidFill>
                <a:srgbClr val="993366"/>
              </a:solidFill>
              <a:ln w="12700">
                <a:solidFill>
                  <a:srgbClr val="000000"/>
                </a:solidFill>
                <a:prstDash val="solid"/>
              </a:ln>
            </c:spPr>
          </c:dPt>
          <c:dLbls>
            <c:dLbl>
              <c:idx val="0"/>
              <c:tx>
                <c:rich>
                  <a:bodyPr/>
                  <a:lstStyle/>
                  <a:p>
                    <a:r>
                      <a:rPr lang="lt-LT"/>
                      <a:t>92</a:t>
                    </a:r>
                    <a:r>
                      <a:rPr lang="en-US"/>
                      <a:t>%</a:t>
                    </a:r>
                  </a:p>
                </c:rich>
              </c:tx>
              <c:showPercent val="1"/>
            </c:dLbl>
            <c:dLbl>
              <c:idx val="1"/>
              <c:tx>
                <c:rich>
                  <a:bodyPr/>
                  <a:lstStyle/>
                  <a:p>
                    <a:r>
                      <a:rPr lang="lt-LT"/>
                      <a:t>8</a:t>
                    </a:r>
                    <a:r>
                      <a:rPr lang="en-US"/>
                      <a:t>%</a:t>
                    </a:r>
                  </a:p>
                </c:rich>
              </c:tx>
              <c:showPercent val="1"/>
            </c:dLbl>
            <c:numFmt formatCode="0%" sourceLinked="0"/>
            <c:spPr>
              <a:noFill/>
              <a:ln w="25400">
                <a:noFill/>
              </a:ln>
            </c:spPr>
            <c:txPr>
              <a:bodyPr/>
              <a:lstStyle/>
              <a:p>
                <a:pPr>
                  <a:defRPr sz="1000" b="0" i="0" u="none" strike="noStrike" baseline="0">
                    <a:solidFill>
                      <a:srgbClr val="000000"/>
                    </a:solidFill>
                    <a:latin typeface="Arial"/>
                    <a:ea typeface="Arial"/>
                    <a:cs typeface="Arial"/>
                  </a:defRPr>
                </a:pPr>
                <a:endParaRPr lang="en-US"/>
              </a:p>
            </c:txPr>
            <c:showPercent val="1"/>
            <c:showLeaderLines val="1"/>
          </c:dLbls>
          <c:cat>
            <c:strRef>
              <c:f>rodikliai!$C$85:$C$86</c:f>
              <c:strCache>
                <c:ptCount val="2"/>
                <c:pt idx="0">
                  <c:v>Vykdoma priemonių</c:v>
                </c:pt>
                <c:pt idx="1">
                  <c:v>Nevykdoma(ar vykdoma dalinai) priemonių</c:v>
                </c:pt>
              </c:strCache>
            </c:strRef>
          </c:cat>
          <c:val>
            <c:numRef>
              <c:f>rodikliai!$D$85:$D$86</c:f>
              <c:numCache>
                <c:formatCode>General</c:formatCode>
                <c:ptCount val="2"/>
                <c:pt idx="0">
                  <c:v>33</c:v>
                </c:pt>
                <c:pt idx="1">
                  <c:v>6</c:v>
                </c:pt>
              </c:numCache>
            </c:numRef>
          </c:val>
        </c:ser>
        <c:dLbls>
          <c:showPercent val="1"/>
        </c:dLbls>
        <c:firstSliceAng val="0"/>
      </c:pieChart>
      <c:spPr>
        <a:noFill/>
        <a:ln w="25400">
          <a:noFill/>
        </a:ln>
      </c:spPr>
    </c:plotArea>
    <c:legend>
      <c:legendPos val="r"/>
      <c:layout>
        <c:manualLayout>
          <c:xMode val="edge"/>
          <c:yMode val="edge"/>
          <c:x val="0.66598778004073322"/>
          <c:y val="0.45993031358885139"/>
          <c:w val="0.31975560081466553"/>
          <c:h val="0.26132404181184854"/>
        </c:manualLayout>
      </c:layout>
      <c:spPr>
        <a:solidFill>
          <a:srgbClr val="FFFFFF"/>
        </a:solidFill>
        <a:ln w="25400">
          <a:noFill/>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en-US"/>
        </a:p>
      </c:txPr>
    </c:legend>
    <c:plotVisOnly val="1"/>
    <c:dispBlanksAs val="zero"/>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40"/>
      <c:depthPercent val="100"/>
      <c:rAngAx val="1"/>
    </c:view3D>
    <c:floor>
      <c:spPr>
        <a:solidFill>
          <a:srgbClr val="C0C0C0"/>
        </a:solidFill>
        <a:ln w="3175">
          <a:solidFill>
            <a:srgbClr val="000000"/>
          </a:solidFill>
          <a:prstDash val="solid"/>
        </a:ln>
      </c:spPr>
    </c:floor>
    <c:sideWall>
      <c:spPr>
        <a:solidFill>
          <a:srgbClr val="FFFFFF"/>
        </a:solidFill>
        <a:ln w="25400">
          <a:noFill/>
        </a:ln>
      </c:spPr>
    </c:sideWall>
    <c:backWall>
      <c:spPr>
        <a:solidFill>
          <a:srgbClr val="FFFFFF"/>
        </a:solidFill>
        <a:ln w="25400">
          <a:noFill/>
        </a:ln>
      </c:spPr>
    </c:backWall>
    <c:plotArea>
      <c:layout>
        <c:manualLayout>
          <c:layoutTarget val="inner"/>
          <c:xMode val="edge"/>
          <c:yMode val="edge"/>
          <c:x val="6.5268065268065265E-2"/>
          <c:y val="8.7912087912087933E-2"/>
          <c:w val="0.91142191142191142"/>
          <c:h val="0.72527472527472525"/>
        </c:manualLayout>
      </c:layout>
      <c:bar3DChart>
        <c:barDir val="col"/>
        <c:grouping val="clustered"/>
        <c:ser>
          <c:idx val="0"/>
          <c:order val="0"/>
          <c:tx>
            <c:strRef>
              <c:f>Sheet1!$A$2</c:f>
              <c:strCache>
                <c:ptCount val="1"/>
                <c:pt idx="0">
                  <c:v>East</c:v>
                </c:pt>
              </c:strCache>
            </c:strRef>
          </c:tx>
          <c:spPr>
            <a:solidFill>
              <a:srgbClr val="9999FF"/>
            </a:solidFill>
            <a:ln w="12613">
              <a:solidFill>
                <a:srgbClr val="000000"/>
              </a:solidFill>
              <a:prstDash val="solid"/>
            </a:ln>
          </c:spPr>
          <c:dLbls>
            <c:dLbl>
              <c:idx val="0"/>
              <c:layout>
                <c:manualLayout>
                  <c:x val="1.8233006609081205E-2"/>
                  <c:y val="-1.6753488746599033E-2"/>
                </c:manualLayout>
              </c:layout>
              <c:showVal val="1"/>
            </c:dLbl>
            <c:dLbl>
              <c:idx val="1"/>
              <c:layout>
                <c:manualLayout>
                  <c:x val="1.5974315361731391E-2"/>
                  <c:y val="-2.1424082806956693E-2"/>
                </c:manualLayout>
              </c:layout>
              <c:showVal val="1"/>
            </c:dLbl>
            <c:dLbl>
              <c:idx val="2"/>
              <c:layout>
                <c:manualLayout>
                  <c:x val="1.2702139056253139E-2"/>
                  <c:y val="9.5651925720824111E-3"/>
                </c:manualLayout>
              </c:layout>
              <c:showVal val="1"/>
            </c:dLbl>
            <c:dLbl>
              <c:idx val="3"/>
              <c:layout>
                <c:manualLayout>
                  <c:x val="1.6118696733447888E-2"/>
                  <c:y val="-4.4720810139117315E-2"/>
                </c:manualLayout>
              </c:layout>
              <c:showVal val="1"/>
            </c:dLbl>
            <c:dLbl>
              <c:idx val="4"/>
              <c:layout>
                <c:manualLayout>
                  <c:x val="9.1977600285046528E-3"/>
                  <c:y val="-2.4281177593185484E-2"/>
                </c:manualLayout>
              </c:layout>
              <c:showVal val="1"/>
            </c:dLbl>
            <c:dLbl>
              <c:idx val="5"/>
              <c:layout>
                <c:manualLayout>
                  <c:x val="5.9258245186150846E-3"/>
                  <c:y val="-2.8896345889456141E-2"/>
                </c:manualLayout>
              </c:layout>
              <c:showVal val="1"/>
            </c:dLbl>
            <c:spPr>
              <a:noFill/>
              <a:ln w="25226">
                <a:noFill/>
              </a:ln>
            </c:spPr>
            <c:txPr>
              <a:bodyPr/>
              <a:lstStyle/>
              <a:p>
                <a:pPr>
                  <a:defRPr sz="993" b="1" i="0" u="none" strike="noStrike" baseline="0">
                    <a:solidFill>
                      <a:srgbClr val="000000"/>
                    </a:solidFill>
                    <a:latin typeface="Arial"/>
                    <a:ea typeface="Arial"/>
                    <a:cs typeface="Arial"/>
                  </a:defRPr>
                </a:pPr>
                <a:endParaRPr lang="en-US"/>
              </a:p>
            </c:txPr>
            <c:showVal val="1"/>
          </c:dLbls>
          <c:cat>
            <c:strRef>
              <c:f>Sheet1!$B$1:$H$1</c:f>
              <c:strCache>
                <c:ptCount val="6"/>
                <c:pt idx="0">
                  <c:v>LR vid.(2012)</c:v>
                </c:pt>
                <c:pt idx="1">
                  <c:v>2008</c:v>
                </c:pt>
                <c:pt idx="2">
                  <c:v>2009</c:v>
                </c:pt>
                <c:pt idx="3">
                  <c:v>2010</c:v>
                </c:pt>
                <c:pt idx="4">
                  <c:v>2011</c:v>
                </c:pt>
                <c:pt idx="5">
                  <c:v>2012</c:v>
                </c:pt>
              </c:strCache>
            </c:strRef>
          </c:cat>
          <c:val>
            <c:numRef>
              <c:f>Sheet1!$B$2:$H$2</c:f>
              <c:numCache>
                <c:formatCode>General</c:formatCode>
                <c:ptCount val="7"/>
                <c:pt idx="0">
                  <c:v>35.1</c:v>
                </c:pt>
                <c:pt idx="1">
                  <c:v>26</c:v>
                </c:pt>
                <c:pt idx="2">
                  <c:v>21.2</c:v>
                </c:pt>
                <c:pt idx="3">
                  <c:v>22.4</c:v>
                </c:pt>
                <c:pt idx="4">
                  <c:v>26</c:v>
                </c:pt>
                <c:pt idx="5">
                  <c:v>28.7</c:v>
                </c:pt>
              </c:numCache>
            </c:numRef>
          </c:val>
        </c:ser>
        <c:ser>
          <c:idx val="1"/>
          <c:order val="1"/>
          <c:tx>
            <c:strRef>
              <c:f>Sheet1!$A$3</c:f>
              <c:strCache>
                <c:ptCount val="1"/>
              </c:strCache>
            </c:strRef>
          </c:tx>
          <c:spPr>
            <a:solidFill>
              <a:srgbClr val="993366"/>
            </a:solidFill>
            <a:ln w="12613">
              <a:solidFill>
                <a:srgbClr val="000000"/>
              </a:solidFill>
              <a:prstDash val="solid"/>
            </a:ln>
          </c:spPr>
          <c:cat>
            <c:strRef>
              <c:f>Sheet1!$B$1:$H$1</c:f>
              <c:strCache>
                <c:ptCount val="6"/>
                <c:pt idx="0">
                  <c:v>LR vid.(2012)</c:v>
                </c:pt>
                <c:pt idx="1">
                  <c:v>2008</c:v>
                </c:pt>
                <c:pt idx="2">
                  <c:v>2009</c:v>
                </c:pt>
                <c:pt idx="3">
                  <c:v>2010</c:v>
                </c:pt>
                <c:pt idx="4">
                  <c:v>2011</c:v>
                </c:pt>
                <c:pt idx="5">
                  <c:v>2012</c:v>
                </c:pt>
              </c:strCache>
            </c:strRef>
          </c:cat>
          <c:val>
            <c:numRef>
              <c:f>Sheet1!$B$3:$H$3</c:f>
              <c:numCache>
                <c:formatCode>General</c:formatCode>
                <c:ptCount val="7"/>
              </c:numCache>
            </c:numRef>
          </c:val>
        </c:ser>
        <c:ser>
          <c:idx val="2"/>
          <c:order val="2"/>
          <c:tx>
            <c:strRef>
              <c:f>Sheet1!$A$4</c:f>
              <c:strCache>
                <c:ptCount val="1"/>
              </c:strCache>
            </c:strRef>
          </c:tx>
          <c:spPr>
            <a:solidFill>
              <a:srgbClr val="FFFFCC"/>
            </a:solidFill>
            <a:ln w="12613">
              <a:solidFill>
                <a:srgbClr val="000000"/>
              </a:solidFill>
              <a:prstDash val="solid"/>
            </a:ln>
          </c:spPr>
          <c:cat>
            <c:strRef>
              <c:f>Sheet1!$B$1:$H$1</c:f>
              <c:strCache>
                <c:ptCount val="6"/>
                <c:pt idx="0">
                  <c:v>LR vid.(2012)</c:v>
                </c:pt>
                <c:pt idx="1">
                  <c:v>2008</c:v>
                </c:pt>
                <c:pt idx="2">
                  <c:v>2009</c:v>
                </c:pt>
                <c:pt idx="3">
                  <c:v>2010</c:v>
                </c:pt>
                <c:pt idx="4">
                  <c:v>2011</c:v>
                </c:pt>
                <c:pt idx="5">
                  <c:v>2012</c:v>
                </c:pt>
              </c:strCache>
            </c:strRef>
          </c:cat>
          <c:val>
            <c:numRef>
              <c:f>Sheet1!$B$4:$H$4</c:f>
              <c:numCache>
                <c:formatCode>General</c:formatCode>
                <c:ptCount val="7"/>
              </c:numCache>
            </c:numRef>
          </c:val>
        </c:ser>
        <c:gapDepth val="0"/>
        <c:shape val="box"/>
        <c:axId val="102594048"/>
        <c:axId val="102595584"/>
        <c:axId val="0"/>
      </c:bar3DChart>
      <c:catAx>
        <c:axId val="102594048"/>
        <c:scaling>
          <c:orientation val="minMax"/>
        </c:scaling>
        <c:axPos val="b"/>
        <c:numFmt formatCode="General" sourceLinked="1"/>
        <c:tickLblPos val="low"/>
        <c:spPr>
          <a:ln w="3153">
            <a:solidFill>
              <a:srgbClr val="000000"/>
            </a:solidFill>
            <a:prstDash val="solid"/>
          </a:ln>
        </c:spPr>
        <c:txPr>
          <a:bodyPr rot="0" vert="horz"/>
          <a:lstStyle/>
          <a:p>
            <a:pPr>
              <a:defRPr sz="795" b="1" i="0" u="none" strike="noStrike" baseline="0">
                <a:solidFill>
                  <a:srgbClr val="000000"/>
                </a:solidFill>
                <a:latin typeface="Arial"/>
                <a:ea typeface="Arial"/>
                <a:cs typeface="Arial"/>
              </a:defRPr>
            </a:pPr>
            <a:endParaRPr lang="en-US"/>
          </a:p>
        </c:txPr>
        <c:crossAx val="102595584"/>
        <c:crosses val="autoZero"/>
        <c:auto val="1"/>
        <c:lblAlgn val="ctr"/>
        <c:lblOffset val="100"/>
        <c:tickLblSkip val="1"/>
        <c:tickMarkSkip val="1"/>
      </c:catAx>
      <c:valAx>
        <c:axId val="102595584"/>
        <c:scaling>
          <c:orientation val="minMax"/>
        </c:scaling>
        <c:axPos val="l"/>
        <c:numFmt formatCode="General" sourceLinked="1"/>
        <c:tickLblPos val="nextTo"/>
        <c:spPr>
          <a:ln w="3153">
            <a:solidFill>
              <a:srgbClr val="000000"/>
            </a:solidFill>
            <a:prstDash val="solid"/>
          </a:ln>
        </c:spPr>
        <c:txPr>
          <a:bodyPr rot="0" vert="horz"/>
          <a:lstStyle/>
          <a:p>
            <a:pPr>
              <a:defRPr sz="795" b="1" i="0" u="none" strike="noStrike" baseline="0">
                <a:solidFill>
                  <a:srgbClr val="000000"/>
                </a:solidFill>
                <a:latin typeface="Arial"/>
                <a:ea typeface="Arial"/>
                <a:cs typeface="Arial"/>
              </a:defRPr>
            </a:pPr>
            <a:endParaRPr lang="en-US"/>
          </a:p>
        </c:txPr>
        <c:crossAx val="102594048"/>
        <c:crosses val="autoZero"/>
        <c:crossBetween val="between"/>
      </c:valAx>
      <c:spPr>
        <a:noFill/>
        <a:ln w="25226">
          <a:noFill/>
        </a:ln>
      </c:spPr>
    </c:plotArea>
    <c:plotVisOnly val="1"/>
    <c:dispBlanksAs val="gap"/>
  </c:chart>
  <c:spPr>
    <a:noFill/>
    <a:ln>
      <a:noFill/>
    </a:ln>
  </c:spPr>
  <c:txPr>
    <a:bodyPr/>
    <a:lstStyle/>
    <a:p>
      <a:pPr>
        <a:defRPr sz="795" b="1"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'[Chart in Microsoft Office Word]Sheet1'!$A$2</c:f>
              <c:strCache>
                <c:ptCount val="1"/>
                <c:pt idx="0">
                  <c:v>Vilnius</c:v>
                </c:pt>
              </c:strCache>
            </c:strRef>
          </c:tx>
          <c:cat>
            <c:numRef>
              <c:f>'[Chart in Microsoft Office Word]Sheet1'!$B$1:$F$1</c:f>
              <c:numCache>
                <c:formatCode>General</c:formatCode>
                <c:ptCount val="5"/>
                <c:pt idx="0">
                  <c:v>2008</c:v>
                </c:pt>
                <c:pt idx="1">
                  <c:v>2009</c:v>
                </c:pt>
                <c:pt idx="2">
                  <c:v>2010</c:v>
                </c:pt>
                <c:pt idx="3">
                  <c:v>2011</c:v>
                </c:pt>
                <c:pt idx="4">
                  <c:v>2012</c:v>
                </c:pt>
              </c:numCache>
            </c:numRef>
          </c:cat>
          <c:val>
            <c:numRef>
              <c:f>'[Chart in Microsoft Office Word]Sheet1'!$B$2:$F$2</c:f>
              <c:numCache>
                <c:formatCode>General</c:formatCode>
                <c:ptCount val="5"/>
                <c:pt idx="0">
                  <c:v>37918</c:v>
                </c:pt>
                <c:pt idx="1">
                  <c:v>36371</c:v>
                </c:pt>
                <c:pt idx="2">
                  <c:v>38694</c:v>
                </c:pt>
                <c:pt idx="3">
                  <c:v>42851</c:v>
                </c:pt>
                <c:pt idx="4">
                  <c:v>48226</c:v>
                </c:pt>
              </c:numCache>
            </c:numRef>
          </c:val>
        </c:ser>
        <c:ser>
          <c:idx val="1"/>
          <c:order val="1"/>
          <c:tx>
            <c:strRef>
              <c:f>'[Chart in Microsoft Office Word]Sheet1'!$A$3</c:f>
              <c:strCache>
                <c:ptCount val="1"/>
                <c:pt idx="0">
                  <c:v>Kaunas</c:v>
                </c:pt>
              </c:strCache>
            </c:strRef>
          </c:tx>
          <c:cat>
            <c:numRef>
              <c:f>'[Chart in Microsoft Office Word]Sheet1'!$B$1:$F$1</c:f>
              <c:numCache>
                <c:formatCode>General</c:formatCode>
                <c:ptCount val="5"/>
                <c:pt idx="0">
                  <c:v>2008</c:v>
                </c:pt>
                <c:pt idx="1">
                  <c:v>2009</c:v>
                </c:pt>
                <c:pt idx="2">
                  <c:v>2010</c:v>
                </c:pt>
                <c:pt idx="3">
                  <c:v>2011</c:v>
                </c:pt>
                <c:pt idx="4">
                  <c:v>2012</c:v>
                </c:pt>
              </c:numCache>
            </c:numRef>
          </c:cat>
          <c:val>
            <c:numRef>
              <c:f>'[Chart in Microsoft Office Word]Sheet1'!$B$3:$F$3</c:f>
              <c:numCache>
                <c:formatCode>General</c:formatCode>
                <c:ptCount val="5"/>
                <c:pt idx="0">
                  <c:v>6656</c:v>
                </c:pt>
                <c:pt idx="1">
                  <c:v>8415</c:v>
                </c:pt>
                <c:pt idx="2">
                  <c:v>10184</c:v>
                </c:pt>
                <c:pt idx="3">
                  <c:v>12448</c:v>
                </c:pt>
                <c:pt idx="4">
                  <c:v>13207</c:v>
                </c:pt>
              </c:numCache>
            </c:numRef>
          </c:val>
        </c:ser>
        <c:ser>
          <c:idx val="2"/>
          <c:order val="2"/>
          <c:tx>
            <c:strRef>
              <c:f>'[Chart in Microsoft Office Word]Sheet1'!$A$4</c:f>
              <c:strCache>
                <c:ptCount val="1"/>
                <c:pt idx="0">
                  <c:v>Klaipėda</c:v>
                </c:pt>
              </c:strCache>
            </c:strRef>
          </c:tx>
          <c:cat>
            <c:numRef>
              <c:f>'[Chart in Microsoft Office Word]Sheet1'!$B$1:$F$1</c:f>
              <c:numCache>
                <c:formatCode>General</c:formatCode>
                <c:ptCount val="5"/>
                <c:pt idx="0">
                  <c:v>2008</c:v>
                </c:pt>
                <c:pt idx="1">
                  <c:v>2009</c:v>
                </c:pt>
                <c:pt idx="2">
                  <c:v>2010</c:v>
                </c:pt>
                <c:pt idx="3">
                  <c:v>2011</c:v>
                </c:pt>
                <c:pt idx="4">
                  <c:v>2012</c:v>
                </c:pt>
              </c:numCache>
            </c:numRef>
          </c:cat>
          <c:val>
            <c:numRef>
              <c:f>'[Chart in Microsoft Office Word]Sheet1'!$B$4:$F$4</c:f>
              <c:numCache>
                <c:formatCode>General</c:formatCode>
                <c:ptCount val="5"/>
                <c:pt idx="0">
                  <c:v>10782</c:v>
                </c:pt>
                <c:pt idx="1">
                  <c:v>12619</c:v>
                </c:pt>
                <c:pt idx="2">
                  <c:v>14520</c:v>
                </c:pt>
                <c:pt idx="3">
                  <c:v>15184</c:v>
                </c:pt>
                <c:pt idx="4">
                  <c:v>15593</c:v>
                </c:pt>
              </c:numCache>
            </c:numRef>
          </c:val>
        </c:ser>
        <c:ser>
          <c:idx val="3"/>
          <c:order val="3"/>
          <c:tx>
            <c:strRef>
              <c:f>'[Chart in Microsoft Office Word]Sheet1'!$A$5</c:f>
              <c:strCache>
                <c:ptCount val="1"/>
                <c:pt idx="0">
                  <c:v>Šiauliai</c:v>
                </c:pt>
              </c:strCache>
            </c:strRef>
          </c:tx>
          <c:cat>
            <c:numRef>
              <c:f>'[Chart in Microsoft Office Word]Sheet1'!$B$1:$F$1</c:f>
              <c:numCache>
                <c:formatCode>General</c:formatCode>
                <c:ptCount val="5"/>
                <c:pt idx="0">
                  <c:v>2008</c:v>
                </c:pt>
                <c:pt idx="1">
                  <c:v>2009</c:v>
                </c:pt>
                <c:pt idx="2">
                  <c:v>2010</c:v>
                </c:pt>
                <c:pt idx="3">
                  <c:v>2011</c:v>
                </c:pt>
                <c:pt idx="4">
                  <c:v>2012</c:v>
                </c:pt>
              </c:numCache>
            </c:numRef>
          </c:cat>
          <c:val>
            <c:numRef>
              <c:f>'[Chart in Microsoft Office Word]Sheet1'!$B$5:$F$5</c:f>
              <c:numCache>
                <c:formatCode>General</c:formatCode>
                <c:ptCount val="5"/>
                <c:pt idx="0">
                  <c:v>1918</c:v>
                </c:pt>
                <c:pt idx="1">
                  <c:v>1809</c:v>
                </c:pt>
                <c:pt idx="2">
                  <c:v>2549</c:v>
                </c:pt>
                <c:pt idx="3">
                  <c:v>2410</c:v>
                </c:pt>
                <c:pt idx="4">
                  <c:v>2420</c:v>
                </c:pt>
              </c:numCache>
            </c:numRef>
          </c:val>
        </c:ser>
        <c:ser>
          <c:idx val="4"/>
          <c:order val="4"/>
          <c:tx>
            <c:strRef>
              <c:f>'[Chart in Microsoft Office Word]Sheet1'!$A$6</c:f>
              <c:strCache>
                <c:ptCount val="1"/>
                <c:pt idx="0">
                  <c:v>Panevėžys</c:v>
                </c:pt>
              </c:strCache>
            </c:strRef>
          </c:tx>
          <c:dLbls>
            <c:showVal val="1"/>
          </c:dLbls>
          <c:cat>
            <c:numRef>
              <c:f>'[Chart in Microsoft Office Word]Sheet1'!$B$1:$F$1</c:f>
              <c:numCache>
                <c:formatCode>General</c:formatCode>
                <c:ptCount val="5"/>
                <c:pt idx="0">
                  <c:v>2008</c:v>
                </c:pt>
                <c:pt idx="1">
                  <c:v>2009</c:v>
                </c:pt>
                <c:pt idx="2">
                  <c:v>2010</c:v>
                </c:pt>
                <c:pt idx="3">
                  <c:v>2011</c:v>
                </c:pt>
                <c:pt idx="4">
                  <c:v>2012</c:v>
                </c:pt>
              </c:numCache>
            </c:numRef>
          </c:cat>
          <c:val>
            <c:numRef>
              <c:f>'[Chart in Microsoft Office Word]Sheet1'!$B$6:$F$6</c:f>
              <c:numCache>
                <c:formatCode>General</c:formatCode>
                <c:ptCount val="5"/>
                <c:pt idx="0">
                  <c:v>4498</c:v>
                </c:pt>
                <c:pt idx="1">
                  <c:v>6225</c:v>
                </c:pt>
                <c:pt idx="2">
                  <c:v>5459</c:v>
                </c:pt>
                <c:pt idx="3">
                  <c:v>6587</c:v>
                </c:pt>
                <c:pt idx="4">
                  <c:v>7822</c:v>
                </c:pt>
              </c:numCache>
            </c:numRef>
          </c:val>
        </c:ser>
        <c:axId val="121786752"/>
        <c:axId val="121788288"/>
      </c:barChart>
      <c:catAx>
        <c:axId val="121786752"/>
        <c:scaling>
          <c:orientation val="minMax"/>
        </c:scaling>
        <c:axPos val="b"/>
        <c:numFmt formatCode="General" sourceLinked="1"/>
        <c:tickLblPos val="nextTo"/>
        <c:crossAx val="121788288"/>
        <c:crosses val="autoZero"/>
        <c:auto val="1"/>
        <c:lblAlgn val="ctr"/>
        <c:lblOffset val="100"/>
      </c:catAx>
      <c:valAx>
        <c:axId val="121788288"/>
        <c:scaling>
          <c:orientation val="minMax"/>
        </c:scaling>
        <c:axPos val="l"/>
        <c:majorGridlines/>
        <c:numFmt formatCode="General" sourceLinked="1"/>
        <c:tickLblPos val="nextTo"/>
        <c:crossAx val="12178675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30"/>
      <c:depthPercent val="21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4638783269961989E-2"/>
          <c:y val="5.8479532163742687E-2"/>
          <c:w val="0.91634980988593151"/>
          <c:h val="0.73099415204678675"/>
        </c:manualLayout>
      </c:layout>
      <c:bar3DChart>
        <c:barDir val="col"/>
        <c:grouping val="clustered"/>
        <c:ser>
          <c:idx val="0"/>
          <c:order val="0"/>
          <c:tx>
            <c:strRef>
              <c:f>Sheet1!$A$2</c:f>
              <c:strCache>
                <c:ptCount val="1"/>
              </c:strCache>
            </c:strRef>
          </c:tx>
          <c:spPr>
            <a:solidFill>
              <a:srgbClr val="9999FF"/>
            </a:solidFill>
            <a:ln w="12629">
              <a:solidFill>
                <a:srgbClr val="000000"/>
              </a:solidFill>
              <a:prstDash val="solid"/>
            </a:ln>
          </c:spPr>
          <c:dLbls>
            <c:dLbl>
              <c:idx val="0"/>
              <c:layout>
                <c:manualLayout>
                  <c:x val="3.399882066796521E-2"/>
                  <c:y val="-4.4126156228145377E-2"/>
                </c:manualLayout>
              </c:layout>
              <c:showVal val="1"/>
            </c:dLbl>
            <c:dLbl>
              <c:idx val="1"/>
              <c:layout>
                <c:manualLayout>
                  <c:x val="2.0451790557476261E-2"/>
                  <c:y val="-3.2503904444337602E-2"/>
                </c:manualLayout>
              </c:layout>
              <c:showVal val="1"/>
            </c:dLbl>
            <c:dLbl>
              <c:idx val="2"/>
              <c:layout>
                <c:manualLayout>
                  <c:x val="8.8060981048996463E-3"/>
                  <c:y val="-5.9365148417221333E-2"/>
                </c:manualLayout>
              </c:layout>
              <c:showVal val="1"/>
            </c:dLbl>
            <c:dLbl>
              <c:idx val="3"/>
              <c:layout>
                <c:manualLayout>
                  <c:x val="1.2019074449598989E-2"/>
                  <c:y val="-4.8588449560990045E-2"/>
                </c:manualLayout>
              </c:layout>
              <c:showVal val="1"/>
            </c:dLbl>
            <c:dLbl>
              <c:idx val="4"/>
              <c:layout>
                <c:manualLayout>
                  <c:x val="3.8746652363244947E-2"/>
                  <c:y val="-4.7225523096324211E-2"/>
                </c:manualLayout>
              </c:layout>
              <c:showVal val="1"/>
            </c:dLbl>
            <c:spPr>
              <a:noFill/>
              <a:ln w="25258">
                <a:noFill/>
              </a:ln>
            </c:spPr>
            <c:txPr>
              <a:bodyPr/>
              <a:lstStyle/>
              <a:p>
                <a:pPr>
                  <a:defRPr sz="945"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506.5</c:v>
                </c:pt>
                <c:pt idx="1">
                  <c:v>641.79999999999995</c:v>
                </c:pt>
                <c:pt idx="2">
                  <c:v>546.1</c:v>
                </c:pt>
                <c:pt idx="3">
                  <c:v>648.6</c:v>
                </c:pt>
                <c:pt idx="4">
                  <c:v>761.4</c:v>
                </c:pt>
              </c:numCache>
            </c:numRef>
          </c:val>
        </c:ser>
        <c:ser>
          <c:idx val="1"/>
          <c:order val="1"/>
          <c:tx>
            <c:strRef>
              <c:f>Sheet1!$A$3</c:f>
              <c:strCache>
                <c:ptCount val="1"/>
              </c:strCache>
            </c:strRef>
          </c:tx>
          <c:spPr>
            <a:solidFill>
              <a:srgbClr val="993366"/>
            </a:solidFill>
            <a:ln w="12629">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Sheet1!$B$3:$F$3</c:f>
              <c:numCache>
                <c:formatCode>General</c:formatCode>
                <c:ptCount val="5"/>
              </c:numCache>
            </c:numRef>
          </c:val>
        </c:ser>
        <c:ser>
          <c:idx val="2"/>
          <c:order val="2"/>
          <c:tx>
            <c:strRef>
              <c:f>Sheet1!$A$4</c:f>
              <c:strCache>
                <c:ptCount val="1"/>
              </c:strCache>
            </c:strRef>
          </c:tx>
          <c:spPr>
            <a:solidFill>
              <a:srgbClr val="FFFFCC"/>
            </a:solidFill>
            <a:ln w="12629">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Sheet1!$B$4:$F$4</c:f>
              <c:numCache>
                <c:formatCode>General</c:formatCode>
                <c:ptCount val="5"/>
              </c:numCache>
            </c:numRef>
          </c:val>
        </c:ser>
        <c:gapDepth val="0"/>
        <c:shape val="box"/>
        <c:axId val="113574656"/>
        <c:axId val="113576192"/>
        <c:axId val="0"/>
      </c:bar3DChart>
      <c:catAx>
        <c:axId val="113574656"/>
        <c:scaling>
          <c:orientation val="minMax"/>
        </c:scaling>
        <c:axPos val="b"/>
        <c:numFmt formatCode="General" sourceLinked="1"/>
        <c:tickLblPos val="low"/>
        <c:spPr>
          <a:ln w="3157">
            <a:solidFill>
              <a:srgbClr val="000000"/>
            </a:solidFill>
            <a:prstDash val="solid"/>
          </a:ln>
        </c:spPr>
        <c:txPr>
          <a:bodyPr rot="0" vert="horz"/>
          <a:lstStyle/>
          <a:p>
            <a:pPr>
              <a:defRPr sz="945" b="1" i="0" u="none" strike="noStrike" baseline="0">
                <a:solidFill>
                  <a:srgbClr val="000000"/>
                </a:solidFill>
                <a:latin typeface="Arial"/>
                <a:ea typeface="Arial"/>
                <a:cs typeface="Arial"/>
              </a:defRPr>
            </a:pPr>
            <a:endParaRPr lang="en-US"/>
          </a:p>
        </c:txPr>
        <c:crossAx val="113576192"/>
        <c:crosses val="autoZero"/>
        <c:auto val="1"/>
        <c:lblAlgn val="ctr"/>
        <c:lblOffset val="100"/>
        <c:tickLblSkip val="1"/>
        <c:tickMarkSkip val="1"/>
      </c:catAx>
      <c:valAx>
        <c:axId val="113576192"/>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13574656"/>
        <c:crosses val="autoZero"/>
        <c:crossBetween val="between"/>
      </c:valAx>
      <c:spPr>
        <a:noFill/>
        <a:ln w="25258">
          <a:noFill/>
        </a:ln>
      </c:spPr>
    </c:plotArea>
    <c:plotVisOnly val="1"/>
    <c:dispBlanksAs val="gap"/>
  </c:chart>
  <c:spPr>
    <a:noFill/>
    <a:ln>
      <a:noFill/>
    </a:ln>
  </c:spPr>
  <c:txPr>
    <a:bodyPr/>
    <a:lstStyle/>
    <a:p>
      <a:pPr>
        <a:defRPr sz="945" b="1"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14"/>
      <c:hPercent val="30"/>
      <c:rotY val="44"/>
      <c:depthPercent val="310"/>
      <c:rAngAx val="1"/>
    </c:view3D>
    <c:floor>
      <c:spPr>
        <a:solidFill>
          <a:srgbClr val="C0C0C0"/>
        </a:solidFill>
        <a:ln w="3175">
          <a:solidFill>
            <a:srgbClr val="000000"/>
          </a:solidFill>
          <a:prstDash val="solid"/>
        </a:ln>
      </c:spPr>
    </c:floor>
    <c:sideWall>
      <c:spPr>
        <a:solidFill>
          <a:srgbClr val="C0C0C0"/>
        </a:solidFill>
        <a:ln w="3175">
          <a:solidFill>
            <a:srgbClr val="000000"/>
          </a:solidFill>
          <a:prstDash val="solid"/>
        </a:ln>
      </c:spPr>
    </c:sideWall>
    <c:backWall>
      <c:spPr>
        <a:solidFill>
          <a:srgbClr val="C0C0C0"/>
        </a:solidFill>
        <a:ln w="3175">
          <a:solidFill>
            <a:srgbClr val="000000"/>
          </a:solidFill>
          <a:prstDash val="solid"/>
        </a:ln>
      </c:spPr>
    </c:backWall>
    <c:plotArea>
      <c:layout>
        <c:manualLayout>
          <c:layoutTarget val="inner"/>
          <c:xMode val="edge"/>
          <c:yMode val="edge"/>
          <c:x val="4.2993630573248759E-2"/>
          <c:y val="5.1813471502590936E-3"/>
          <c:w val="0.94108280254777266"/>
          <c:h val="0.81347150259067602"/>
        </c:manualLayout>
      </c:layout>
      <c:bar3DChart>
        <c:barDir val="col"/>
        <c:grouping val="clustered"/>
        <c:ser>
          <c:idx val="0"/>
          <c:order val="0"/>
          <c:tx>
            <c:strRef>
              <c:f>Sheet1!$A$2</c:f>
              <c:strCache>
                <c:ptCount val="1"/>
                <c:pt idx="0">
                  <c:v>East</c:v>
                </c:pt>
              </c:strCache>
            </c:strRef>
          </c:tx>
          <c:spPr>
            <a:solidFill>
              <a:srgbClr val="9999FF"/>
            </a:solidFill>
            <a:ln w="12621">
              <a:solidFill>
                <a:srgbClr val="000000"/>
              </a:solidFill>
              <a:prstDash val="solid"/>
            </a:ln>
          </c:spPr>
          <c:dLbls>
            <c:dLbl>
              <c:idx val="0"/>
              <c:layout>
                <c:manualLayout>
                  <c:x val="9.3009495997493544E-2"/>
                  <c:y val="6.265663102635713E-4"/>
                </c:manualLayout>
              </c:layout>
              <c:showVal val="1"/>
            </c:dLbl>
            <c:dLbl>
              <c:idx val="1"/>
              <c:layout>
                <c:manualLayout>
                  <c:x val="6.5150239777061303E-2"/>
                  <c:y val="-7.644216440070227E-2"/>
                </c:manualLayout>
              </c:layout>
              <c:showVal val="1"/>
            </c:dLbl>
            <c:dLbl>
              <c:idx val="2"/>
              <c:layout>
                <c:manualLayout>
                  <c:x val="2.6888169801174439E-2"/>
                  <c:y val="-8.5272908869239397E-2"/>
                </c:manualLayout>
              </c:layout>
              <c:showVal val="1"/>
            </c:dLbl>
            <c:dLbl>
              <c:idx val="3"/>
              <c:layout>
                <c:manualLayout>
                  <c:x val="5.0728010653312984E-2"/>
                  <c:y val="-3.5648868886922452E-2"/>
                </c:manualLayout>
              </c:layout>
              <c:showVal val="1"/>
            </c:dLbl>
            <c:dLbl>
              <c:idx val="4"/>
              <c:layout>
                <c:manualLayout>
                  <c:x val="3.9536004371693287E-2"/>
                  <c:y val="-7.8523361281644291E-2"/>
                </c:manualLayout>
              </c:layout>
              <c:showVal val="1"/>
            </c:dLbl>
            <c:dLbl>
              <c:idx val="5"/>
              <c:layout>
                <c:manualLayout>
                  <c:x val="3.6305781529564499E-2"/>
                  <c:y val="-5.7797972680608392E-2"/>
                </c:manualLayout>
              </c:layout>
              <c:showVal val="1"/>
            </c:dLbl>
            <c:dLbl>
              <c:idx val="6"/>
              <c:layout>
                <c:manualLayout>
                  <c:x val="2.1929061872148669E-2"/>
                  <c:y val="-9.5490600748338553E-2"/>
                </c:manualLayout>
              </c:layout>
              <c:showVal val="1"/>
            </c:dLbl>
            <c:dLbl>
              <c:idx val="7"/>
              <c:layout>
                <c:manualLayout>
                  <c:x val="1.9017771289710435E-2"/>
                  <c:y val="-0.11059433186360015"/>
                </c:manualLayout>
              </c:layout>
              <c:showVal val="1"/>
            </c:dLbl>
            <c:dLbl>
              <c:idx val="8"/>
              <c:layout>
                <c:manualLayout>
                  <c:x val="2.6190527797479792E-2"/>
                  <c:y val="-0.11646941130750645"/>
                </c:manualLayout>
              </c:layout>
              <c:showVal val="1"/>
            </c:dLbl>
            <c:spPr>
              <a:noFill/>
              <a:ln w="25241">
                <a:noFill/>
              </a:ln>
            </c:spPr>
            <c:txPr>
              <a:bodyPr/>
              <a:lstStyle/>
              <a:p>
                <a:pPr>
                  <a:defRPr sz="944" b="1" i="0" u="none" strike="noStrike" baseline="0">
                    <a:solidFill>
                      <a:srgbClr val="000000"/>
                    </a:solidFill>
                    <a:latin typeface="Arial"/>
                    <a:ea typeface="Arial"/>
                    <a:cs typeface="Arial"/>
                  </a:defRPr>
                </a:pPr>
                <a:endParaRPr lang="en-US"/>
              </a:p>
            </c:txPr>
            <c:showVal val="1"/>
          </c:dLbls>
          <c:cat>
            <c:strRef>
              <c:f>Sheet1!$B$1:$J$1</c:f>
              <c:strCache>
                <c:ptCount val="9"/>
                <c:pt idx="0">
                  <c:v>Danija</c:v>
                </c:pt>
                <c:pt idx="1">
                  <c:v>Vokietija</c:v>
                </c:pt>
                <c:pt idx="2">
                  <c:v>Norvegija</c:v>
                </c:pt>
                <c:pt idx="3">
                  <c:v>Estija</c:v>
                </c:pt>
                <c:pt idx="4">
                  <c:v>Prancūzija</c:v>
                </c:pt>
                <c:pt idx="5">
                  <c:v>Švedija</c:v>
                </c:pt>
                <c:pt idx="6">
                  <c:v>JK</c:v>
                </c:pt>
                <c:pt idx="7">
                  <c:v>Latvija</c:v>
                </c:pt>
                <c:pt idx="8">
                  <c:v>Lenkija</c:v>
                </c:pt>
              </c:strCache>
            </c:strRef>
          </c:cat>
          <c:val>
            <c:numRef>
              <c:f>Sheet1!$B$2:$J$2</c:f>
              <c:numCache>
                <c:formatCode>General</c:formatCode>
                <c:ptCount val="9"/>
                <c:pt idx="0">
                  <c:v>324</c:v>
                </c:pt>
                <c:pt idx="1">
                  <c:v>118</c:v>
                </c:pt>
                <c:pt idx="2">
                  <c:v>77</c:v>
                </c:pt>
                <c:pt idx="3">
                  <c:v>61</c:v>
                </c:pt>
                <c:pt idx="4">
                  <c:v>54</c:v>
                </c:pt>
                <c:pt idx="5">
                  <c:v>13.1</c:v>
                </c:pt>
                <c:pt idx="6">
                  <c:v>6.7</c:v>
                </c:pt>
                <c:pt idx="7">
                  <c:v>6.2</c:v>
                </c:pt>
                <c:pt idx="8">
                  <c:v>3.1</c:v>
                </c:pt>
              </c:numCache>
            </c:numRef>
          </c:val>
        </c:ser>
        <c:ser>
          <c:idx val="1"/>
          <c:order val="1"/>
          <c:tx>
            <c:strRef>
              <c:f>Sheet1!$A$3</c:f>
              <c:strCache>
                <c:ptCount val="1"/>
              </c:strCache>
            </c:strRef>
          </c:tx>
          <c:spPr>
            <a:solidFill>
              <a:srgbClr val="993366"/>
            </a:solidFill>
            <a:ln w="12621">
              <a:solidFill>
                <a:srgbClr val="000000"/>
              </a:solidFill>
              <a:prstDash val="solid"/>
            </a:ln>
          </c:spPr>
          <c:cat>
            <c:strRef>
              <c:f>Sheet1!$B$1:$J$1</c:f>
              <c:strCache>
                <c:ptCount val="9"/>
                <c:pt idx="0">
                  <c:v>Danija</c:v>
                </c:pt>
                <c:pt idx="1">
                  <c:v>Vokietija</c:v>
                </c:pt>
                <c:pt idx="2">
                  <c:v>Norvegija</c:v>
                </c:pt>
                <c:pt idx="3">
                  <c:v>Estija</c:v>
                </c:pt>
                <c:pt idx="4">
                  <c:v>Prancūzija</c:v>
                </c:pt>
                <c:pt idx="5">
                  <c:v>Švedija</c:v>
                </c:pt>
                <c:pt idx="6">
                  <c:v>JK</c:v>
                </c:pt>
                <c:pt idx="7">
                  <c:v>Latvija</c:v>
                </c:pt>
                <c:pt idx="8">
                  <c:v>Lenkija</c:v>
                </c:pt>
              </c:strCache>
            </c:strRef>
          </c:cat>
          <c:val>
            <c:numRef>
              <c:f>Sheet1!$B$3:$J$3</c:f>
              <c:numCache>
                <c:formatCode>General</c:formatCode>
                <c:ptCount val="9"/>
              </c:numCache>
            </c:numRef>
          </c:val>
        </c:ser>
        <c:ser>
          <c:idx val="2"/>
          <c:order val="2"/>
          <c:tx>
            <c:strRef>
              <c:f>Sheet1!$A$4</c:f>
              <c:strCache>
                <c:ptCount val="1"/>
              </c:strCache>
            </c:strRef>
          </c:tx>
          <c:spPr>
            <a:solidFill>
              <a:srgbClr val="FFFFCC"/>
            </a:solidFill>
            <a:ln w="12621">
              <a:solidFill>
                <a:srgbClr val="000000"/>
              </a:solidFill>
              <a:prstDash val="solid"/>
            </a:ln>
          </c:spPr>
          <c:cat>
            <c:strRef>
              <c:f>Sheet1!$B$1:$J$1</c:f>
              <c:strCache>
                <c:ptCount val="9"/>
                <c:pt idx="0">
                  <c:v>Danija</c:v>
                </c:pt>
                <c:pt idx="1">
                  <c:v>Vokietija</c:v>
                </c:pt>
                <c:pt idx="2">
                  <c:v>Norvegija</c:v>
                </c:pt>
                <c:pt idx="3">
                  <c:v>Estija</c:v>
                </c:pt>
                <c:pt idx="4">
                  <c:v>Prancūzija</c:v>
                </c:pt>
                <c:pt idx="5">
                  <c:v>Švedija</c:v>
                </c:pt>
                <c:pt idx="6">
                  <c:v>JK</c:v>
                </c:pt>
                <c:pt idx="7">
                  <c:v>Latvija</c:v>
                </c:pt>
                <c:pt idx="8">
                  <c:v>Lenkija</c:v>
                </c:pt>
              </c:strCache>
            </c:strRef>
          </c:cat>
          <c:val>
            <c:numRef>
              <c:f>Sheet1!$B$4:$J$4</c:f>
              <c:numCache>
                <c:formatCode>General</c:formatCode>
                <c:ptCount val="9"/>
              </c:numCache>
            </c:numRef>
          </c:val>
        </c:ser>
        <c:gapDepth val="0"/>
        <c:shape val="box"/>
        <c:axId val="113614208"/>
        <c:axId val="113624192"/>
        <c:axId val="0"/>
      </c:bar3DChart>
      <c:catAx>
        <c:axId val="113614208"/>
        <c:scaling>
          <c:orientation val="minMax"/>
        </c:scaling>
        <c:axPos val="b"/>
        <c:numFmt formatCode="General" sourceLinked="1"/>
        <c:tickLblPos val="low"/>
        <c:spPr>
          <a:ln w="3155">
            <a:solidFill>
              <a:srgbClr val="000000"/>
            </a:solidFill>
            <a:prstDash val="solid"/>
          </a:ln>
        </c:spPr>
        <c:txPr>
          <a:bodyPr rot="0" vert="horz"/>
          <a:lstStyle/>
          <a:p>
            <a:pPr>
              <a:defRPr sz="894" b="1" i="0" u="none" strike="noStrike" baseline="0">
                <a:solidFill>
                  <a:srgbClr val="000000"/>
                </a:solidFill>
                <a:latin typeface="Arial"/>
                <a:ea typeface="Arial"/>
                <a:cs typeface="Arial"/>
              </a:defRPr>
            </a:pPr>
            <a:endParaRPr lang="en-US"/>
          </a:p>
        </c:txPr>
        <c:crossAx val="113624192"/>
        <c:crosses val="autoZero"/>
        <c:auto val="1"/>
        <c:lblAlgn val="ctr"/>
        <c:lblOffset val="100"/>
        <c:tickLblSkip val="1"/>
        <c:tickMarkSkip val="1"/>
      </c:catAx>
      <c:valAx>
        <c:axId val="113624192"/>
        <c:scaling>
          <c:orientation val="minMax"/>
        </c:scaling>
        <c:axPos val="l"/>
        <c:majorGridlines>
          <c:spPr>
            <a:ln w="3155">
              <a:solidFill>
                <a:srgbClr val="000000"/>
              </a:solidFill>
              <a:prstDash val="solid"/>
            </a:ln>
          </c:spPr>
        </c:majorGridlines>
        <c:numFmt formatCode="General" sourceLinked="1"/>
        <c:tickLblPos val="nextTo"/>
        <c:spPr>
          <a:ln w="3155">
            <a:solidFill>
              <a:srgbClr val="000000"/>
            </a:solidFill>
            <a:prstDash val="solid"/>
          </a:ln>
        </c:spPr>
        <c:txPr>
          <a:bodyPr rot="0" vert="horz"/>
          <a:lstStyle/>
          <a:p>
            <a:pPr>
              <a:defRPr sz="894" b="1" i="0" u="none" strike="noStrike" baseline="0">
                <a:solidFill>
                  <a:srgbClr val="000000"/>
                </a:solidFill>
                <a:latin typeface="Arial"/>
                <a:ea typeface="Arial"/>
                <a:cs typeface="Arial"/>
              </a:defRPr>
            </a:pPr>
            <a:endParaRPr lang="en-US"/>
          </a:p>
        </c:txPr>
        <c:crossAx val="113614208"/>
        <c:crosses val="autoZero"/>
        <c:crossBetween val="between"/>
      </c:valAx>
      <c:spPr>
        <a:noFill/>
        <a:ln w="25241">
          <a:noFill/>
        </a:ln>
      </c:spPr>
    </c:plotArea>
    <c:plotVisOnly val="1"/>
    <c:dispBlanksAs val="gap"/>
  </c:chart>
  <c:spPr>
    <a:noFill/>
    <a:ln>
      <a:noFill/>
    </a:ln>
  </c:spPr>
  <c:txPr>
    <a:bodyPr/>
    <a:lstStyle/>
    <a:p>
      <a:pPr>
        <a:defRPr sz="845" b="1" i="0" u="none" strike="noStrike" baseline="0">
          <a:solidFill>
            <a:srgbClr val="000000"/>
          </a:solidFill>
          <a:latin typeface="Arial"/>
          <a:ea typeface="Arial"/>
          <a:cs typeface="Arial"/>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30"/>
      <c:depthPercent val="21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6045627376425853E-2"/>
          <c:y val="5.8479532163742687E-2"/>
          <c:w val="0.90494296577946609"/>
          <c:h val="0.73099415204678586"/>
        </c:manualLayout>
      </c:layout>
      <c:bar3DChart>
        <c:barDir val="col"/>
        <c:grouping val="clustered"/>
        <c:ser>
          <c:idx val="0"/>
          <c:order val="0"/>
          <c:tx>
            <c:strRef>
              <c:f>Sheet1!$A$2</c:f>
              <c:strCache>
                <c:ptCount val="1"/>
              </c:strCache>
            </c:strRef>
          </c:tx>
          <c:spPr>
            <a:solidFill>
              <a:srgbClr val="9999FF"/>
            </a:solidFill>
            <a:ln w="12629">
              <a:solidFill>
                <a:srgbClr val="000000"/>
              </a:solidFill>
              <a:prstDash val="solid"/>
            </a:ln>
          </c:spPr>
          <c:dLbls>
            <c:dLbl>
              <c:idx val="0"/>
              <c:layout>
                <c:manualLayout>
                  <c:x val="3.3842674979547675E-2"/>
                  <c:y val="-4.2409477820797431E-2"/>
                </c:manualLayout>
              </c:layout>
              <c:showVal val="1"/>
            </c:dLbl>
            <c:dLbl>
              <c:idx val="1"/>
              <c:layout>
                <c:manualLayout>
                  <c:x val="2.2272029431286484E-2"/>
                  <c:y val="-3.6257533815833402E-2"/>
                </c:manualLayout>
              </c:layout>
              <c:showVal val="1"/>
            </c:dLbl>
            <c:dLbl>
              <c:idx val="2"/>
              <c:layout>
                <c:manualLayout>
                  <c:x val="8.8000462251125178E-3"/>
                  <c:y val="-5.4210218488609282E-2"/>
                </c:manualLayout>
              </c:layout>
              <c:showVal val="1"/>
            </c:dLbl>
            <c:dLbl>
              <c:idx val="3"/>
              <c:layout>
                <c:manualLayout>
                  <c:x val="1.0537385467725835E-2"/>
                  <c:y val="-4.14360316039298E-2"/>
                </c:manualLayout>
              </c:layout>
              <c:showVal val="1"/>
            </c:dLbl>
            <c:dLbl>
              <c:idx val="4"/>
              <c:layout>
                <c:manualLayout>
                  <c:x val="3.8890694292087823E-2"/>
                  <c:y val="-3.5914731362272662E-2"/>
                </c:manualLayout>
              </c:layout>
              <c:showVal val="1"/>
            </c:dLbl>
            <c:spPr>
              <a:noFill/>
              <a:ln w="25258">
                <a:noFill/>
              </a:ln>
            </c:spPr>
            <c:txPr>
              <a:bodyPr/>
              <a:lstStyle/>
              <a:p>
                <a:pPr>
                  <a:defRPr sz="945" b="1" i="0" u="none" strike="noStrike" baseline="0">
                    <a:solidFill>
                      <a:srgbClr val="000000"/>
                    </a:solidFill>
                    <a:latin typeface="Arial"/>
                    <a:ea typeface="Arial"/>
                    <a:cs typeface="Arial"/>
                  </a:defRPr>
                </a:pPr>
                <a:endParaRPr lang="en-US"/>
              </a:p>
            </c:txPr>
            <c:showVal val="1"/>
          </c:dLbls>
          <c:cat>
            <c:numRef>
              <c:f>Sheet1!$B$1:$F$1</c:f>
              <c:numCache>
                <c:formatCode>General</c:formatCode>
                <c:ptCount val="5"/>
                <c:pt idx="0">
                  <c:v>2008</c:v>
                </c:pt>
                <c:pt idx="1">
                  <c:v>2009</c:v>
                </c:pt>
                <c:pt idx="2">
                  <c:v>2010</c:v>
                </c:pt>
                <c:pt idx="3">
                  <c:v>2011</c:v>
                </c:pt>
                <c:pt idx="4">
                  <c:v>2012</c:v>
                </c:pt>
              </c:numCache>
            </c:numRef>
          </c:cat>
          <c:val>
            <c:numRef>
              <c:f>Sheet1!$B$2:$F$2</c:f>
              <c:numCache>
                <c:formatCode>General</c:formatCode>
                <c:ptCount val="5"/>
                <c:pt idx="0">
                  <c:v>898.6</c:v>
                </c:pt>
                <c:pt idx="1">
                  <c:v>292.7</c:v>
                </c:pt>
                <c:pt idx="2">
                  <c:v>303.39999999999969</c:v>
                </c:pt>
                <c:pt idx="3">
                  <c:v>411.5</c:v>
                </c:pt>
                <c:pt idx="4">
                  <c:v>439.3</c:v>
                </c:pt>
              </c:numCache>
            </c:numRef>
          </c:val>
        </c:ser>
        <c:ser>
          <c:idx val="1"/>
          <c:order val="1"/>
          <c:tx>
            <c:strRef>
              <c:f>Sheet1!$A$3</c:f>
              <c:strCache>
                <c:ptCount val="1"/>
              </c:strCache>
            </c:strRef>
          </c:tx>
          <c:spPr>
            <a:solidFill>
              <a:srgbClr val="993366"/>
            </a:solidFill>
            <a:ln w="12629">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Sheet1!$B$3:$F$3</c:f>
              <c:numCache>
                <c:formatCode>General</c:formatCode>
                <c:ptCount val="5"/>
              </c:numCache>
            </c:numRef>
          </c:val>
        </c:ser>
        <c:ser>
          <c:idx val="2"/>
          <c:order val="2"/>
          <c:tx>
            <c:strRef>
              <c:f>Sheet1!$A$4</c:f>
              <c:strCache>
                <c:ptCount val="1"/>
              </c:strCache>
            </c:strRef>
          </c:tx>
          <c:spPr>
            <a:solidFill>
              <a:srgbClr val="FFFFCC"/>
            </a:solidFill>
            <a:ln w="12629">
              <a:solidFill>
                <a:srgbClr val="000000"/>
              </a:solidFill>
              <a:prstDash val="solid"/>
            </a:ln>
          </c:spPr>
          <c:cat>
            <c:numRef>
              <c:f>Sheet1!$B$1:$F$1</c:f>
              <c:numCache>
                <c:formatCode>General</c:formatCode>
                <c:ptCount val="5"/>
                <c:pt idx="0">
                  <c:v>2008</c:v>
                </c:pt>
                <c:pt idx="1">
                  <c:v>2009</c:v>
                </c:pt>
                <c:pt idx="2">
                  <c:v>2010</c:v>
                </c:pt>
                <c:pt idx="3">
                  <c:v>2011</c:v>
                </c:pt>
                <c:pt idx="4">
                  <c:v>2012</c:v>
                </c:pt>
              </c:numCache>
            </c:numRef>
          </c:cat>
          <c:val>
            <c:numRef>
              <c:f>Sheet1!$B$4:$F$4</c:f>
              <c:numCache>
                <c:formatCode>General</c:formatCode>
                <c:ptCount val="5"/>
              </c:numCache>
            </c:numRef>
          </c:val>
        </c:ser>
        <c:gapDepth val="0"/>
        <c:shape val="box"/>
        <c:axId val="102672640"/>
        <c:axId val="113762304"/>
        <c:axId val="0"/>
      </c:bar3DChart>
      <c:catAx>
        <c:axId val="102672640"/>
        <c:scaling>
          <c:orientation val="minMax"/>
        </c:scaling>
        <c:axPos val="b"/>
        <c:numFmt formatCode="General" sourceLinked="1"/>
        <c:tickLblPos val="low"/>
        <c:spPr>
          <a:ln w="3157">
            <a:solidFill>
              <a:srgbClr val="000000"/>
            </a:solidFill>
            <a:prstDash val="solid"/>
          </a:ln>
        </c:spPr>
        <c:txPr>
          <a:bodyPr rot="0" vert="horz"/>
          <a:lstStyle/>
          <a:p>
            <a:pPr>
              <a:defRPr sz="945" b="1" i="0" u="none" strike="noStrike" baseline="0">
                <a:solidFill>
                  <a:srgbClr val="000000"/>
                </a:solidFill>
                <a:latin typeface="Arial"/>
                <a:ea typeface="Arial"/>
                <a:cs typeface="Arial"/>
              </a:defRPr>
            </a:pPr>
            <a:endParaRPr lang="en-US"/>
          </a:p>
        </c:txPr>
        <c:crossAx val="113762304"/>
        <c:crosses val="autoZero"/>
        <c:auto val="1"/>
        <c:lblAlgn val="ctr"/>
        <c:lblOffset val="100"/>
        <c:tickLblSkip val="1"/>
        <c:tickMarkSkip val="1"/>
      </c:catAx>
      <c:valAx>
        <c:axId val="113762304"/>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02672640"/>
        <c:crosses val="autoZero"/>
        <c:crossBetween val="between"/>
      </c:valAx>
      <c:spPr>
        <a:noFill/>
        <a:ln w="25258">
          <a:noFill/>
        </a:ln>
      </c:spPr>
    </c:plotArea>
    <c:plotVisOnly val="1"/>
    <c:dispBlanksAs val="gap"/>
  </c:chart>
  <c:spPr>
    <a:noFill/>
    <a:ln>
      <a:noFill/>
    </a:ln>
  </c:spPr>
  <c:txPr>
    <a:bodyPr/>
    <a:lstStyle/>
    <a:p>
      <a:pPr>
        <a:defRPr sz="945"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9C8FD-E511-471B-B132-CECD6DBA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12</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Analizės pateikimo struktūra</vt:lpstr>
    </vt:vector>
  </TitlesOfParts>
  <Company>Home</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Analizės pateikimo struktūra</dc:title>
  <dc:subject/>
  <dc:creator>Asta1</dc:creator>
  <cp:keywords/>
  <dc:description/>
  <cp:lastModifiedBy>Asta1</cp:lastModifiedBy>
  <cp:revision>58</cp:revision>
  <cp:lastPrinted>2013-08-07T12:32:00Z</cp:lastPrinted>
  <dcterms:created xsi:type="dcterms:W3CDTF">2014-08-19T07:48:00Z</dcterms:created>
  <dcterms:modified xsi:type="dcterms:W3CDTF">2014-09-03T11:37:00Z</dcterms:modified>
</cp:coreProperties>
</file>