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88" w:rsidRPr="001D08C4" w:rsidRDefault="006A6388" w:rsidP="006A638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1D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AIŠKINAMASIS  RAŠTAS</w:t>
      </w:r>
    </w:p>
    <w:p w:rsidR="006A6388" w:rsidRPr="001D08C4" w:rsidRDefault="006A6388" w:rsidP="006A63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1D08C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Pr="001D08C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ŽEMĖS SKLYP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Ų</w:t>
      </w:r>
      <w:r w:rsidRPr="001D08C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PILĖNŲ G. 67B, 67C, 67F</w:t>
      </w:r>
      <w:r w:rsidRPr="001D08C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 KADASTRO NR. 2701/00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40</w:t>
      </w:r>
      <w:r w:rsidRPr="001D08C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471</w:t>
      </w:r>
      <w:r w:rsidRPr="001D08C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 DETALIOJO PLANO PATVIRTINIMO</w:t>
      </w:r>
      <w:r w:rsidRPr="001D08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PAGRINDINĖS ŽEMĖS NAUDOJIMO PASKIRTIES </w:t>
      </w:r>
      <w:r w:rsidRPr="001D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IR BŪD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Ų</w:t>
      </w:r>
      <w:r w:rsidRPr="001D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NUSTATYMO</w:t>
      </w:r>
      <w:r w:rsidRPr="001D08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6A6388" w:rsidRPr="001D08C4" w:rsidRDefault="006A6388" w:rsidP="006A6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  </w:t>
      </w:r>
    </w:p>
    <w:p w:rsidR="006A6388" w:rsidRPr="001D08C4" w:rsidRDefault="006A6388" w:rsidP="006A6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08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Panevėžys</w:t>
      </w:r>
    </w:p>
    <w:p w:rsidR="006A6388" w:rsidRPr="001D08C4" w:rsidRDefault="006A6388" w:rsidP="006A6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</w:t>
      </w:r>
    </w:p>
    <w:p w:rsidR="006A6388" w:rsidRPr="001D08C4" w:rsidRDefault="006A6388" w:rsidP="006A63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8C4">
        <w:rPr>
          <w:rFonts w:ascii="Times New Roman" w:hAnsi="Times New Roman" w:cs="Times New Roman"/>
          <w:b/>
          <w:sz w:val="24"/>
          <w:szCs w:val="24"/>
        </w:rPr>
        <w:t>PROBLEMOS ESMĖ</w:t>
      </w:r>
    </w:p>
    <w:p w:rsidR="006A6388" w:rsidRPr="001D08C4" w:rsidRDefault="006A6388" w:rsidP="006A638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388" w:rsidRPr="001D08C4" w:rsidRDefault="006A6388" w:rsidP="006A6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Detaliojo plano rengimo organizatorius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Tuomienė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Artūras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Tuomas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Kulbienė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Lina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Stapulionienė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Gintaras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Stapulionis</w:t>
      </w:r>
      <w:proofErr w:type="spellEnd"/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>. Suderintas Panevėžio miesto savivaldybės Nuolatinėje statybos komisijoje 2014 m. kovo 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 d., protokolo Nr. 11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>D-0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Valstybinės teritorijų planavimo ir statybos inspekcijos prie Aplinkos ministerijos Panevėžio teritorijų planavimo ir statybos valstybinės priežiūros skyriaus 2014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balandžio 14 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>d. patikrino ir pateikė teigiamą teritorijų planavimo dokumento patikrinimo išvadą (akto Nr. TP1-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848-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(18.4.)). Planavimo tikslai ir uždaviniai: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+žemės sklypo (kadastro Nr. 2701/0040:471) naudojimo būdo keitimas(iš inžinerinės infrastruktūros teritorijos į gyvenamosios teritorijos, G1), žemės sklypų (kadastro Nr. 2701/0040:471, Pilėnų g. 67B, Pilėnų g. 67C, Pilėnų g. 67F) ribų keitimas (padalijimas ir sujungimas), privalomų teritorijos tvarkymo ir naudojimo režimo reikalavimų nustatymas.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Suformuot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 </w:t>
      </w:r>
      <w:r w:rsidRPr="00724CF2">
        <w:rPr>
          <w:rFonts w:ascii="Times New Roman" w:hAnsi="Times New Roman" w:cs="Times New Roman"/>
          <w:kern w:val="16"/>
          <w:sz w:val="24"/>
          <w:szCs w:val="24"/>
        </w:rPr>
        <w:t xml:space="preserve">vienbučių ir </w:t>
      </w:r>
      <w:proofErr w:type="spellStart"/>
      <w:r w:rsidRPr="00724CF2">
        <w:rPr>
          <w:rFonts w:ascii="Times New Roman" w:hAnsi="Times New Roman" w:cs="Times New Roman"/>
          <w:kern w:val="16"/>
          <w:sz w:val="24"/>
          <w:szCs w:val="24"/>
        </w:rPr>
        <w:t>dvibučių</w:t>
      </w:r>
      <w:proofErr w:type="spellEnd"/>
      <w:r w:rsidRPr="00724CF2">
        <w:rPr>
          <w:rFonts w:ascii="Times New Roman" w:hAnsi="Times New Roman" w:cs="Times New Roman"/>
          <w:kern w:val="16"/>
          <w:sz w:val="24"/>
          <w:szCs w:val="24"/>
        </w:rPr>
        <w:t xml:space="preserve"> gyvenamųjų pastatų teritorijos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 sklypai: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477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>kv.m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986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kv.m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979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kv.m</w:t>
      </w:r>
      <w:proofErr w:type="spellEnd"/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   </w:t>
      </w:r>
    </w:p>
    <w:p w:rsidR="006A6388" w:rsidRPr="001D08C4" w:rsidRDefault="006A6388" w:rsidP="006A6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</w:p>
    <w:p w:rsidR="006A6388" w:rsidRPr="001D08C4" w:rsidRDefault="006A6388" w:rsidP="006A6388">
      <w:pPr>
        <w:spacing w:line="25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8C4">
        <w:rPr>
          <w:rFonts w:ascii="Times New Roman" w:hAnsi="Times New Roman" w:cs="Times New Roman"/>
          <w:b/>
          <w:sz w:val="24"/>
          <w:szCs w:val="24"/>
        </w:rPr>
        <w:t>2. KAIP ŠIUO METU SPRENDŽIAMI SPRENDIMO PROJEKTE APTARTI KLAUSIMAI</w:t>
      </w:r>
    </w:p>
    <w:p w:rsidR="006A6388" w:rsidRPr="001D08C4" w:rsidRDefault="006A6388" w:rsidP="006A6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Teikiame Panevėžio miesto savivaldybės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tarybai tvirtinimui sprendimo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projektą „Dėl </w:t>
      </w:r>
      <w:r w:rsidRPr="001D08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žemės sklyp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ų</w:t>
      </w:r>
      <w:r w:rsidRPr="001D08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</w:t>
      </w:r>
      <w:r w:rsidRPr="00724C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724CF2">
        <w:rPr>
          <w:rFonts w:ascii="Times New Roman" w:eastAsia="Times New Roman" w:hAnsi="Times New Roman" w:cs="Times New Roman"/>
          <w:sz w:val="24"/>
          <w:szCs w:val="24"/>
          <w:lang w:eastAsia="lt-LT"/>
        </w:rPr>
        <w:t>ilėnų g. 67B, 67C, 67F, kadastro Nr. 2701/0040:471</w:t>
      </w:r>
      <w:r w:rsidRPr="001D08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)</w:t>
      </w:r>
      <w:r w:rsidRPr="001D08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>detaliojo plano patvirtinimo</w:t>
      </w:r>
      <w:r w:rsidRPr="001D08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pagrindinės žemės naudojimo paskirties ir </w:t>
      </w:r>
      <w:r w:rsidRPr="001D08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būd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ų</w:t>
      </w:r>
      <w:r w:rsidRPr="001D08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nustatymo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>“.</w:t>
      </w:r>
    </w:p>
    <w:p w:rsidR="006A6388" w:rsidRPr="001D08C4" w:rsidRDefault="006A6388" w:rsidP="006A6388">
      <w:pPr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numPr>
          <w:ilvl w:val="0"/>
          <w:numId w:val="2"/>
        </w:numPr>
        <w:tabs>
          <w:tab w:val="clear" w:pos="720"/>
          <w:tab w:val="num" w:pos="567"/>
        </w:tabs>
        <w:spacing w:after="0" w:line="256" w:lineRule="auto"/>
        <w:ind w:left="426" w:hanging="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08C4">
        <w:rPr>
          <w:rFonts w:ascii="Times New Roman" w:hAnsi="Times New Roman" w:cs="Times New Roman"/>
          <w:b/>
          <w:sz w:val="24"/>
          <w:szCs w:val="24"/>
        </w:rPr>
        <w:t xml:space="preserve">SPRENDIMO PRIĖMIMO BŪTINUMO PAGRINDIMAS, KOKIŲ POZITYVIŲ REZULTATŲ LAUKIAMA </w:t>
      </w:r>
    </w:p>
    <w:p w:rsidR="006A6388" w:rsidRDefault="006A6388" w:rsidP="006A6388">
      <w:pPr>
        <w:spacing w:line="25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D08C4">
        <w:rPr>
          <w:rFonts w:ascii="Times New Roman" w:hAnsi="Times New Roman" w:cs="Times New Roman"/>
          <w:sz w:val="24"/>
          <w:szCs w:val="24"/>
        </w:rPr>
        <w:t xml:space="preserve">  Vadovaudamasi Lietuvos Respublikos vietos savivaldos įstatymo 16 straipsnio 4 dalimi, Lietuvos Respublikos teritorijų planavimo įstatymo pakeitimo įstatymo 3 straipsnio 1 dalimi, 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miesto savivaldybės tarybos 2008 m. spalio 30 d. sprendimu Nr. 1-25-1 ,,Dėl Panevėžio miesto bendrojo plano (korektūros) patvirtinimo“ ir atsižvelgdama į Valstybinės teritorijų planavimo ir statybos inspekcijos prie Aplinkos ministerijos Panevėžio teritorijų planavimo ir statybos valstybinės priežiūros skyriaus 2014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balandžio 14 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>d. teritorijų planavimo dokumento patikrinimo akto Nr. TP1-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848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>-(18.4.) teigiamą patikrinimo išvadą</w:t>
      </w:r>
      <w:r w:rsidRPr="001D08C4">
        <w:rPr>
          <w:rFonts w:ascii="Times New Roman" w:hAnsi="Times New Roman" w:cs="Times New Roman"/>
          <w:sz w:val="24"/>
          <w:szCs w:val="24"/>
        </w:rPr>
        <w:t xml:space="preserve">, Panevėžio miesto savivaldybės taryba  turi patvirtinti detalųjį planą. </w:t>
      </w:r>
    </w:p>
    <w:p w:rsidR="006A6388" w:rsidRPr="001D08C4" w:rsidRDefault="006A6388" w:rsidP="006A6388">
      <w:pPr>
        <w:spacing w:line="276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D08C4">
        <w:rPr>
          <w:rFonts w:ascii="Times New Roman" w:hAnsi="Times New Roman" w:cs="Times New Roman"/>
          <w:sz w:val="24"/>
          <w:szCs w:val="24"/>
        </w:rPr>
        <w:t>Priėmus teigiamą sprendimą, patvirtintas detalusis planas įsigalioja kitą dieną po oficialaus informacinio pranešimo apie teritorijų planavimo dokumento patvirtinimą vietos spaudoje ir viso teritorijų planavimo dokumento paskelbimo Savivaldybės interneto tinklalapyje.</w:t>
      </w:r>
    </w:p>
    <w:p w:rsidR="006A6388" w:rsidRPr="00054A83" w:rsidRDefault="006A6388" w:rsidP="006A63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A83">
        <w:rPr>
          <w:rFonts w:ascii="Times New Roman" w:hAnsi="Times New Roman" w:cs="Times New Roman"/>
          <w:b/>
          <w:sz w:val="24"/>
          <w:szCs w:val="24"/>
        </w:rPr>
        <w:t>SKAIČIAVIMAI, IŠLAIDŲ SĄMATOS, FINANSAVIMO ŠALTINIAI</w:t>
      </w:r>
      <w:r w:rsidRPr="00054A8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A6388" w:rsidRPr="001D08C4" w:rsidRDefault="006A6388" w:rsidP="006A638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D08C4">
        <w:rPr>
          <w:rFonts w:ascii="Times New Roman" w:hAnsi="Times New Roman" w:cs="Times New Roman"/>
          <w:sz w:val="24"/>
          <w:szCs w:val="24"/>
        </w:rPr>
        <w:t xml:space="preserve">      Skaičiavimai neatliekami.  </w:t>
      </w:r>
    </w:p>
    <w:p w:rsidR="006A6388" w:rsidRPr="00054A83" w:rsidRDefault="006A6388" w:rsidP="006A6388">
      <w:pPr>
        <w:pStyle w:val="ListParagraph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83">
        <w:rPr>
          <w:rFonts w:ascii="Times New Roman" w:hAnsi="Times New Roman" w:cs="Times New Roman"/>
          <w:b/>
          <w:sz w:val="24"/>
          <w:szCs w:val="24"/>
        </w:rPr>
        <w:t>GALIMOS NEIGIAMOS PASEKMĖS PRIĖMUS SPRENDIMĄ, KOKIŲ PRIEMONIŲ REIKĖTŲ IMTIS, KAD TOKIŲ PASEKMIŲ BŪTŲ IŠVENGTA</w:t>
      </w:r>
    </w:p>
    <w:p w:rsidR="006A6388" w:rsidRPr="001D08C4" w:rsidRDefault="006A6388" w:rsidP="006A63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08C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A6388" w:rsidRPr="001D08C4" w:rsidRDefault="006A6388" w:rsidP="006A6388">
      <w:pPr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08C4">
        <w:rPr>
          <w:rFonts w:ascii="Times New Roman" w:hAnsi="Times New Roman" w:cs="Times New Roman"/>
          <w:sz w:val="24"/>
          <w:szCs w:val="24"/>
        </w:rPr>
        <w:t xml:space="preserve"> Nėra.</w:t>
      </w:r>
    </w:p>
    <w:p w:rsidR="006A6388" w:rsidRPr="001D08C4" w:rsidRDefault="006A6388" w:rsidP="006A6388">
      <w:pPr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8C4">
        <w:rPr>
          <w:rFonts w:ascii="Times New Roman" w:hAnsi="Times New Roman" w:cs="Times New Roman"/>
          <w:b/>
          <w:sz w:val="24"/>
          <w:szCs w:val="24"/>
        </w:rPr>
        <w:t>KIENO INICIATYVA PARENGTAS SPRENDIMO PROJEKTAS</w:t>
      </w:r>
    </w:p>
    <w:p w:rsidR="006A6388" w:rsidRPr="001D08C4" w:rsidRDefault="006A6388" w:rsidP="006A638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8C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A6388" w:rsidRPr="001D08C4" w:rsidRDefault="006A6388" w:rsidP="006A638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8C4">
        <w:rPr>
          <w:rFonts w:ascii="Times New Roman" w:hAnsi="Times New Roman" w:cs="Times New Roman"/>
          <w:sz w:val="24"/>
          <w:szCs w:val="24"/>
        </w:rPr>
        <w:t xml:space="preserve">      Sprendimo projektas parengtas planavimo organizatori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1D0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Tuomienė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Artūras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Tuomas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Kulbienė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Lina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Stapulionienė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Gintaras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Stapulionis</w:t>
      </w:r>
      <w:proofErr w:type="spellEnd"/>
      <w:r w:rsidRPr="001D08C4">
        <w:rPr>
          <w:rFonts w:ascii="Times New Roman" w:hAnsi="Times New Roman" w:cs="Times New Roman"/>
          <w:sz w:val="24"/>
          <w:szCs w:val="24"/>
        </w:rPr>
        <w:t xml:space="preserve"> (201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D08C4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lapkričio</w:t>
      </w:r>
      <w:r w:rsidRPr="001D0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D08C4">
        <w:rPr>
          <w:rFonts w:ascii="Times New Roman" w:hAnsi="Times New Roman" w:cs="Times New Roman"/>
          <w:sz w:val="24"/>
          <w:szCs w:val="24"/>
        </w:rPr>
        <w:t>5 d. Detaliojo teritorijų planavimo organizatoriaus teisių ir pareigų perdavimo sutartis Nr. 22-</w:t>
      </w:r>
      <w:r>
        <w:rPr>
          <w:rFonts w:ascii="Times New Roman" w:hAnsi="Times New Roman" w:cs="Times New Roman"/>
          <w:sz w:val="24"/>
          <w:szCs w:val="24"/>
        </w:rPr>
        <w:t>1209</w:t>
      </w:r>
      <w:r w:rsidRPr="001D08C4">
        <w:rPr>
          <w:rFonts w:ascii="Times New Roman" w:hAnsi="Times New Roman" w:cs="Times New Roman"/>
          <w:sz w:val="24"/>
          <w:szCs w:val="24"/>
        </w:rPr>
        <w:t xml:space="preserve">) iniciatyva. </w:t>
      </w:r>
    </w:p>
    <w:p w:rsidR="006A6388" w:rsidRPr="001D08C4" w:rsidRDefault="006A6388" w:rsidP="006A638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tabs>
          <w:tab w:val="left" w:pos="2730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8C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D08C4">
        <w:rPr>
          <w:rFonts w:ascii="Times New Roman" w:hAnsi="Times New Roman" w:cs="Times New Roman"/>
          <w:b/>
          <w:sz w:val="24"/>
          <w:szCs w:val="24"/>
        </w:rPr>
        <w:tab/>
      </w:r>
    </w:p>
    <w:p w:rsidR="006A6388" w:rsidRPr="001D08C4" w:rsidRDefault="006A6388" w:rsidP="006A6388">
      <w:pPr>
        <w:spacing w:line="25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8C4">
        <w:rPr>
          <w:rFonts w:ascii="Times New Roman" w:hAnsi="Times New Roman" w:cs="Times New Roman"/>
          <w:b/>
          <w:sz w:val="24"/>
          <w:szCs w:val="24"/>
        </w:rPr>
        <w:t xml:space="preserve">PRIDEDAMA: </w:t>
      </w:r>
    </w:p>
    <w:p w:rsidR="006A6388" w:rsidRPr="001D08C4" w:rsidRDefault="006A6388" w:rsidP="006A6388">
      <w:pPr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08C4">
        <w:rPr>
          <w:rFonts w:ascii="Times New Roman" w:hAnsi="Times New Roman" w:cs="Times New Roman"/>
          <w:sz w:val="24"/>
          <w:szCs w:val="24"/>
        </w:rPr>
        <w:t>1. Ž</w:t>
      </w:r>
      <w:r w:rsidRPr="001D08C4">
        <w:rPr>
          <w:rFonts w:ascii="Times New Roman" w:hAnsi="Times New Roman" w:cs="Times New Roman"/>
          <w:bCs/>
          <w:sz w:val="24"/>
          <w:szCs w:val="24"/>
        </w:rPr>
        <w:t xml:space="preserve">emės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sklypų</w:t>
      </w:r>
      <w:r w:rsidRPr="001D08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</w:t>
      </w:r>
      <w:r w:rsidRPr="00724C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724CF2">
        <w:rPr>
          <w:rFonts w:ascii="Times New Roman" w:eastAsia="Times New Roman" w:hAnsi="Times New Roman" w:cs="Times New Roman"/>
          <w:sz w:val="24"/>
          <w:szCs w:val="24"/>
          <w:lang w:eastAsia="lt-LT"/>
        </w:rPr>
        <w:t>ilėnų g. 67B, 67C, 67F, kadastro Nr. 2701/0040:471</w:t>
      </w:r>
      <w:r w:rsidRPr="001D08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)</w:t>
      </w:r>
      <w:r w:rsidRPr="001D08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1D08C4">
        <w:rPr>
          <w:rFonts w:ascii="Times New Roman" w:hAnsi="Times New Roman" w:cs="Times New Roman"/>
          <w:bCs/>
          <w:sz w:val="24"/>
          <w:szCs w:val="24"/>
        </w:rPr>
        <w:t>d</w:t>
      </w:r>
      <w:r w:rsidRPr="001D08C4">
        <w:rPr>
          <w:rFonts w:ascii="Times New Roman" w:hAnsi="Times New Roman" w:cs="Times New Roman"/>
          <w:sz w:val="24"/>
          <w:szCs w:val="24"/>
        </w:rPr>
        <w:t xml:space="preserve">etalusis planas </w:t>
      </w: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>1 egz.</w:t>
      </w:r>
      <w:r w:rsidRPr="001D08C4">
        <w:rPr>
          <w:rFonts w:ascii="Times New Roman" w:hAnsi="Times New Roman" w:cs="Times New Roman"/>
          <w:sz w:val="24"/>
          <w:szCs w:val="24"/>
        </w:rPr>
        <w:t>;</w:t>
      </w:r>
    </w:p>
    <w:p w:rsidR="006A6388" w:rsidRPr="001D08C4" w:rsidRDefault="006A6388" w:rsidP="006A6388">
      <w:pPr>
        <w:spacing w:line="25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8C4">
        <w:rPr>
          <w:rFonts w:ascii="Times New Roman" w:hAnsi="Times New Roman" w:cs="Times New Roman"/>
          <w:sz w:val="24"/>
          <w:szCs w:val="24"/>
        </w:rPr>
        <w:t>2. Panevėžio miesto savivaldybės teisės aktų ar jų projektų antikorupcinio vertinimo metodikos 1 ir 2 priedai, 2 lapai.</w:t>
      </w:r>
    </w:p>
    <w:p w:rsidR="006A6388" w:rsidRPr="001D08C4" w:rsidRDefault="006A6388" w:rsidP="006A638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6A6388" w:rsidRPr="001D08C4" w:rsidRDefault="006A6388" w:rsidP="006A638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1D08C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          </w:t>
      </w:r>
      <w:r w:rsidRPr="001D08C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Rasa Tatorytė     </w:t>
      </w:r>
    </w:p>
    <w:p w:rsidR="006A6388" w:rsidRPr="001D08C4" w:rsidRDefault="006A6388" w:rsidP="006A6388">
      <w:pPr>
        <w:spacing w:line="256" w:lineRule="auto"/>
      </w:pPr>
    </w:p>
    <w:p w:rsidR="006A6388" w:rsidRPr="001D08C4" w:rsidRDefault="006A6388" w:rsidP="006A6388">
      <w:pPr>
        <w:spacing w:line="256" w:lineRule="auto"/>
      </w:pPr>
    </w:p>
    <w:p w:rsidR="006A6388" w:rsidRPr="001D08C4" w:rsidRDefault="006A6388" w:rsidP="006A6388">
      <w:pPr>
        <w:spacing w:line="256" w:lineRule="auto"/>
      </w:pPr>
    </w:p>
    <w:p w:rsidR="006A6388" w:rsidRPr="001D08C4" w:rsidRDefault="006A6388" w:rsidP="006A638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spacing w:line="256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  <w:r w:rsidRPr="001D08C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A6388" w:rsidRPr="001D08C4" w:rsidRDefault="006A6388" w:rsidP="006A6388">
      <w:pPr>
        <w:spacing w:line="256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spacing w:line="256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D08C4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                          </w:t>
      </w:r>
    </w:p>
    <w:p w:rsidR="006A6388" w:rsidRPr="001D08C4" w:rsidRDefault="006A6388" w:rsidP="006A638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spacing w:after="12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12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12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12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12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12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12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12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miesto savivaldybės teisės aktų      ar jų projektų antikorupcinio</w:t>
      </w:r>
    </w:p>
    <w:p w:rsidR="006A6388" w:rsidRPr="001D08C4" w:rsidRDefault="006A6388" w:rsidP="006A6388">
      <w:pPr>
        <w:spacing w:after="0" w:line="240" w:lineRule="auto"/>
        <w:ind w:left="5398"/>
        <w:rPr>
          <w:rFonts w:ascii="Times New Roman" w:hAnsi="Times New Roman" w:cs="Times New Roman"/>
          <w:sz w:val="24"/>
          <w:szCs w:val="24"/>
        </w:rPr>
      </w:pPr>
      <w:r w:rsidRPr="001D08C4">
        <w:rPr>
          <w:rFonts w:ascii="Times New Roman" w:hAnsi="Times New Roman" w:cs="Times New Roman"/>
          <w:sz w:val="24"/>
          <w:szCs w:val="24"/>
        </w:rPr>
        <w:t>vertinimo metodikos</w:t>
      </w:r>
    </w:p>
    <w:p w:rsidR="006A6388" w:rsidRPr="001D08C4" w:rsidRDefault="006A6388" w:rsidP="006A6388">
      <w:pPr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  <w:r w:rsidRPr="001D08C4">
        <w:rPr>
          <w:rFonts w:ascii="Times New Roman" w:hAnsi="Times New Roman" w:cs="Times New Roman"/>
          <w:sz w:val="24"/>
          <w:szCs w:val="24"/>
        </w:rPr>
        <w:t>1 priedas</w:t>
      </w:r>
    </w:p>
    <w:p w:rsidR="006A6388" w:rsidRPr="001D08C4" w:rsidRDefault="006A6388" w:rsidP="006A6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spacing w:after="0" w:line="240" w:lineRule="auto"/>
        <w:ind w:right="63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TEISĖS AKTŲ AR JŲ PROJEKTŲ KOKYBĖS VERTINIMO KLAUSIMYNAS </w:t>
      </w:r>
    </w:p>
    <w:p w:rsidR="006A6388" w:rsidRPr="001D08C4" w:rsidRDefault="006A6388" w:rsidP="006A6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6806"/>
        <w:gridCol w:w="1080"/>
        <w:gridCol w:w="900"/>
      </w:tblGrid>
      <w:tr w:rsidR="006A6388" w:rsidRPr="001D08C4" w:rsidTr="003A1663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bCs/>
                <w:sz w:val="24"/>
                <w:szCs w:val="24"/>
              </w:rPr>
              <w:t>Eil.</w:t>
            </w:r>
          </w:p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Cs/>
                <w:kern w:val="32"/>
                <w:sz w:val="24"/>
                <w:szCs w:val="24"/>
              </w:rPr>
            </w:pPr>
            <w:r w:rsidRPr="001D08C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bCs/>
                <w:sz w:val="24"/>
                <w:szCs w:val="24"/>
              </w:rPr>
              <w:t>Vertinimas balais</w:t>
            </w:r>
          </w:p>
        </w:tc>
      </w:tr>
      <w:tr w:rsidR="006A6388" w:rsidRPr="001D08C4" w:rsidTr="003A1663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PAPRASTUMAS</w:t>
            </w:r>
          </w:p>
        </w:tc>
      </w:tr>
      <w:tr w:rsidR="006A6388" w:rsidRPr="001D08C4" w:rsidTr="003A1663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NUOSEKLUMAS</w:t>
            </w:r>
          </w:p>
        </w:tc>
      </w:tr>
      <w:tr w:rsidR="006A6388" w:rsidRPr="001D08C4" w:rsidTr="003A1663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STRUKTŪRA</w:t>
            </w:r>
          </w:p>
        </w:tc>
      </w:tr>
      <w:tr w:rsidR="006A6388" w:rsidRPr="001D08C4" w:rsidTr="003A1663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A6388" w:rsidRPr="001D08C4" w:rsidTr="003A1663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A6388" w:rsidRPr="001D08C4" w:rsidTr="003A1663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A6388" w:rsidRPr="001D08C4" w:rsidTr="003A1663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A6388" w:rsidRPr="001D08C4" w:rsidTr="003A1663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A6388" w:rsidRPr="001D08C4" w:rsidTr="003A1663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ĮGYVENDINAMUMAS</w:t>
            </w:r>
          </w:p>
        </w:tc>
      </w:tr>
      <w:tr w:rsidR="006A6388" w:rsidRPr="001D08C4" w:rsidTr="003A1663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A6388" w:rsidRPr="001D08C4" w:rsidTr="003A1663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88" w:rsidRPr="001D08C4" w:rsidTr="003A1663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Vidutinis balas (pagal Metodikos 12 punktą)</w:t>
            </w:r>
          </w:p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A6388" w:rsidRPr="001D08C4" w:rsidRDefault="006A6388" w:rsidP="006A6388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Default="006A6388" w:rsidP="006A6388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Default="006A6388" w:rsidP="006A6388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388" w:rsidRPr="001D08C4" w:rsidRDefault="006A6388" w:rsidP="006A6388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miesto savivaldybės </w:t>
      </w:r>
    </w:p>
    <w:p w:rsidR="006A6388" w:rsidRPr="001D08C4" w:rsidRDefault="006A6388" w:rsidP="006A6388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projektų antikorupcinio</w:t>
      </w:r>
    </w:p>
    <w:p w:rsidR="006A6388" w:rsidRPr="001D08C4" w:rsidRDefault="006A6388" w:rsidP="006A6388">
      <w:pPr>
        <w:spacing w:after="0" w:line="240" w:lineRule="auto"/>
        <w:ind w:left="5580"/>
        <w:rPr>
          <w:rFonts w:ascii="Times New Roman" w:hAnsi="Times New Roman" w:cs="Times New Roman"/>
          <w:sz w:val="24"/>
          <w:szCs w:val="24"/>
        </w:rPr>
      </w:pPr>
      <w:r w:rsidRPr="001D08C4">
        <w:rPr>
          <w:rFonts w:ascii="Times New Roman" w:hAnsi="Times New Roman" w:cs="Times New Roman"/>
          <w:sz w:val="24"/>
          <w:szCs w:val="24"/>
        </w:rPr>
        <w:t>vertinimo metodikos</w:t>
      </w:r>
    </w:p>
    <w:p w:rsidR="006A6388" w:rsidRPr="001D08C4" w:rsidRDefault="006A6388" w:rsidP="006A6388">
      <w:pPr>
        <w:spacing w:after="0" w:line="240" w:lineRule="auto"/>
        <w:ind w:left="5580"/>
        <w:rPr>
          <w:rFonts w:ascii="Times New Roman" w:hAnsi="Times New Roman" w:cs="Times New Roman"/>
          <w:sz w:val="24"/>
          <w:szCs w:val="24"/>
        </w:rPr>
      </w:pPr>
      <w:r w:rsidRPr="001D08C4">
        <w:rPr>
          <w:rFonts w:ascii="Times New Roman" w:hAnsi="Times New Roman" w:cs="Times New Roman"/>
          <w:sz w:val="24"/>
          <w:szCs w:val="24"/>
        </w:rPr>
        <w:t>2 priedas</w:t>
      </w:r>
    </w:p>
    <w:p w:rsidR="006A6388" w:rsidRPr="001D08C4" w:rsidRDefault="006A6388" w:rsidP="006A6388">
      <w:pPr>
        <w:spacing w:after="0" w:line="240" w:lineRule="auto"/>
        <w:ind w:left="5580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08C4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AKTŲ ARBA TEISĖS AKTŲ PROJEKTŲ TURINIO VERTINIMO KLAUSIMYNAS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6995"/>
        <w:gridCol w:w="1080"/>
        <w:gridCol w:w="1080"/>
      </w:tblGrid>
      <w:tr w:rsidR="006A6388" w:rsidRPr="001D08C4" w:rsidTr="003A1663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bCs/>
                <w:sz w:val="24"/>
                <w:szCs w:val="24"/>
              </w:rPr>
              <w:t>Eil.</w:t>
            </w:r>
          </w:p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bCs/>
                <w:sz w:val="24"/>
                <w:szCs w:val="24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bCs/>
                <w:sz w:val="24"/>
                <w:szCs w:val="24"/>
              </w:rPr>
              <w:t>Vertinimas balais</w:t>
            </w:r>
          </w:p>
        </w:tc>
      </w:tr>
      <w:tr w:rsidR="006A6388" w:rsidRPr="001D08C4" w:rsidTr="003A1663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NAUDINGUMAS</w:t>
            </w:r>
          </w:p>
        </w:tc>
      </w:tr>
      <w:tr w:rsidR="006A6388" w:rsidRPr="001D08C4" w:rsidTr="003A1663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A6388" w:rsidRPr="001D08C4" w:rsidTr="003A1663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A6388" w:rsidRPr="001D08C4" w:rsidTr="003A1663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PRIEINAMUMAS</w:t>
            </w:r>
          </w:p>
        </w:tc>
      </w:tr>
      <w:tr w:rsidR="006A6388" w:rsidRPr="001D08C4" w:rsidTr="003A1663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A6388" w:rsidRPr="001D08C4" w:rsidTr="003A1663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Ne (0)</w:t>
            </w:r>
          </w:p>
        </w:tc>
      </w:tr>
      <w:tr w:rsidR="006A6388" w:rsidRPr="001D08C4" w:rsidTr="003A1663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>Vidutinis balas (pagal Metodikos 12 punktą)</w:t>
            </w:r>
          </w:p>
          <w:p w:rsidR="006A6388" w:rsidRPr="001D08C4" w:rsidRDefault="006A6388" w:rsidP="003A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6388" w:rsidRPr="001D08C4" w:rsidRDefault="006A6388" w:rsidP="003A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8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0</w:t>
            </w:r>
          </w:p>
        </w:tc>
      </w:tr>
    </w:tbl>
    <w:p w:rsidR="006A6388" w:rsidRPr="001D08C4" w:rsidRDefault="006A6388" w:rsidP="006A6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388" w:rsidRPr="001D08C4" w:rsidRDefault="006A6388" w:rsidP="006A638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EC7B6E" w:rsidRDefault="00EC7B6E"/>
    <w:sectPr w:rsidR="00EC7B6E" w:rsidSect="007A0B1B">
      <w:pgSz w:w="11906" w:h="16838"/>
      <w:pgMar w:top="426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CC2"/>
    <w:multiLevelType w:val="hybridMultilevel"/>
    <w:tmpl w:val="9A9CC020"/>
    <w:lvl w:ilvl="0" w:tplc="189C9A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7E3CFE"/>
    <w:multiLevelType w:val="hybridMultilevel"/>
    <w:tmpl w:val="2A1CBC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A6388"/>
    <w:rsid w:val="004F2CA7"/>
    <w:rsid w:val="006A6388"/>
    <w:rsid w:val="007E7217"/>
    <w:rsid w:val="00EC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Asta3</cp:lastModifiedBy>
  <cp:revision>2</cp:revision>
  <dcterms:created xsi:type="dcterms:W3CDTF">2014-05-13T10:43:00Z</dcterms:created>
  <dcterms:modified xsi:type="dcterms:W3CDTF">2014-05-13T10:43:00Z</dcterms:modified>
</cp:coreProperties>
</file>