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0841" w14:textId="77777777" w:rsidR="00DD0936" w:rsidRDefault="00DD0936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0A1F158A" w14:textId="77777777" w:rsidR="00DD0936" w:rsidRDefault="007A17AF">
      <w:pPr>
        <w:suppressAutoHyphens/>
        <w:spacing w:line="252" w:lineRule="auto"/>
        <w:ind w:left="9072" w:firstLine="1296"/>
        <w:rPr>
          <w:rFonts w:eastAsia="SimSun"/>
          <w:lang w:eastAsia="ar-SA"/>
        </w:rPr>
      </w:pPr>
      <w:r>
        <w:rPr>
          <w:rFonts w:eastAsia="SimSun"/>
          <w:lang w:eastAsia="ar-SA"/>
        </w:rPr>
        <w:t>PATVIRTINTA</w:t>
      </w:r>
    </w:p>
    <w:p w14:paraId="658A08C0" w14:textId="77777777" w:rsidR="00DD0936" w:rsidRDefault="007A17AF">
      <w:pPr>
        <w:suppressAutoHyphens/>
        <w:spacing w:line="252" w:lineRule="auto"/>
        <w:ind w:left="9072" w:firstLine="1296"/>
        <w:rPr>
          <w:rFonts w:eastAsia="SimSun"/>
          <w:lang w:eastAsia="ar-SA"/>
        </w:rPr>
      </w:pPr>
      <w:r>
        <w:rPr>
          <w:rFonts w:eastAsia="SimSun"/>
          <w:lang w:eastAsia="ar-SA"/>
        </w:rPr>
        <w:t>Lietuvos Respublikos Vyriausybės</w:t>
      </w:r>
    </w:p>
    <w:p w14:paraId="7B7EA1BC" w14:textId="40F60675" w:rsidR="00DD0936" w:rsidRDefault="007A17AF">
      <w:pPr>
        <w:suppressAutoHyphens/>
        <w:spacing w:line="252" w:lineRule="auto"/>
        <w:ind w:left="9072" w:firstLine="1276"/>
        <w:rPr>
          <w:rFonts w:eastAsia="SimSun"/>
          <w:lang w:eastAsia="ar-SA"/>
        </w:rPr>
      </w:pPr>
      <w:r>
        <w:rPr>
          <w:rFonts w:eastAsia="SimSun"/>
          <w:lang w:eastAsia="ar-SA"/>
        </w:rPr>
        <w:t>2022 m. kovo 16 d. nutarimu Nr. 240</w:t>
      </w:r>
    </w:p>
    <w:p w14:paraId="440FB065" w14:textId="77777777" w:rsidR="00DD0936" w:rsidRDefault="00DD0936">
      <w:pPr>
        <w:suppressAutoHyphens/>
        <w:spacing w:line="252" w:lineRule="auto"/>
        <w:ind w:left="9072" w:firstLine="1276"/>
        <w:rPr>
          <w:rFonts w:eastAsia="SimSun"/>
          <w:szCs w:val="24"/>
          <w:lang w:eastAsia="ar-SA"/>
        </w:rPr>
      </w:pPr>
    </w:p>
    <w:p w14:paraId="28EED95A" w14:textId="77777777" w:rsidR="00DD0936" w:rsidRDefault="00DD0936">
      <w:pPr>
        <w:rPr>
          <w:b/>
          <w:bCs/>
          <w:lang w:eastAsia="lt-LT"/>
        </w:rPr>
      </w:pPr>
    </w:p>
    <w:p w14:paraId="6E15102F" w14:textId="6AA0D540" w:rsidR="00DD0936" w:rsidRDefault="007A17A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2022–2030 METŲ PLĖTROS PROGRAMOS VALDYTOJOS </w:t>
      </w:r>
    </w:p>
    <w:p w14:paraId="391AC7A5" w14:textId="77777777" w:rsidR="00DD0936" w:rsidRDefault="007A17AF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LIETUVOS RESPUBLIKOS ŠVIETIMO, MOKSLO IR SPORTO MINISTERIJOS SPORTO PLĖTROS PROGRAMA</w:t>
      </w:r>
    </w:p>
    <w:p w14:paraId="5369E66C" w14:textId="77777777" w:rsidR="00DD0936" w:rsidRDefault="00DD0936"/>
    <w:p w14:paraId="20B9A324" w14:textId="77777777" w:rsidR="00DD0936" w:rsidRDefault="007A17AF">
      <w:pPr>
        <w:ind w:left="284"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0CB450C2" w14:textId="77777777" w:rsidR="00DD0936" w:rsidRDefault="007A17AF">
      <w:pPr>
        <w:ind w:left="284" w:hanging="284"/>
        <w:jc w:val="center"/>
        <w:rPr>
          <w:b/>
          <w:bCs/>
          <w:caps/>
        </w:rPr>
      </w:pPr>
      <w:r>
        <w:rPr>
          <w:b/>
          <w:bCs/>
          <w:caps/>
        </w:rPr>
        <w:t>Plėtros programos paskirtis</w:t>
      </w:r>
    </w:p>
    <w:p w14:paraId="7C8ACA2F" w14:textId="77777777" w:rsidR="00DD0936" w:rsidRDefault="00DD0936">
      <w:pPr>
        <w:ind w:left="284" w:hanging="284"/>
        <w:jc w:val="center"/>
        <w:rPr>
          <w:b/>
          <w:color w:val="000000"/>
        </w:rPr>
      </w:pPr>
    </w:p>
    <w:tbl>
      <w:tblPr>
        <w:tblW w:w="144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4"/>
      </w:tblGrid>
      <w:tr w:rsidR="00DD0936" w14:paraId="7E5BB979" w14:textId="77777777">
        <w:trPr>
          <w:trHeight w:val="461"/>
        </w:trPr>
        <w:tc>
          <w:tcPr>
            <w:tcW w:w="14454" w:type="dxa"/>
            <w:shd w:val="clear" w:color="auto" w:fill="DEEAF6" w:themeFill="accent1" w:themeFillTint="33"/>
          </w:tcPr>
          <w:p w14:paraId="737B779D" w14:textId="77777777" w:rsidR="00DD0936" w:rsidRDefault="007A17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Valstybės veiklos sritis</w:t>
            </w:r>
          </w:p>
          <w:p w14:paraId="62A8BCB1" w14:textId="4EF947FC" w:rsidR="00DD0936" w:rsidRDefault="007A1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 ŠVIETIMAS, MOKSLAS IR SPORTAS</w:t>
            </w:r>
          </w:p>
        </w:tc>
      </w:tr>
      <w:tr w:rsidR="00DD0936" w14:paraId="31C5B341" w14:textId="77777777">
        <w:trPr>
          <w:trHeight w:val="1092"/>
        </w:trPr>
        <w:tc>
          <w:tcPr>
            <w:tcW w:w="14454" w:type="dxa"/>
            <w:shd w:val="clear" w:color="auto" w:fill="DEEAF6" w:themeFill="accent1" w:themeFillTint="33"/>
          </w:tcPr>
          <w:p w14:paraId="1FE75BBB" w14:textId="75F3A54E" w:rsidR="00DD0936" w:rsidRDefault="007A17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2021–2030 metų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nacionalinio pažangos plano (toliau – NPP) pažangos uždavinių (toliau – uždavinys) įtraukimo į Programą logika </w:t>
            </w:r>
          </w:p>
          <w:p w14:paraId="09B6E9AE" w14:textId="77777777" w:rsidR="00DD0936" w:rsidRDefault="00DD09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2F7C65" w14:textId="77777777" w:rsidR="00DD0936" w:rsidRDefault="007A17AF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Programa skirta NPP 4 tikslo „</w:t>
            </w:r>
            <w:r>
              <w:rPr>
                <w:color w:val="000000"/>
                <w:sz w:val="22"/>
                <w:szCs w:val="22"/>
                <w:lang w:eastAsia="lt-LT"/>
              </w:rPr>
              <w:t>Stiprinti tautinį ir pilietinį tapatumą, didinti kultūros skvarbą ir visuomenės kūrybingumą</w:t>
            </w:r>
            <w:r>
              <w:rPr>
                <w:sz w:val="22"/>
                <w:szCs w:val="22"/>
                <w:lang w:eastAsia="lt-LT"/>
              </w:rPr>
              <w:t>“ 4.4 uždaviniui „</w:t>
            </w:r>
            <w:r>
              <w:rPr>
                <w:color w:val="000000"/>
                <w:sz w:val="22"/>
                <w:szCs w:val="22"/>
                <w:lang w:eastAsia="lt-LT"/>
              </w:rPr>
              <w:t>Siekti gausinti aukščiausius Lietuvos sporto pasiekimus“</w:t>
            </w:r>
            <w:r>
              <w:rPr>
                <w:sz w:val="22"/>
                <w:szCs w:val="22"/>
                <w:lang w:eastAsia="lt-LT"/>
              </w:rPr>
              <w:t xml:space="preserve"> įgyvendinti.</w:t>
            </w:r>
          </w:p>
          <w:p w14:paraId="263747AE" w14:textId="20B70082" w:rsidR="00DD0936" w:rsidRDefault="00DD0936">
            <w:pPr>
              <w:jc w:val="both"/>
              <w:textAlignment w:val="baseline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D0936" w14:paraId="70D62B06" w14:textId="77777777">
        <w:trPr>
          <w:trHeight w:val="487"/>
        </w:trPr>
        <w:tc>
          <w:tcPr>
            <w:tcW w:w="14454" w:type="dxa"/>
            <w:shd w:val="clear" w:color="auto" w:fill="DEEAF6" w:themeFill="accent1" w:themeFillTint="33"/>
          </w:tcPr>
          <w:p w14:paraId="087AA4AD" w14:textId="77777777" w:rsidR="00DD0936" w:rsidRDefault="007A17A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NPP uždavinys, kodas ir pavadinimas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40C2F14" w14:textId="1705C7B7" w:rsidR="00DD0936" w:rsidRDefault="007A17A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4.4 uždavinys. Siekti gausinti aukščiausius Lietuvos sporto pasiekimus.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67B6F4B1" w14:textId="48A51A2B" w:rsidR="00DD0936" w:rsidRDefault="007A17A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Prisidedama prie NPP 2.10 uždavinio „</w:t>
            </w:r>
            <w:r>
              <w:rPr>
                <w:sz w:val="22"/>
              </w:rPr>
              <w:t xml:space="preserve">Skatinti sveikatos išsaugojimo ir stiprinimo veiklas ir stiprinti psichologinį (emocinį) visuomenės atsparumą“ </w:t>
            </w:r>
            <w:r>
              <w:rPr>
                <w:sz w:val="22"/>
                <w:szCs w:val="22"/>
              </w:rPr>
              <w:t>įgyvendinimo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D0936" w14:paraId="2410604B" w14:textId="77777777">
        <w:trPr>
          <w:trHeight w:val="70"/>
        </w:trPr>
        <w:tc>
          <w:tcPr>
            <w:tcW w:w="14454" w:type="dxa"/>
            <w:shd w:val="clear" w:color="auto" w:fill="auto"/>
          </w:tcPr>
          <w:p w14:paraId="633D87A1" w14:textId="77777777" w:rsidR="00DD0936" w:rsidRDefault="007A17AF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NPP uždavinio rodiklis ir (ar) tikslo rodiklis </w:t>
            </w:r>
          </w:p>
          <w:p w14:paraId="4A890E78" w14:textId="56ABAA1A" w:rsidR="00DD0936" w:rsidRDefault="007A17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4.4.1. Olimpinėse žaidynėse, olimpinių sporto šakų pasaulio ir Europos suaugusiųjų čempionatuose iškovotų medalių skaičius olimpinėse rungtyse, vienetai (2018 m. – 14; 2025 m. – 15; 2030 m. – 17).</w:t>
            </w:r>
            <w:r>
              <w:br/>
            </w:r>
            <w:r>
              <w:rPr>
                <w:color w:val="000000"/>
                <w:sz w:val="22"/>
                <w:szCs w:val="22"/>
              </w:rPr>
              <w:t xml:space="preserve">4.4.2. </w:t>
            </w:r>
            <w:proofErr w:type="spellStart"/>
            <w:r>
              <w:rPr>
                <w:color w:val="000000"/>
                <w:sz w:val="22"/>
                <w:szCs w:val="22"/>
              </w:rPr>
              <w:t>Paralimpinėse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 kurčiųjų žaidynėse, pasaulio ir Europos neįgaliųjų čempionatuose iškovotų medalių skaičius, vienetai (2018 m. – 14; 2025 m. – 15; 2030 m. – 17).</w:t>
            </w:r>
          </w:p>
          <w:p w14:paraId="06FCE96A" w14:textId="77777777" w:rsidR="00DD0936" w:rsidRDefault="00DD0936">
            <w:pPr>
              <w:ind w:firstLine="720"/>
              <w:rPr>
                <w:color w:val="000000"/>
                <w:sz w:val="22"/>
                <w:szCs w:val="22"/>
              </w:rPr>
            </w:pPr>
          </w:p>
          <w:p w14:paraId="71F3765A" w14:textId="24ED82BA" w:rsidR="00DD0936" w:rsidRDefault="007A17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Rodikliai atspindi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nacionalinių sporto šakų federacijų, negalią turinčių asmenų sporto judėjimams Lietuvoje vadovaujančių nevyriausybinių organizacijų pasiekimus olimpinėse, </w:t>
            </w:r>
            <w:proofErr w:type="spellStart"/>
            <w:r>
              <w:rPr>
                <w:color w:val="000000"/>
                <w:sz w:val="22"/>
                <w:szCs w:val="22"/>
              </w:rPr>
              <w:t>paralimpinėse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pasaulio ir Europos čempionatuose, kurčiųjų žaidynėse, jų kiekybinę, taip pat ir kokybinę išraišką. Finansavimo ir medalių statistinių rodiklių santykis atspindi aukšto meistriškumo sporto sistemos ir finansavimo efektyvumą. </w:t>
            </w:r>
          </w:p>
        </w:tc>
      </w:tr>
      <w:tr w:rsidR="00DD0936" w14:paraId="0D326176" w14:textId="77777777">
        <w:trPr>
          <w:trHeight w:val="70"/>
        </w:trPr>
        <w:tc>
          <w:tcPr>
            <w:tcW w:w="14454" w:type="dxa"/>
          </w:tcPr>
          <w:p w14:paraId="234AF1FE" w14:textId="42E06B1C" w:rsidR="00DD0936" w:rsidRDefault="007A17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problema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Sporto sistema neužtikrina aukščiausių sporto pasiekimų</w:t>
            </w:r>
            <w:r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</w:tr>
      <w:tr w:rsidR="00DD0936" w14:paraId="2DF153CA" w14:textId="77777777">
        <w:trPr>
          <w:trHeight w:val="549"/>
        </w:trPr>
        <w:tc>
          <w:tcPr>
            <w:tcW w:w="14454" w:type="dxa"/>
          </w:tcPr>
          <w:p w14:paraId="6689F13D" w14:textId="3C33E7AA" w:rsidR="00DD0936" w:rsidRDefault="007A17A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Spręstinos problemos priežastys </w:t>
            </w:r>
            <w:r>
              <w:rPr>
                <w:i/>
                <w:iCs/>
                <w:color w:val="000000"/>
                <w:sz w:val="22"/>
                <w:szCs w:val="22"/>
              </w:rPr>
              <w:t>(išdėstytos prioriteto tvarka):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4F8AC91" w14:textId="77777777" w:rsidR="00DD0936" w:rsidRDefault="00DD0936">
            <w:pPr>
              <w:jc w:val="both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  <w:p w14:paraId="630116BB" w14:textId="00E9AD21" w:rsidR="00DD0936" w:rsidRDefault="007A17A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1.1. </w:t>
            </w:r>
            <w:r>
              <w:rPr>
                <w:b/>
                <w:bCs/>
                <w:sz w:val="22"/>
                <w:szCs w:val="22"/>
              </w:rPr>
              <w:t>Sportininkų rengimo ir išlaikymo sporte sistema neužtikrina sportininkų, galinčių atstovauti aukšto meistriškumo sporto varžyboms, skaičiaus didėjimo ir aukšto meistriškumo sporto programos proveržio siekiant rezultatų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3BD1FEE4" w14:textId="1FA385BC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1.1.1. </w:t>
            </w:r>
            <w:r>
              <w:rPr>
                <w:sz w:val="22"/>
                <w:szCs w:val="22"/>
              </w:rPr>
              <w:t>nerezultatyvios ir nekoordinuotos aukšto meistriškumo sporto finansinės priemonės;</w:t>
            </w:r>
          </w:p>
          <w:p w14:paraId="2C22CAFE" w14:textId="5F4E405B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1.1.2. </w:t>
            </w:r>
            <w:r>
              <w:rPr>
                <w:sz w:val="22"/>
              </w:rPr>
              <w:t>nėra sukurtos sporto sistemos kokybės stebėsenos ir kompetentingos pagalbos;</w:t>
            </w:r>
          </w:p>
          <w:p w14:paraId="78A3AF01" w14:textId="5807DE34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1.1.3. esama aukšto meistriškumo sportininkų pamainos identifikavimo, talentų pritraukimo sistema lemia, kad turime 2,5–3 kartus mažesnį nei kitose šalyse sportininkų skaičių;</w:t>
            </w:r>
          </w:p>
          <w:p w14:paraId="3A7DBA18" w14:textId="40E44BB4" w:rsidR="00DD0936" w:rsidRDefault="007A17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1.1.4. nėra įgyvendinamų priemonių, leidžiančių sportininkams kuo ilgiau tęsti karjerą ir integruotis į darbo rinką.</w:t>
            </w:r>
          </w:p>
          <w:p w14:paraId="0458F786" w14:textId="77777777" w:rsidR="00DD0936" w:rsidRDefault="00DD0936">
            <w:pPr>
              <w:spacing w:line="257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641C8A1F" w14:textId="5EE59E69" w:rsidR="00DD0936" w:rsidRDefault="007A17AF">
            <w:pPr>
              <w:spacing w:line="257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1.2. Trūksta sportininkams rengti reikalingų kvalifikuotų sporto </w:t>
            </w:r>
            <w:r>
              <w:rPr>
                <w:b/>
                <w:bCs/>
                <w:sz w:val="22"/>
                <w:szCs w:val="22"/>
              </w:rPr>
              <w:t>specialistų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35EBBB2D" w14:textId="113917ED" w:rsidR="00DD0936" w:rsidRDefault="007A17AF">
            <w:pPr>
              <w:spacing w:line="257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 xml:space="preserve">1. šiuolaikinių aukšto meistriškumo sporto tendencijų neatliepianti trenerių rengimo, motyvacijos ir kvalifikacijų kėlimo sistema, jų profesinio tobulinimo trūkumas; </w:t>
            </w:r>
          </w:p>
          <w:p w14:paraId="2F78871D" w14:textId="5657A947" w:rsidR="00DD0936" w:rsidRDefault="007A17AF">
            <w:pPr>
              <w:spacing w:line="257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1.2.2. mokslininkų paslaugomis naudojasi vos ketvirtadalis rengiamų sporto šakų sportininkų ir trenerių; </w:t>
            </w:r>
          </w:p>
          <w:p w14:paraId="3DE42E3D" w14:textId="7C05DBE3" w:rsidR="00DD0936" w:rsidRDefault="007A17AF">
            <w:pPr>
              <w:spacing w:line="257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 sporto medicinos specialistų, paslaugų apimčių ir mobilumo trūkumas. </w:t>
            </w:r>
          </w:p>
          <w:p w14:paraId="75CEB7AB" w14:textId="77777777" w:rsidR="00DD0936" w:rsidRDefault="00DD0936">
            <w:pPr>
              <w:spacing w:line="257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6690F56" w14:textId="21D6DD6C" w:rsidR="00DD0936" w:rsidRDefault="007A17AF">
            <w:pPr>
              <w:spacing w:line="257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1.3. Sporto bazių ir treniruočių kompleksų stoka ir neatitiktis fizinio aktyvumo ir aukšto meistriškumo sporto poreikiams:</w:t>
            </w:r>
          </w:p>
          <w:p w14:paraId="635A39BB" w14:textId="07D17E2B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  <w:r>
              <w:rPr>
                <w:sz w:val="22"/>
                <w:szCs w:val="22"/>
              </w:rPr>
              <w:t xml:space="preserve"> sporto bazių ir treniruočių kompleksų statyba nėra pagrįsta regioniniu, demografiniu ir sporto šakų poreikių paskaičiavimu, nesiremia sisteminiu esamų objektų skaičiaus ir būklės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vertinimu;</w:t>
            </w:r>
          </w:p>
          <w:p w14:paraId="2D5323BD" w14:textId="0AE1DDEA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1.3.2. </w:t>
            </w:r>
            <w:r>
              <w:rPr>
                <w:sz w:val="22"/>
                <w:szCs w:val="22"/>
              </w:rPr>
              <w:t>tarptautinius standartus atitinkančių sporto bazių, treniruočių kompleksų, reikalingų aukšto meistriškumo sportininkams ir sporto renginiams rengti, trūkumas;</w:t>
            </w:r>
          </w:p>
          <w:p w14:paraId="70C7B79F" w14:textId="160B0685" w:rsidR="00DD0936" w:rsidRDefault="007A17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1.3.3. nepakankama ir ne visiems prieinama vystoma fizinio aktyvumo infrastruktūra, neišnaudotos jų teikiamos galimybės, ne visa infrastruktūra adaptuota asmenims su negalia. </w:t>
            </w:r>
          </w:p>
          <w:p w14:paraId="38DC3B2F" w14:textId="77777777" w:rsidR="00DD0936" w:rsidRDefault="00DD093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3D74D9E" w14:textId="57BBA881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1.4. </w:t>
            </w:r>
            <w:r>
              <w:rPr>
                <w:b/>
                <w:bCs/>
                <w:sz w:val="22"/>
                <w:szCs w:val="22"/>
              </w:rPr>
              <w:t>Lietuva atsilieka nuo Europos Sąjungos šalių vidurkio pagal sportuojančiųjų ir besimankštinančiųjų skaičių:</w:t>
            </w:r>
          </w:p>
          <w:p w14:paraId="415472EF" w14:textId="4005CBBF" w:rsidR="00DD0936" w:rsidRDefault="007A17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1.4.1. neišnaudotos visų amžiaus grupių sveikatinimo fizinio aktyvumo priemonėmis galimybės</w:t>
            </w:r>
            <w:r>
              <w:rPr>
                <w:color w:val="881798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stokojama tarpinstitucinio bendradarbiavimo įvairiuose sektoriuose;</w:t>
            </w:r>
          </w:p>
          <w:p w14:paraId="5FCA1DE1" w14:textId="39663767" w:rsidR="00DD0936" w:rsidRDefault="007A17AF">
            <w:pPr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 xml:space="preserve">1.4.2. </w:t>
            </w:r>
            <w:r>
              <w:rPr>
                <w:sz w:val="22"/>
                <w:szCs w:val="22"/>
                <w:lang w:eastAsia="lt-LT"/>
              </w:rPr>
              <w:t>nepakankamas dėmesys ir sąlygos mokinių fiziniam aktyvumui švietimo įstaigose;</w:t>
            </w:r>
          </w:p>
          <w:p w14:paraId="67E91F85" w14:textId="21683C2B" w:rsidR="00DD0936" w:rsidRDefault="007A17A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1.4.3.</w:t>
            </w:r>
            <w:r>
              <w:rPr>
                <w:sz w:val="22"/>
                <w:szCs w:val="22"/>
                <w:lang w:eastAsia="lt-LT"/>
              </w:rPr>
              <w:t xml:space="preserve"> nepakankamai išnaudojamos vaikų ir jaunimo neformaliojo sportinio ugdymo galimybės; </w:t>
            </w:r>
          </w:p>
          <w:p w14:paraId="756B28E6" w14:textId="36D8F79E" w:rsidR="00DD0936" w:rsidRDefault="007A17A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1.4.4. </w:t>
            </w:r>
            <w:r>
              <w:rPr>
                <w:sz w:val="22"/>
                <w:szCs w:val="22"/>
                <w:lang w:eastAsia="lt-LT"/>
              </w:rPr>
              <w:t>sisteminio valdymo žmogiškųjų išteklių fizinio aktyvumo ir pradinio lygmens sporto (angl</w:t>
            </w:r>
            <w:r>
              <w:rPr>
                <w:i/>
                <w:iCs/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grassroots</w:t>
            </w:r>
            <w:proofErr w:type="spellEnd"/>
            <w:r>
              <w:rPr>
                <w:i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eastAsia="lt-LT"/>
              </w:rPr>
              <w:t>sport</w:t>
            </w:r>
            <w:proofErr w:type="spellEnd"/>
            <w:r>
              <w:rPr>
                <w:sz w:val="22"/>
                <w:szCs w:val="22"/>
                <w:lang w:eastAsia="lt-LT"/>
              </w:rPr>
              <w:t>) srityje trūkumas.</w:t>
            </w:r>
          </w:p>
          <w:p w14:paraId="2B0CFBDD" w14:textId="77777777" w:rsidR="00DD0936" w:rsidRDefault="00DD0936">
            <w:pPr>
              <w:rPr>
                <w:color w:val="000000"/>
                <w:sz w:val="22"/>
                <w:szCs w:val="22"/>
              </w:rPr>
            </w:pPr>
          </w:p>
          <w:p w14:paraId="2C270DF3" w14:textId="77777777" w:rsidR="00DD0936" w:rsidRDefault="007A17A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priemonės, kuriomis sprendžiama problema:</w:t>
            </w:r>
          </w:p>
          <w:p w14:paraId="714EF3BF" w14:textId="77777777" w:rsidR="00DD0936" w:rsidRDefault="007A17AF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12-004-04-04-01 </w:t>
            </w:r>
            <w:r>
              <w:rPr>
                <w:color w:val="000000"/>
                <w:sz w:val="22"/>
                <w:szCs w:val="22"/>
              </w:rPr>
              <w:t>Išvystyti ilgalaikę, aiškiais kriterijais paremtą sporto vystymo politiką</w:t>
            </w:r>
            <w:r>
              <w:rPr>
                <w:i/>
                <w:iCs/>
                <w:sz w:val="22"/>
                <w:szCs w:val="22"/>
              </w:rPr>
              <w:t xml:space="preserve"> (šalinamos 1.1.1, 1.1.2, 1.3 priežastys).</w:t>
            </w:r>
          </w:p>
          <w:p w14:paraId="525CB0A6" w14:textId="77777777" w:rsidR="00DD0936" w:rsidRDefault="007A17AF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12-004-04-04-02 </w:t>
            </w:r>
            <w:r>
              <w:rPr>
                <w:color w:val="000000"/>
                <w:sz w:val="22"/>
                <w:szCs w:val="22"/>
              </w:rPr>
              <w:t>Pertvarkyti ir modernizuoti sporto sistemą nuo pagrindų iki aukšto meistriškumo</w:t>
            </w:r>
            <w:r>
              <w:rPr>
                <w:i/>
                <w:iCs/>
                <w:sz w:val="22"/>
                <w:szCs w:val="22"/>
              </w:rPr>
              <w:t xml:space="preserve"> (šalinamos 1.1.3, 1.1.4, 1.2 ir 1.4 priežastys).</w:t>
            </w:r>
          </w:p>
          <w:p w14:paraId="6AC6123E" w14:textId="77777777" w:rsidR="00DD0936" w:rsidRDefault="00DD0936">
            <w:pPr>
              <w:rPr>
                <w:i/>
                <w:iCs/>
                <w:sz w:val="22"/>
                <w:szCs w:val="22"/>
              </w:rPr>
            </w:pPr>
          </w:p>
          <w:p w14:paraId="69635360" w14:textId="1BAD1B72" w:rsidR="00DD0936" w:rsidRDefault="007A17AF">
            <w:pPr>
              <w:rPr>
                <w:b/>
                <w:iCs/>
                <w:sz w:val="22"/>
                <w:szCs w:val="24"/>
              </w:rPr>
            </w:pPr>
            <w:r>
              <w:rPr>
                <w:b/>
                <w:iCs/>
                <w:sz w:val="22"/>
                <w:szCs w:val="24"/>
              </w:rPr>
              <w:t>Kitos priemonės, numatytos šiose Lietuvos Respublikos Vyriausybės tvirtinamose plėtros programose:</w:t>
            </w:r>
          </w:p>
          <w:p w14:paraId="292A468D" w14:textId="1CF78D51" w:rsidR="00DD0936" w:rsidRDefault="007A17AF">
            <w:pPr>
              <w:ind w:left="720" w:hanging="36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t>1.</w:t>
            </w:r>
            <w:r>
              <w:rPr>
                <w:iCs/>
                <w:sz w:val="22"/>
                <w:szCs w:val="24"/>
              </w:rPr>
              <w:tab/>
              <w:t xml:space="preserve">Lietuvos Respublikos Vyriausybės 2022 m. sausio 26 d. nutarimu Nr. 66 „Dėl </w:t>
            </w:r>
            <w:r>
              <w:rPr>
                <w:color w:val="000000"/>
                <w:sz w:val="22"/>
                <w:szCs w:val="24"/>
              </w:rPr>
              <w:t xml:space="preserve">2021–2030 metų plėtros programos valdytojos Lietuvos Respublikos sveikatos apsaugos ministerijos sveikatos išsaugojimo ir stiprinimo plėtros programos patvirtinimo“ </w:t>
            </w:r>
            <w:r>
              <w:rPr>
                <w:iCs/>
                <w:sz w:val="22"/>
                <w:szCs w:val="24"/>
              </w:rPr>
              <w:t>patvirtintos Lietuvos Respublikos sveikatos apsaugos ministerijos valdomos 2022–2030 metų sveikatos išsaugojimo ir stiprinimo plėtros programos priemonė 11-001-02-10-01 Gerinti grėsmių bei rizikos sveikatai veiksnių valdymą (</w:t>
            </w:r>
            <w:r>
              <w:rPr>
                <w:i/>
                <w:iCs/>
                <w:sz w:val="22"/>
                <w:szCs w:val="24"/>
              </w:rPr>
              <w:t>prisideda prie 1.4.1 ir 1.4.2 priežasčių šalinimo</w:t>
            </w:r>
            <w:r>
              <w:rPr>
                <w:iCs/>
                <w:sz w:val="22"/>
                <w:szCs w:val="24"/>
              </w:rPr>
              <w:t>).</w:t>
            </w:r>
          </w:p>
          <w:p w14:paraId="5EC3DCBB" w14:textId="1203F407" w:rsidR="00DD0936" w:rsidRDefault="007A17AF">
            <w:pPr>
              <w:ind w:left="720" w:hanging="36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lastRenderedPageBreak/>
              <w:t>2.</w:t>
            </w:r>
            <w:r>
              <w:rPr>
                <w:iCs/>
                <w:sz w:val="22"/>
                <w:szCs w:val="24"/>
              </w:rPr>
              <w:tab/>
              <w:t xml:space="preserve">Lietuvos Respublikos Vyriausybės 2021 m. gruodžio 1 d. nutarimu Nr. 1016 „Dėl </w:t>
            </w:r>
            <w:r>
              <w:rPr>
                <w:color w:val="000000"/>
                <w:sz w:val="22"/>
                <w:szCs w:val="24"/>
              </w:rPr>
              <w:t xml:space="preserve">2021–2030 metų plėtros programos valdytojos Lietuvos Respublikos švietimo, mokslo ir sporto ministerijos švietimo plėtros programos patvirtinimo“ </w:t>
            </w:r>
            <w:r>
              <w:rPr>
                <w:iCs/>
                <w:sz w:val="22"/>
                <w:szCs w:val="24"/>
              </w:rPr>
              <w:t>patvirtintos Lietuvos Respublikos švietimo, mokslo ir sporto ministerijos valdomos 2022–2030 metų švietimo plėtros programos priemonės:</w:t>
            </w:r>
          </w:p>
          <w:p w14:paraId="6818BD3C" w14:textId="0670FF74" w:rsidR="00DD0936" w:rsidRDefault="007A17AF">
            <w:pPr>
              <w:ind w:left="72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t>-</w:t>
            </w:r>
            <w:r>
              <w:rPr>
                <w:iCs/>
                <w:sz w:val="22"/>
                <w:szCs w:val="24"/>
              </w:rPr>
              <w:tab/>
              <w:t xml:space="preserve">12-003-03-01-03 Užtikrinti visiems prieinamą šiuolaikinį ugdymo turinį </w:t>
            </w:r>
            <w:r>
              <w:rPr>
                <w:i/>
                <w:iCs/>
                <w:sz w:val="22"/>
                <w:szCs w:val="24"/>
              </w:rPr>
              <w:t>(prisideda prie 1.4.2 ir 1.4.3 priežasčių šalinimo)</w:t>
            </w:r>
            <w:r>
              <w:rPr>
                <w:iCs/>
                <w:sz w:val="22"/>
                <w:szCs w:val="24"/>
              </w:rPr>
              <w:t>;</w:t>
            </w:r>
          </w:p>
          <w:p w14:paraId="18208B5A" w14:textId="4DBBB8FB" w:rsidR="00DD0936" w:rsidRDefault="007A17AF">
            <w:pPr>
              <w:ind w:left="72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t>-</w:t>
            </w:r>
            <w:r>
              <w:rPr>
                <w:iCs/>
                <w:sz w:val="22"/>
                <w:szCs w:val="24"/>
              </w:rPr>
              <w:tab/>
              <w:t xml:space="preserve">12-003-03-01-04 Užtikrinti visiems prieinamą ankstyvąjį ugdymą </w:t>
            </w:r>
            <w:r>
              <w:rPr>
                <w:i/>
                <w:iCs/>
                <w:sz w:val="22"/>
                <w:szCs w:val="24"/>
              </w:rPr>
              <w:t>(prisideda prie 1.4.1, 1.4.2 ir 1.4.3 priežasčių šalinimo)</w:t>
            </w:r>
            <w:r>
              <w:rPr>
                <w:iCs/>
                <w:sz w:val="22"/>
                <w:szCs w:val="24"/>
              </w:rPr>
              <w:t>;</w:t>
            </w:r>
          </w:p>
          <w:p w14:paraId="08440A39" w14:textId="40538FC5" w:rsidR="00DD0936" w:rsidRDefault="007A17AF">
            <w:pPr>
              <w:ind w:left="72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t>-</w:t>
            </w:r>
            <w:r>
              <w:rPr>
                <w:iCs/>
                <w:sz w:val="22"/>
                <w:szCs w:val="24"/>
              </w:rPr>
              <w:tab/>
              <w:t xml:space="preserve">12-003-03-04-01 Sudaryti sąlygas kokybiškoms, </w:t>
            </w:r>
            <w:proofErr w:type="spellStart"/>
            <w:r>
              <w:rPr>
                <w:iCs/>
                <w:sz w:val="22"/>
                <w:szCs w:val="24"/>
              </w:rPr>
              <w:t>tarptautiškoms</w:t>
            </w:r>
            <w:proofErr w:type="spellEnd"/>
            <w:r>
              <w:rPr>
                <w:iCs/>
                <w:sz w:val="22"/>
                <w:szCs w:val="24"/>
              </w:rPr>
              <w:t xml:space="preserve"> ir prieinamoms studijoms </w:t>
            </w:r>
            <w:r>
              <w:rPr>
                <w:i/>
                <w:iCs/>
                <w:sz w:val="22"/>
                <w:szCs w:val="24"/>
              </w:rPr>
              <w:t>(prisideda prie 1.2.1 priežasties šalinimo)</w:t>
            </w:r>
            <w:r>
              <w:rPr>
                <w:iCs/>
                <w:sz w:val="22"/>
                <w:szCs w:val="24"/>
              </w:rPr>
              <w:t>;</w:t>
            </w:r>
          </w:p>
          <w:p w14:paraId="20B25137" w14:textId="1922C201" w:rsidR="00DD0936" w:rsidRDefault="007A17AF">
            <w:pPr>
              <w:ind w:left="720"/>
              <w:rPr>
                <w:iCs/>
                <w:sz w:val="22"/>
                <w:szCs w:val="24"/>
              </w:rPr>
            </w:pPr>
            <w:r>
              <w:rPr>
                <w:iCs/>
                <w:sz w:val="22"/>
                <w:szCs w:val="24"/>
              </w:rPr>
              <w:t>-</w:t>
            </w:r>
            <w:r>
              <w:rPr>
                <w:iCs/>
                <w:sz w:val="22"/>
                <w:szCs w:val="24"/>
              </w:rPr>
              <w:tab/>
              <w:t xml:space="preserve">12-003-03-04-03 Sukurti rinkos poreikius atliepiančią profesinio ugdymo sistemą </w:t>
            </w:r>
            <w:r>
              <w:rPr>
                <w:i/>
                <w:iCs/>
                <w:sz w:val="22"/>
                <w:szCs w:val="24"/>
              </w:rPr>
              <w:t>(prisideda prie 1.4.4 ir 1.2.1 priežasčių šalinimo)</w:t>
            </w:r>
            <w:r>
              <w:rPr>
                <w:iCs/>
                <w:sz w:val="22"/>
                <w:szCs w:val="24"/>
              </w:rPr>
              <w:t>.</w:t>
            </w:r>
          </w:p>
          <w:p w14:paraId="0B1CCB86" w14:textId="1CED648A" w:rsidR="00DD0936" w:rsidRDefault="007A17AF">
            <w:pPr>
              <w:keepNext/>
              <w:ind w:left="720" w:hanging="36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</w:t>
            </w:r>
            <w:r>
              <w:rPr>
                <w:sz w:val="22"/>
                <w:szCs w:val="24"/>
              </w:rPr>
              <w:tab/>
            </w:r>
            <w:r>
              <w:rPr>
                <w:color w:val="000000"/>
                <w:sz w:val="22"/>
                <w:szCs w:val="24"/>
              </w:rPr>
              <w:t xml:space="preserve">Lietuvos Respublikos Vyriausybės 2021 m. lapkričio 10 d. nutarimu Nr. 931 „Dėl 2021–2030 metų plėtros programos valdytojos Lietuvos Respublikos socialinės apsaugos ir darbo ministerijos socialinės </w:t>
            </w:r>
            <w:proofErr w:type="spellStart"/>
            <w:r>
              <w:rPr>
                <w:color w:val="000000"/>
                <w:sz w:val="22"/>
                <w:szCs w:val="24"/>
              </w:rPr>
              <w:t>sutelkties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plėtros programos patvirtinimo“ patvirtintos Lietuvos Respublikos socialinės apsaugos ir darbo ministerijos valdomos 2021–2030 metų socialinės </w:t>
            </w:r>
            <w:proofErr w:type="spellStart"/>
            <w:r>
              <w:rPr>
                <w:color w:val="000000"/>
                <w:sz w:val="22"/>
                <w:szCs w:val="24"/>
              </w:rPr>
              <w:t>sutelkties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plėtros programos priemonė 09-003-02-02-03 </w:t>
            </w:r>
            <w:r>
              <w:rPr>
                <w:sz w:val="22"/>
                <w:szCs w:val="24"/>
              </w:rPr>
              <w:t>Didinti senyvo amžiaus asmenų socialinį aktyvumą (</w:t>
            </w:r>
            <w:r>
              <w:rPr>
                <w:i/>
                <w:iCs/>
                <w:sz w:val="22"/>
                <w:szCs w:val="24"/>
              </w:rPr>
              <w:t>prisideda prie 1.4.1 priežasties šalinimo</w:t>
            </w:r>
            <w:r>
              <w:rPr>
                <w:sz w:val="22"/>
                <w:szCs w:val="24"/>
              </w:rPr>
              <w:t xml:space="preserve">). </w:t>
            </w:r>
          </w:p>
          <w:p w14:paraId="34B8BB2C" w14:textId="52BBFF8E" w:rsidR="00DD0936" w:rsidRDefault="00DD0936">
            <w:pPr>
              <w:ind w:left="720"/>
              <w:rPr>
                <w:iCs/>
              </w:rPr>
            </w:pPr>
          </w:p>
        </w:tc>
      </w:tr>
    </w:tbl>
    <w:p w14:paraId="08200396" w14:textId="77777777" w:rsidR="00DD0936" w:rsidRDefault="00DD0936">
      <w:pPr>
        <w:keepNext/>
        <w:keepLines/>
        <w:ind w:left="284" w:hanging="284"/>
        <w:jc w:val="center"/>
        <w:rPr>
          <w:b/>
          <w:bCs/>
          <w:color w:val="000000"/>
        </w:rPr>
      </w:pPr>
    </w:p>
    <w:p w14:paraId="0AE6DDC2" w14:textId="3F925D08" w:rsidR="00DD0936" w:rsidRDefault="007A17AF">
      <w:pPr>
        <w:keepNext/>
        <w:keepLines/>
        <w:ind w:left="284"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 SKYRIUS</w:t>
      </w:r>
    </w:p>
    <w:p w14:paraId="55D6129F" w14:textId="6A6858BE" w:rsidR="00DD0936" w:rsidRDefault="007A17AF">
      <w:pPr>
        <w:keepNext/>
        <w:keepLines/>
        <w:ind w:left="284"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FINANSINIŲ PROJEKCIJŲ DALIS</w:t>
      </w:r>
    </w:p>
    <w:p w14:paraId="109551FB" w14:textId="77777777" w:rsidR="00DD0936" w:rsidRDefault="00DD0936">
      <w:pPr>
        <w:keepNext/>
        <w:keepLines/>
        <w:jc w:val="both"/>
        <w:rPr>
          <w:b/>
          <w:color w:val="000000"/>
        </w:rPr>
      </w:pPr>
    </w:p>
    <w:tbl>
      <w:tblPr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211"/>
        <w:gridCol w:w="4335"/>
      </w:tblGrid>
      <w:tr w:rsidR="00DD0936" w14:paraId="00EDCB51" w14:textId="77777777">
        <w:trPr>
          <w:trHeight w:val="604"/>
        </w:trPr>
        <w:tc>
          <w:tcPr>
            <w:tcW w:w="4990" w:type="dxa"/>
            <w:shd w:val="clear" w:color="auto" w:fill="DEEAF6" w:themeFill="accent1" w:themeFillTint="33"/>
            <w:vAlign w:val="center"/>
          </w:tcPr>
          <w:p w14:paraId="4B76B318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NPP uždavinys</w:t>
            </w:r>
          </w:p>
        </w:tc>
        <w:tc>
          <w:tcPr>
            <w:tcW w:w="5211" w:type="dxa"/>
            <w:shd w:val="clear" w:color="auto" w:fill="DEEAF6" w:themeFill="accent1" w:themeFillTint="33"/>
            <w:vAlign w:val="center"/>
          </w:tcPr>
          <w:p w14:paraId="23C1804E" w14:textId="7140C8A1" w:rsidR="00DD0936" w:rsidRDefault="007A17A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Finansinės projekcijos, tūkst. Eur*</w:t>
            </w:r>
          </w:p>
        </w:tc>
        <w:tc>
          <w:tcPr>
            <w:tcW w:w="4335" w:type="dxa"/>
            <w:shd w:val="clear" w:color="auto" w:fill="DEEAF6" w:themeFill="accent1" w:themeFillTint="33"/>
            <w:vAlign w:val="center"/>
          </w:tcPr>
          <w:p w14:paraId="5163E8FB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Finansavimo šaltiniai</w:t>
            </w:r>
          </w:p>
        </w:tc>
      </w:tr>
      <w:tr w:rsidR="00DD0936" w14:paraId="3ECA7153" w14:textId="77777777">
        <w:tc>
          <w:tcPr>
            <w:tcW w:w="4990" w:type="dxa"/>
          </w:tcPr>
          <w:p w14:paraId="3D9D85A4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11" w:type="dxa"/>
          </w:tcPr>
          <w:p w14:paraId="5F1CCCA7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35" w:type="dxa"/>
          </w:tcPr>
          <w:p w14:paraId="6EE4136F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D0936" w14:paraId="0024D3FE" w14:textId="77777777">
        <w:trPr>
          <w:trHeight w:val="558"/>
        </w:trPr>
        <w:tc>
          <w:tcPr>
            <w:tcW w:w="4990" w:type="dxa"/>
          </w:tcPr>
          <w:p w14:paraId="776A5B7C" w14:textId="1DB3EA68" w:rsidR="00DD0936" w:rsidRDefault="007A17AF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4.4 uždavinys</w:t>
            </w:r>
            <w:r>
              <w:rPr>
                <w:sz w:val="22"/>
                <w:szCs w:val="22"/>
              </w:rPr>
              <w:t>. Siekti gausinti aukščiausius Lietuvos sporto pasiekimus</w:t>
            </w:r>
          </w:p>
        </w:tc>
        <w:tc>
          <w:tcPr>
            <w:tcW w:w="5211" w:type="dxa"/>
          </w:tcPr>
          <w:p w14:paraId="46449830" w14:textId="77777777" w:rsidR="00DD0936" w:rsidRDefault="007A1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32 600</w:t>
            </w:r>
          </w:p>
        </w:tc>
        <w:tc>
          <w:tcPr>
            <w:tcW w:w="4335" w:type="dxa"/>
          </w:tcPr>
          <w:p w14:paraId="508F31E4" w14:textId="4F9B96C4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Valstybės biudžetas </w:t>
            </w:r>
          </w:p>
          <w:p w14:paraId="2079EA78" w14:textId="77777777" w:rsidR="00DD0936" w:rsidRDefault="00DD0936">
            <w:pPr>
              <w:jc w:val="both"/>
              <w:rPr>
                <w:i/>
                <w:color w:val="808080"/>
                <w:sz w:val="22"/>
                <w:szCs w:val="22"/>
              </w:rPr>
            </w:pPr>
          </w:p>
        </w:tc>
      </w:tr>
      <w:tr w:rsidR="00DD0936" w14:paraId="5C8E5013" w14:textId="77777777">
        <w:trPr>
          <w:trHeight w:val="353"/>
        </w:trPr>
        <w:tc>
          <w:tcPr>
            <w:tcW w:w="4990" w:type="dxa"/>
          </w:tcPr>
          <w:p w14:paraId="1FE554F3" w14:textId="11C05BAF" w:rsidR="00DD0936" w:rsidRDefault="007A17AF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5211" w:type="dxa"/>
          </w:tcPr>
          <w:p w14:paraId="3BF89F0F" w14:textId="77777777" w:rsidR="00DD0936" w:rsidRDefault="007A17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32 600</w:t>
            </w:r>
          </w:p>
          <w:p w14:paraId="4BFACDD4" w14:textId="77777777" w:rsidR="00DD0936" w:rsidRDefault="00DD093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35" w:type="dxa"/>
          </w:tcPr>
          <w:p w14:paraId="6FB70D83" w14:textId="19AEA4EC" w:rsidR="00DD0936" w:rsidRDefault="007A17AF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Valstybės biudžetas </w:t>
            </w:r>
          </w:p>
        </w:tc>
      </w:tr>
    </w:tbl>
    <w:p w14:paraId="0A1BCDAA" w14:textId="6C946942" w:rsidR="00DD0936" w:rsidRDefault="007A17AF">
      <w:pPr>
        <w:rPr>
          <w:szCs w:val="24"/>
        </w:rPr>
      </w:pPr>
      <w:r>
        <w:rPr>
          <w:szCs w:val="24"/>
          <w:vertAlign w:val="superscript"/>
        </w:rPr>
        <w:t>*</w:t>
      </w:r>
      <w:r>
        <w:rPr>
          <w:b/>
          <w:color w:val="000000"/>
          <w:szCs w:val="24"/>
        </w:rPr>
        <w:t>Pastaba.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Nurodant lėšas vadovaujamasi aktualiomis NPP finansinėmis projekcijomis 2021–2030 m. ir jų paskirstymu pagal NPP strateginius tikslus bei asignavimų valdytojus. Finansinės projekcijos bus reguliariai peržiūrimos ir pagal poreikį tikslinamos.</w:t>
      </w:r>
    </w:p>
    <w:p w14:paraId="0F127B95" w14:textId="77777777" w:rsidR="00DD0936" w:rsidRDefault="00DD0936"/>
    <w:p w14:paraId="016A15EE" w14:textId="5254B4A4" w:rsidR="00DD0936" w:rsidRDefault="00DD0936">
      <w:pPr>
        <w:rPr>
          <w:b/>
          <w:color w:val="000000"/>
        </w:rPr>
      </w:pPr>
    </w:p>
    <w:p w14:paraId="365F7A5E" w14:textId="77777777" w:rsidR="00DD0936" w:rsidRDefault="00DD0936">
      <w:pPr>
        <w:rPr>
          <w:b/>
          <w:color w:val="000000"/>
        </w:rPr>
      </w:pPr>
    </w:p>
    <w:p w14:paraId="768A44CF" w14:textId="7FA8A474" w:rsidR="00DD0936" w:rsidRDefault="00DD0936">
      <w:pPr>
        <w:rPr>
          <w:b/>
          <w:bCs/>
          <w:color w:val="000000"/>
        </w:rPr>
      </w:pPr>
    </w:p>
    <w:p w14:paraId="03BA05EF" w14:textId="5D2722C9" w:rsidR="00DD0936" w:rsidRDefault="00DD0936">
      <w:pPr>
        <w:rPr>
          <w:b/>
          <w:bCs/>
          <w:color w:val="000000"/>
        </w:rPr>
      </w:pPr>
    </w:p>
    <w:p w14:paraId="416E6CA2" w14:textId="157F650E" w:rsidR="00DD0936" w:rsidRDefault="00DD0936">
      <w:pPr>
        <w:rPr>
          <w:b/>
          <w:bCs/>
          <w:color w:val="000000"/>
        </w:rPr>
      </w:pPr>
    </w:p>
    <w:p w14:paraId="535495C3" w14:textId="6F2FD8B4" w:rsidR="00DD0936" w:rsidRDefault="00DD0936">
      <w:pPr>
        <w:rPr>
          <w:b/>
          <w:bCs/>
          <w:color w:val="000000"/>
        </w:rPr>
      </w:pPr>
    </w:p>
    <w:p w14:paraId="199973FE" w14:textId="255F8922" w:rsidR="00DD0936" w:rsidRDefault="00DD0936">
      <w:pPr>
        <w:rPr>
          <w:b/>
          <w:bCs/>
          <w:color w:val="000000"/>
        </w:rPr>
      </w:pPr>
    </w:p>
    <w:p w14:paraId="5D1C98FE" w14:textId="11C0FCA1" w:rsidR="00DD0936" w:rsidRDefault="00DD0936">
      <w:pPr>
        <w:rPr>
          <w:b/>
          <w:bCs/>
          <w:color w:val="000000"/>
        </w:rPr>
      </w:pPr>
    </w:p>
    <w:p w14:paraId="33A86F7A" w14:textId="7F31395C" w:rsidR="00DD0936" w:rsidRDefault="00DD0936">
      <w:pPr>
        <w:rPr>
          <w:b/>
          <w:bCs/>
          <w:color w:val="000000"/>
        </w:rPr>
      </w:pPr>
    </w:p>
    <w:p w14:paraId="1E72891E" w14:textId="1FF9FA9F" w:rsidR="00DD0936" w:rsidRDefault="00DD0936">
      <w:pPr>
        <w:rPr>
          <w:b/>
          <w:bCs/>
          <w:color w:val="000000"/>
        </w:rPr>
      </w:pPr>
    </w:p>
    <w:p w14:paraId="541063E0" w14:textId="77777777" w:rsidR="00DD0936" w:rsidRDefault="00DD0936">
      <w:pPr>
        <w:rPr>
          <w:b/>
          <w:bCs/>
          <w:color w:val="000000"/>
        </w:rPr>
      </w:pPr>
    </w:p>
    <w:p w14:paraId="4A2BBEC3" w14:textId="740572FC" w:rsidR="00DD0936" w:rsidRDefault="00DD0936">
      <w:pPr>
        <w:rPr>
          <w:b/>
          <w:bCs/>
          <w:color w:val="000000"/>
        </w:rPr>
      </w:pPr>
    </w:p>
    <w:p w14:paraId="101916AD" w14:textId="0198E424" w:rsidR="00DD0936" w:rsidRDefault="00DD0936">
      <w:pPr>
        <w:rPr>
          <w:b/>
          <w:bCs/>
          <w:color w:val="000000"/>
        </w:rPr>
      </w:pPr>
    </w:p>
    <w:p w14:paraId="6174E4FC" w14:textId="04A6AD6B" w:rsidR="00DD0936" w:rsidRDefault="00DD0936">
      <w:pPr>
        <w:rPr>
          <w:b/>
          <w:bCs/>
          <w:color w:val="000000"/>
        </w:rPr>
      </w:pPr>
    </w:p>
    <w:p w14:paraId="0957A409" w14:textId="77777777" w:rsidR="00DD0936" w:rsidRDefault="00DD0936">
      <w:pPr>
        <w:rPr>
          <w:b/>
          <w:bCs/>
          <w:color w:val="000000"/>
        </w:rPr>
      </w:pPr>
    </w:p>
    <w:p w14:paraId="4BBA73E5" w14:textId="7378552B" w:rsidR="00DD0936" w:rsidRDefault="00DD0936">
      <w:pPr>
        <w:rPr>
          <w:b/>
          <w:bCs/>
          <w:color w:val="000000"/>
        </w:rPr>
      </w:pPr>
    </w:p>
    <w:p w14:paraId="3902B2D9" w14:textId="77777777" w:rsidR="00DD0936" w:rsidRDefault="007A17AF">
      <w:pPr>
        <w:spacing w:line="276" w:lineRule="auto"/>
        <w:ind w:left="284"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III SKYRIUS </w:t>
      </w:r>
    </w:p>
    <w:p w14:paraId="3793FA5C" w14:textId="2916CDFB" w:rsidR="00DD0936" w:rsidRDefault="007A17AF">
      <w:pPr>
        <w:spacing w:line="276" w:lineRule="auto"/>
        <w:ind w:left="284" w:hanging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PAŽANGOS PRIEMONIŲ RINKINYS </w:t>
      </w:r>
    </w:p>
    <w:p w14:paraId="5F4DCF2D" w14:textId="77777777" w:rsidR="00DD0936" w:rsidRDefault="00DD0936">
      <w:pPr>
        <w:spacing w:line="276" w:lineRule="auto"/>
        <w:ind w:left="284" w:hanging="284"/>
        <w:jc w:val="center"/>
        <w:rPr>
          <w:b/>
          <w:bCs/>
          <w:color w:val="000000"/>
        </w:rPr>
      </w:pPr>
    </w:p>
    <w:p w14:paraId="42F878DC" w14:textId="77777777" w:rsidR="00DD0936" w:rsidRDefault="00DD0936">
      <w:pPr>
        <w:jc w:val="both"/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0"/>
        <w:gridCol w:w="1560"/>
        <w:gridCol w:w="1680"/>
        <w:gridCol w:w="1134"/>
        <w:gridCol w:w="1560"/>
        <w:gridCol w:w="1905"/>
        <w:gridCol w:w="1890"/>
        <w:gridCol w:w="1590"/>
      </w:tblGrid>
      <w:tr w:rsidR="00DD0936" w14:paraId="7A161877" w14:textId="77777777">
        <w:trPr>
          <w:trHeight w:val="678"/>
        </w:trPr>
        <w:tc>
          <w:tcPr>
            <w:tcW w:w="817" w:type="dxa"/>
            <w:vMerge w:val="restart"/>
            <w:shd w:val="clear" w:color="auto" w:fill="DEEAF6" w:themeFill="accent1" w:themeFillTint="33"/>
          </w:tcPr>
          <w:p w14:paraId="191195CC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  <w:p w14:paraId="292BE7A5" w14:textId="77777777" w:rsidR="00DD0936" w:rsidRDefault="007A17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 kodas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1462611D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</w:t>
            </w:r>
          </w:p>
        </w:tc>
        <w:tc>
          <w:tcPr>
            <w:tcW w:w="1410" w:type="dxa"/>
            <w:vMerge w:val="restart"/>
            <w:shd w:val="clear" w:color="auto" w:fill="DEEAF6" w:themeFill="accent1" w:themeFillTint="33"/>
            <w:vAlign w:val="center"/>
          </w:tcPr>
          <w:p w14:paraId="1D34438B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 įgyvendinimo NPP uždavinys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790FF333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Kiti NPP uždaviniai</w:t>
            </w:r>
          </w:p>
        </w:tc>
        <w:tc>
          <w:tcPr>
            <w:tcW w:w="1680" w:type="dxa"/>
            <w:vMerge w:val="restart"/>
            <w:shd w:val="clear" w:color="auto" w:fill="DEEAF6" w:themeFill="accent1" w:themeFillTint="33"/>
            <w:vAlign w:val="center"/>
          </w:tcPr>
          <w:p w14:paraId="73F1E535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Būtinos sąlygos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21F321DC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Dalyvaujančios institucijos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766B54A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 rezultato rodiklio pavadinimas</w:t>
            </w:r>
          </w:p>
        </w:tc>
        <w:tc>
          <w:tcPr>
            <w:tcW w:w="3795" w:type="dxa"/>
            <w:gridSpan w:val="2"/>
            <w:shd w:val="clear" w:color="auto" w:fill="DEEAF6" w:themeFill="accent1" w:themeFillTint="33"/>
            <w:vAlign w:val="center"/>
          </w:tcPr>
          <w:p w14:paraId="0A458C7C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 rezultato rodiklio reikšmės</w:t>
            </w:r>
          </w:p>
        </w:tc>
        <w:tc>
          <w:tcPr>
            <w:tcW w:w="1590" w:type="dxa"/>
            <w:vMerge w:val="restart"/>
            <w:shd w:val="clear" w:color="auto" w:fill="DEEAF6" w:themeFill="accent1" w:themeFillTint="33"/>
            <w:vAlign w:val="center"/>
          </w:tcPr>
          <w:p w14:paraId="292B3828" w14:textId="1496FC98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Pažangos priemonės papildomas požymis: LRV ĮP, HP, NRD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DD0936" w14:paraId="55B37DB7" w14:textId="77777777">
        <w:trPr>
          <w:trHeight w:val="184"/>
        </w:trPr>
        <w:tc>
          <w:tcPr>
            <w:tcW w:w="817" w:type="dxa"/>
            <w:vMerge/>
          </w:tcPr>
          <w:p w14:paraId="3CB58770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19B76B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449E54A5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221071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14:paraId="7ADD7200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6B579F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D0D3EB5" w14:textId="77777777" w:rsidR="00DD0936" w:rsidRDefault="00DD09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EEAF6" w:themeFill="accent1" w:themeFillTint="33"/>
          </w:tcPr>
          <w:p w14:paraId="602B9EB0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Pradinė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14:paraId="0473A639" w14:textId="77777777" w:rsidR="00DD0936" w:rsidRDefault="007A17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 m.</w:t>
            </w:r>
          </w:p>
        </w:tc>
        <w:tc>
          <w:tcPr>
            <w:tcW w:w="1590" w:type="dxa"/>
            <w:vMerge/>
          </w:tcPr>
          <w:p w14:paraId="63BC9BD7" w14:textId="77777777" w:rsidR="00DD0936" w:rsidRDefault="00DD0936">
            <w:pPr>
              <w:rPr>
                <w:sz w:val="22"/>
                <w:szCs w:val="22"/>
              </w:rPr>
            </w:pPr>
          </w:p>
        </w:tc>
      </w:tr>
      <w:tr w:rsidR="00DD0936" w14:paraId="2DF52BF9" w14:textId="77777777">
        <w:tc>
          <w:tcPr>
            <w:tcW w:w="817" w:type="dxa"/>
          </w:tcPr>
          <w:p w14:paraId="61EAC3EC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66B2AE6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14:paraId="58597E30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7C4ADFF6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14:paraId="5F7EC91E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F65B58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0F1AF179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05" w:type="dxa"/>
          </w:tcPr>
          <w:p w14:paraId="17AE72C5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14:paraId="1A75B1CE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90" w:type="dxa"/>
          </w:tcPr>
          <w:p w14:paraId="3032F531" w14:textId="77777777" w:rsidR="00DD0936" w:rsidRDefault="007A1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D0936" w14:paraId="79F05E09" w14:textId="77777777">
        <w:trPr>
          <w:trHeight w:val="4869"/>
        </w:trPr>
        <w:tc>
          <w:tcPr>
            <w:tcW w:w="817" w:type="dxa"/>
            <w:vMerge w:val="restart"/>
          </w:tcPr>
          <w:p w14:paraId="31A4BAC3" w14:textId="77777777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12-004-04-04-01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179D9360" w14:textId="24F4F8C9" w:rsidR="00DD0936" w:rsidRDefault="007A17AF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Išvystyti ilgalaikę, aiškiais kriterijais paremtą sporto vystymo politiką</w:t>
            </w:r>
          </w:p>
          <w:p w14:paraId="132B76C3" w14:textId="77777777" w:rsidR="00DD0936" w:rsidRDefault="00DD0936">
            <w:pPr>
              <w:spacing w:line="259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</w:tcPr>
          <w:p w14:paraId="0577C2C0" w14:textId="64F8F266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Siekti gausinti aukščiausius Lietuvos sporto pasiekimus</w:t>
            </w:r>
          </w:p>
          <w:p w14:paraId="5E770428" w14:textId="77777777" w:rsidR="00DD0936" w:rsidRDefault="00DD0936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6E76C84" w14:textId="419CACC8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Skatinti sveikatos išsaugojimo ir stiprinimo veiklas ir stiprinti psichologinį (emocinį) visuomenės atsparumą</w:t>
            </w:r>
          </w:p>
        </w:tc>
        <w:tc>
          <w:tcPr>
            <w:tcW w:w="1680" w:type="dxa"/>
            <w:vMerge w:val="restart"/>
          </w:tcPr>
          <w:p w14:paraId="473AD2B4" w14:textId="6DC749C0" w:rsidR="00DD0936" w:rsidRDefault="007A17AF">
            <w:pPr>
              <w:rPr>
                <w:color w:val="808080"/>
                <w:sz w:val="22"/>
                <w:szCs w:val="22"/>
              </w:rPr>
            </w:pPr>
            <w:r>
              <w:rPr>
                <w:sz w:val="22"/>
                <w:szCs w:val="24"/>
              </w:rPr>
              <w:t>Investicijos infrastruktūrai gali būti skiriamos parengus</w:t>
            </w:r>
            <w:r>
              <w:rPr>
                <w:b/>
                <w:color w:val="C00000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infrastruktūros vystymo valstybės mastu krypčių analizę (vystymo poreikius nustačius atsižvelgiant į atnaujintus Sporto registro ir kitus duomenis)</w:t>
            </w:r>
          </w:p>
        </w:tc>
        <w:tc>
          <w:tcPr>
            <w:tcW w:w="1134" w:type="dxa"/>
            <w:vMerge w:val="restart"/>
          </w:tcPr>
          <w:p w14:paraId="36B2198F" w14:textId="1BCD6033" w:rsidR="00DD0936" w:rsidRDefault="007A17A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Sveikatos apsaugos ministerija (toliau – SAM)</w:t>
            </w:r>
          </w:p>
        </w:tc>
        <w:tc>
          <w:tcPr>
            <w:tcW w:w="1560" w:type="dxa"/>
          </w:tcPr>
          <w:p w14:paraId="698B5871" w14:textId="59D2BB1B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Olimpiečių, </w:t>
            </w:r>
            <w:proofErr w:type="spellStart"/>
            <w:r>
              <w:rPr>
                <w:sz w:val="22"/>
                <w:szCs w:val="22"/>
              </w:rPr>
              <w:t>paralimpiečių</w:t>
            </w:r>
            <w:proofErr w:type="spellEnd"/>
            <w:r>
              <w:rPr>
                <w:sz w:val="22"/>
                <w:szCs w:val="22"/>
              </w:rPr>
              <w:t>, kurčiųjų dalyvių skaičiaus didėjimas vasaros, žiemos olimpinėse žaidynėse (vnt.)</w:t>
            </w:r>
          </w:p>
          <w:p w14:paraId="21CCCA8F" w14:textId="77777777" w:rsidR="00DD0936" w:rsidRDefault="00DD0936">
            <w:pPr>
              <w:rPr>
                <w:sz w:val="22"/>
                <w:szCs w:val="22"/>
              </w:rPr>
            </w:pPr>
          </w:p>
          <w:p w14:paraId="48838BD1" w14:textId="77777777" w:rsidR="00DD0936" w:rsidRDefault="00DD0936">
            <w:pPr>
              <w:rPr>
                <w:sz w:val="22"/>
                <w:szCs w:val="22"/>
              </w:rPr>
            </w:pPr>
          </w:p>
          <w:p w14:paraId="2FBA5C54" w14:textId="67D96F83" w:rsidR="00DD0936" w:rsidRDefault="00DD0936">
            <w:pPr>
              <w:rPr>
                <w:sz w:val="22"/>
                <w:szCs w:val="22"/>
              </w:rPr>
            </w:pPr>
          </w:p>
          <w:p w14:paraId="1B74CF65" w14:textId="77777777" w:rsidR="00DD0936" w:rsidRDefault="00DD0936">
            <w:pPr>
              <w:rPr>
                <w:sz w:val="22"/>
                <w:szCs w:val="22"/>
              </w:rPr>
            </w:pPr>
          </w:p>
          <w:p w14:paraId="6B4524BD" w14:textId="77777777" w:rsidR="00DD0936" w:rsidRDefault="00DD0936">
            <w:pPr>
              <w:rPr>
                <w:szCs w:val="24"/>
              </w:rPr>
            </w:pPr>
          </w:p>
        </w:tc>
        <w:tc>
          <w:tcPr>
            <w:tcW w:w="1905" w:type="dxa"/>
          </w:tcPr>
          <w:p w14:paraId="569F58B3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Olimpiečių:</w:t>
            </w:r>
          </w:p>
          <w:p w14:paraId="3A1AB68D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42 (2021), </w:t>
            </w:r>
          </w:p>
          <w:p w14:paraId="2DDA0BCD" w14:textId="744D2F54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13 (2022).</w:t>
            </w:r>
          </w:p>
          <w:p w14:paraId="21038361" w14:textId="77777777" w:rsidR="00DD0936" w:rsidRDefault="007A17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Paralimpiečių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1ED3D3CB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12 (2021), </w:t>
            </w:r>
          </w:p>
          <w:p w14:paraId="3F70C506" w14:textId="26076CCA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0 (2022).</w:t>
            </w:r>
          </w:p>
          <w:p w14:paraId="64434C72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Kurčiųjų:</w:t>
            </w:r>
          </w:p>
          <w:p w14:paraId="04D8A662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44 (2017), </w:t>
            </w:r>
          </w:p>
          <w:p w14:paraId="06739F79" w14:textId="116540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0 (2019)</w:t>
            </w:r>
          </w:p>
          <w:p w14:paraId="1CB99C55" w14:textId="77777777" w:rsidR="00DD0936" w:rsidRDefault="007A17AF">
            <w:pPr>
              <w:rPr>
                <w:sz w:val="22"/>
                <w:szCs w:val="22"/>
              </w:rPr>
            </w:pPr>
            <w:r>
              <w:br/>
            </w:r>
          </w:p>
          <w:p w14:paraId="17AF2546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535B157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Olimpiečių:</w:t>
            </w:r>
          </w:p>
          <w:p w14:paraId="67E1384F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100 (2028), </w:t>
            </w:r>
          </w:p>
          <w:p w14:paraId="463A2982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žiemos – 16 (2030). </w:t>
            </w:r>
            <w:proofErr w:type="spellStart"/>
            <w:r>
              <w:rPr>
                <w:sz w:val="22"/>
                <w:szCs w:val="22"/>
              </w:rPr>
              <w:t>Paralimpiečių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40572EE7" w14:textId="7466D67D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– 20 (2028),</w:t>
            </w:r>
          </w:p>
          <w:p w14:paraId="6BAF231D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5 (2030).</w:t>
            </w:r>
          </w:p>
          <w:p w14:paraId="38E30F83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Kurčiųjų: </w:t>
            </w:r>
          </w:p>
          <w:p w14:paraId="79D6F7B7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– 60 (2029),</w:t>
            </w:r>
          </w:p>
          <w:p w14:paraId="46EA3399" w14:textId="283F81A2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5 (2027)</w:t>
            </w:r>
          </w:p>
        </w:tc>
        <w:tc>
          <w:tcPr>
            <w:tcW w:w="1590" w:type="dxa"/>
            <w:vMerge w:val="restart"/>
          </w:tcPr>
          <w:p w14:paraId="780656AC" w14:textId="6615CAFB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LRV ĮP 1.10.1; 1.10.3.</w:t>
            </w:r>
          </w:p>
          <w:p w14:paraId="21CA41D6" w14:textId="67D0C996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–</w:t>
            </w:r>
          </w:p>
          <w:p w14:paraId="0A9442FC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Inovatyvumo (kūrybingumo) </w:t>
            </w:r>
            <w:r>
              <w:rPr>
                <w:sz w:val="22"/>
                <w:szCs w:val="22"/>
              </w:rPr>
              <w:t>(toliau – IK)</w:t>
            </w:r>
            <w:r>
              <w:rPr>
                <w:sz w:val="22"/>
                <w:szCs w:val="22"/>
                <w:lang w:eastAsia="lt-LT"/>
              </w:rPr>
              <w:t xml:space="preserve">, darnaus vystymosi </w:t>
            </w:r>
            <w:r>
              <w:rPr>
                <w:sz w:val="22"/>
                <w:szCs w:val="22"/>
              </w:rPr>
              <w:t>(toliau – DV)</w:t>
            </w:r>
            <w:r>
              <w:rPr>
                <w:sz w:val="22"/>
                <w:szCs w:val="22"/>
                <w:lang w:eastAsia="lt-LT"/>
              </w:rPr>
              <w:t xml:space="preserve">, lygių galimybių visiems </w:t>
            </w:r>
            <w:r>
              <w:rPr>
                <w:sz w:val="22"/>
                <w:szCs w:val="22"/>
              </w:rPr>
              <w:t xml:space="preserve">(toliau – LGV) </w:t>
            </w:r>
          </w:p>
          <w:p w14:paraId="674C6CA2" w14:textId="5B03180B" w:rsidR="00DD0936" w:rsidRDefault="00DD0936">
            <w:pPr>
              <w:rPr>
                <w:sz w:val="22"/>
                <w:szCs w:val="22"/>
                <w:lang w:eastAsia="lt-LT"/>
              </w:rPr>
            </w:pPr>
          </w:p>
        </w:tc>
      </w:tr>
      <w:tr w:rsidR="00DD0936" w14:paraId="6B91A38F" w14:textId="77777777">
        <w:trPr>
          <w:trHeight w:val="2527"/>
        </w:trPr>
        <w:tc>
          <w:tcPr>
            <w:tcW w:w="817" w:type="dxa"/>
            <w:vMerge/>
          </w:tcPr>
          <w:p w14:paraId="05FD404B" w14:textId="77777777" w:rsidR="00DD0936" w:rsidRDefault="00DD093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98301F" w14:textId="77777777" w:rsidR="00DD0936" w:rsidRDefault="00DD0936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6C7AFBE9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51F1401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14:paraId="544F35AA" w14:textId="77777777" w:rsidR="00DD0936" w:rsidRDefault="00DD0936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</w:tcPr>
          <w:p w14:paraId="7DCAA9A6" w14:textId="77777777" w:rsidR="00DD0936" w:rsidRDefault="00DD09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DB3EE9" w14:textId="4037C0E8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Gyventojų, gaunančių pakankamai fizinio aktyvumo paslaugų savo gyvenamoje vietovėje, dalis (proc.)</w:t>
            </w:r>
          </w:p>
        </w:tc>
        <w:tc>
          <w:tcPr>
            <w:tcW w:w="1905" w:type="dxa"/>
          </w:tcPr>
          <w:p w14:paraId="1009695B" w14:textId="1279CFA0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(2017)</w:t>
            </w:r>
          </w:p>
        </w:tc>
        <w:tc>
          <w:tcPr>
            <w:tcW w:w="1890" w:type="dxa"/>
          </w:tcPr>
          <w:p w14:paraId="541B9370" w14:textId="29DCE282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90" w:type="dxa"/>
            <w:vMerge/>
          </w:tcPr>
          <w:p w14:paraId="40F3FF30" w14:textId="77777777" w:rsidR="00DD0936" w:rsidRDefault="00DD0936">
            <w:pPr>
              <w:rPr>
                <w:sz w:val="22"/>
                <w:szCs w:val="22"/>
              </w:rPr>
            </w:pPr>
          </w:p>
        </w:tc>
      </w:tr>
      <w:tr w:rsidR="00DD0936" w14:paraId="24039906" w14:textId="77777777">
        <w:trPr>
          <w:trHeight w:val="3006"/>
        </w:trPr>
        <w:tc>
          <w:tcPr>
            <w:tcW w:w="817" w:type="dxa"/>
            <w:vMerge w:val="restart"/>
          </w:tcPr>
          <w:p w14:paraId="41136E5E" w14:textId="77777777" w:rsidR="00DD0936" w:rsidRDefault="007A17A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12-004-04-04-02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6DB336D0" w14:textId="5BE3B170" w:rsidR="00DD0936" w:rsidRDefault="007A17AF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Pertvarkyti ir modernizuoti</w:t>
            </w:r>
          </w:p>
          <w:p w14:paraId="217DF1AE" w14:textId="78D59B65" w:rsidR="00DD0936" w:rsidRDefault="007A17AF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sistemą nuo pagrindų iki aukšto meistriškumo</w:t>
            </w:r>
          </w:p>
        </w:tc>
        <w:tc>
          <w:tcPr>
            <w:tcW w:w="1410" w:type="dxa"/>
            <w:vMerge w:val="restart"/>
          </w:tcPr>
          <w:p w14:paraId="77AD5867" w14:textId="35B77A70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Siekti gausinti aukščiausius Lietuvos sporto pasiekimus</w:t>
            </w:r>
          </w:p>
        </w:tc>
        <w:tc>
          <w:tcPr>
            <w:tcW w:w="1560" w:type="dxa"/>
            <w:vMerge w:val="restart"/>
          </w:tcPr>
          <w:p w14:paraId="50257076" w14:textId="657683E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Skatinti sveikatos išsaugojimo ir stiprinimo veiklas ir stiprinti psichologinį (emocinį) visuomenės atsparumą</w:t>
            </w:r>
          </w:p>
        </w:tc>
        <w:tc>
          <w:tcPr>
            <w:tcW w:w="1680" w:type="dxa"/>
            <w:vMerge w:val="restart"/>
          </w:tcPr>
          <w:p w14:paraId="4758413F" w14:textId="77777777" w:rsidR="00DD0936" w:rsidRDefault="00DD0936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FCBFAAF" w14:textId="6B1DF314" w:rsidR="00DD0936" w:rsidRDefault="007A17A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SAM</w:t>
            </w:r>
          </w:p>
        </w:tc>
        <w:tc>
          <w:tcPr>
            <w:tcW w:w="1560" w:type="dxa"/>
          </w:tcPr>
          <w:p w14:paraId="585E7640" w14:textId="67F7A5EC" w:rsidR="00DD0936" w:rsidRDefault="007A17AF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Federacijų, sporto šakų, dalyvaujančių vasaros ir žiemos olimpinėse, </w:t>
            </w:r>
            <w:proofErr w:type="spellStart"/>
            <w:r>
              <w:rPr>
                <w:color w:val="000000"/>
                <w:sz w:val="22"/>
                <w:szCs w:val="22"/>
              </w:rPr>
              <w:t>paralimpinėse</w:t>
            </w:r>
            <w:proofErr w:type="spellEnd"/>
            <w:r>
              <w:rPr>
                <w:color w:val="000000"/>
                <w:sz w:val="22"/>
                <w:szCs w:val="22"/>
              </w:rPr>
              <w:t>, kurčiųjų žaidynėse, skaičiaus didėjimas (vnt.)</w:t>
            </w:r>
          </w:p>
        </w:tc>
        <w:tc>
          <w:tcPr>
            <w:tcW w:w="1905" w:type="dxa"/>
          </w:tcPr>
          <w:p w14:paraId="3AEB55AF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Federacijų sporto šakų: </w:t>
            </w:r>
          </w:p>
          <w:p w14:paraId="7142EBA5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– 12 (2021),</w:t>
            </w:r>
          </w:p>
          <w:p w14:paraId="2F570750" w14:textId="79C01B88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4 (2022).</w:t>
            </w:r>
          </w:p>
          <w:p w14:paraId="38C050F8" w14:textId="77777777" w:rsidR="00DD0936" w:rsidRDefault="007A17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Paralimpinių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44EF09D1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4 (2021), </w:t>
            </w:r>
          </w:p>
          <w:p w14:paraId="21587AF5" w14:textId="00506F8D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0 (2022).</w:t>
            </w:r>
          </w:p>
          <w:p w14:paraId="5A71CF49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Kurčiųjų: </w:t>
            </w:r>
          </w:p>
          <w:p w14:paraId="5B2A0BE5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8 (2017), </w:t>
            </w:r>
          </w:p>
          <w:p w14:paraId="77172B00" w14:textId="275CE005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0 (2019)</w:t>
            </w:r>
          </w:p>
          <w:p w14:paraId="4ED9A4E5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E97D5D0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Federacijų sporto šakų:</w:t>
            </w:r>
          </w:p>
          <w:p w14:paraId="71F24043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– 18 (2028),</w:t>
            </w:r>
          </w:p>
          <w:p w14:paraId="759830EA" w14:textId="45B48BFD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6 (2030).</w:t>
            </w:r>
          </w:p>
          <w:p w14:paraId="6A997478" w14:textId="77777777" w:rsidR="00DD0936" w:rsidRDefault="007A17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Paralimpinių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1C161C5A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– 10 (2028),</w:t>
            </w:r>
          </w:p>
          <w:p w14:paraId="174A6CBC" w14:textId="6F3EE5D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2 (2030).</w:t>
            </w:r>
          </w:p>
          <w:p w14:paraId="1D3A1914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Kurčiųjų: </w:t>
            </w:r>
          </w:p>
          <w:p w14:paraId="58E0D142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vasaros – 10 (2029), </w:t>
            </w:r>
          </w:p>
          <w:p w14:paraId="03792F2C" w14:textId="097DF2F3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žiemos – 2 (2027)</w:t>
            </w:r>
          </w:p>
        </w:tc>
        <w:tc>
          <w:tcPr>
            <w:tcW w:w="1590" w:type="dxa"/>
            <w:vMerge w:val="restart"/>
          </w:tcPr>
          <w:p w14:paraId="4C4C3D27" w14:textId="71F6570D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LRV ĮP 1.10.2; 1.10.4–1.10.9. </w:t>
            </w:r>
          </w:p>
          <w:p w14:paraId="5B135C10" w14:textId="48F3CEAA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–</w:t>
            </w:r>
          </w:p>
          <w:p w14:paraId="10BFAAAE" w14:textId="5D78974D" w:rsidR="00DD0936" w:rsidRDefault="007A17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IK, DV, LGV</w:t>
            </w:r>
          </w:p>
        </w:tc>
      </w:tr>
      <w:tr w:rsidR="00DD0936" w14:paraId="5D602EE5" w14:textId="77777777">
        <w:trPr>
          <w:trHeight w:val="2340"/>
        </w:trPr>
        <w:tc>
          <w:tcPr>
            <w:tcW w:w="817" w:type="dxa"/>
            <w:vMerge/>
          </w:tcPr>
          <w:p w14:paraId="39123D6B" w14:textId="77777777" w:rsidR="00DD0936" w:rsidRDefault="00DD09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CAFB3B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0514B33F" w14:textId="77777777" w:rsidR="00DD0936" w:rsidRDefault="00DD09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62D1CD5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14:paraId="0BB7B98D" w14:textId="77777777" w:rsidR="00DD0936" w:rsidRDefault="00DD0936">
            <w:pPr>
              <w:jc w:val="both"/>
              <w:rPr>
                <w:i/>
                <w:i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256031B" w14:textId="77777777" w:rsidR="00DD0936" w:rsidRDefault="00DD093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C1F514" w14:textId="2E026582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Mokinių, dalyvavusių neformaliojo vaikų švietimo sporto ir kitose fizinį aktyvumą skatinančiose veiklose, dalis (proc.)</w:t>
            </w:r>
          </w:p>
        </w:tc>
        <w:tc>
          <w:tcPr>
            <w:tcW w:w="1905" w:type="dxa"/>
          </w:tcPr>
          <w:p w14:paraId="23E3EB0A" w14:textId="1EA2531D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 (2020)</w:t>
            </w:r>
          </w:p>
        </w:tc>
        <w:tc>
          <w:tcPr>
            <w:tcW w:w="1890" w:type="dxa"/>
          </w:tcPr>
          <w:p w14:paraId="79BCB240" w14:textId="77777777" w:rsidR="00DD0936" w:rsidRDefault="007A1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  <w:p w14:paraId="570F365D" w14:textId="77777777" w:rsidR="00DD0936" w:rsidRDefault="00DD0936">
            <w:pPr>
              <w:rPr>
                <w:sz w:val="22"/>
                <w:szCs w:val="22"/>
              </w:rPr>
            </w:pPr>
          </w:p>
          <w:p w14:paraId="7DA56406" w14:textId="77777777" w:rsidR="00DD0936" w:rsidRDefault="00DD0936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14:paraId="4CFB3D01" w14:textId="77777777" w:rsidR="00DD0936" w:rsidRDefault="00DD0936">
            <w:pPr>
              <w:rPr>
                <w:sz w:val="22"/>
                <w:szCs w:val="22"/>
              </w:rPr>
            </w:pPr>
          </w:p>
        </w:tc>
      </w:tr>
    </w:tbl>
    <w:p w14:paraId="0ADF260F" w14:textId="77777777" w:rsidR="00DD0936" w:rsidRDefault="007A17AF">
      <w:r>
        <w:t>*</w:t>
      </w:r>
      <w:r>
        <w:rPr>
          <w:b/>
          <w:bCs/>
        </w:rPr>
        <w:t>Pastaba.</w:t>
      </w:r>
      <w:r>
        <w:t xml:space="preserve"> LRV ĮP – Lietuvos Respublikos Vyriausybės programos nuostatų įgyvendinimo plano priemonė; HP – priemonė, kuria prisidedama prie darnaus vystymosi, inovatyvumo (kūrybingumo) ir (ar) lygių galimybių visiems horizontaliojo principo įgyvendinimo; NRD – Nacionalinės reformų darbotvarkės įgyvendinimo priemonė.</w:t>
      </w:r>
    </w:p>
    <w:p w14:paraId="02066BC2" w14:textId="07691622" w:rsidR="00DD0936" w:rsidRDefault="007A17AF">
      <w:r>
        <w:rPr>
          <w:b/>
          <w:noProof/>
          <w:color w:val="000000"/>
          <w:sz w:val="18"/>
          <w:szCs w:val="18"/>
          <w:shd w:val="clear" w:color="auto" w:fill="E6E6E6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09A63" wp14:editId="540FA88D">
                <wp:simplePos x="0" y="0"/>
                <wp:positionH relativeFrom="column">
                  <wp:posOffset>3049905</wp:posOffset>
                </wp:positionH>
                <wp:positionV relativeFrom="paragraph">
                  <wp:posOffset>441960</wp:posOffset>
                </wp:positionV>
                <wp:extent cx="2518116" cy="0"/>
                <wp:effectExtent l="0" t="0" r="15875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8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taisx="http://lrs.lt/TAIS/DocPartXmlMarks">
            <w:pict>
              <v:line w14:anchorId="21A00C99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5pt,34.8pt" to="438.45pt,34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kklomQEAAIgDAAAOAAAAZHJzL2Uyb0RvYy54bWysU8tu2zAQvAfIPxC8x5IMJAgEyz4kSC9F G/TxAQy1tIjwhSVryX/fJW3LQVoEQZALxcfM7M7uarWZrGE7wKi963izqDkDJ32v3bbjv389XN1y FpNwvTDeQcf3EPlmfXmxGkMLSz940wMyEnGxHUPHh5RCW1VRDmBFXPgAjh6VRysSHXFb9ShGUrem Wtb1TTV67AN6CTHS7f3hka+LvlIg03elIiRmOk65pbJiWZ/yWq1Xot2iCIOWxzTEB7KwQjsKOkvd iyTYH9T/SFkt0Uev0kJ6W3mltITigdw09Ss3PwcRoHih4sQwlyl+nqz8trtzj0hlGENsY3jE7GJS aPOX8mNTKdZ+LhZMiUm6XF43t01zw5k8vVVnYsCYvoC3LG86brTLPkQrdl9jomAEPUHocA5ddmlv IION+wGK6Z6CNYVdpgLuDLKdoH72z03uH2kVZKYobcxMqt8mHbGZBmVS3kuc0SWid2kmWu08/i9q mk6pqgP+5PrgNdt+8v2+NKKUg9pdnB1HM8/Ty3Ohn3+g9V8AAAD//wMAUEsDBBQABgAIAAAAIQDY 6cXi3QAAAAkBAAAPAAAAZHJzL2Rvd25yZXYueG1sTI/BTsMwDIbvSLxDZCRuLGWg0pWm0zQJIS6I dXDPGi8tJE6VpF15e4I4jKPtT7+/v1rP1rAJfegdCbhdZMCQWqd60gLe9083BbAQJSlpHKGAbwyw ri8vKlkqd6IdTk3ULIVQKKWALsah5Dy0HVoZFm5ASrej81bGNHrNlZenFG4NX2ZZzq3sKX3o5IDb DtuvZrQCzIufPvRWb8L4vMubz7fj8nU/CXF9NW8egUWc4xmGX/2kDnVyOriRVGBGwH2R3SVUQL7K gSWgeMhXwA5/C15X/H+D+gcAAP//AwBQSwECLQAUAAYACAAAACEAtoM4kv4AAADhAQAAEwAAAAAA AAAAAAAAAAAAAAAAW0NvbnRlbnRfVHlwZXNdLnhtbFBLAQItABQABgAIAAAAIQA4/SH/1gAAAJQB AAALAAAAAAAAAAAAAAAAAC8BAABfcmVscy8ucmVsc1BLAQItABQABgAIAAAAIQCjkklomQEAAIgD AAAOAAAAAAAAAAAAAAAAAC4CAABkcnMvZTJvRG9jLnhtbFBLAQItABQABgAIAAAAIQDY6cXi3QAA AAkBAAAPAAAAAAAAAAAAAAAAAPMDAABkcnMvZG93bnJldi54bWxQSwUGAAAAAAQABADzAAAA/QQA AAAA " strokecolor="black [3200]" strokeweight=".5pt">
                <v:stroke joinstyle="miter"/>
              </v:line>
            </w:pict>
          </mc:Fallback>
        </mc:AlternateContent>
      </w:r>
    </w:p>
    <w:sectPr w:rsidR="00DD09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304" w:right="1701" w:bottom="39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5365" w14:textId="77777777" w:rsidR="004B1DEE" w:rsidRDefault="004B1DEE">
      <w:r>
        <w:separator/>
      </w:r>
    </w:p>
  </w:endnote>
  <w:endnote w:type="continuationSeparator" w:id="0">
    <w:p w14:paraId="600D1EF4" w14:textId="77777777" w:rsidR="004B1DEE" w:rsidRDefault="004B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105B" w14:textId="77777777" w:rsidR="00DD0936" w:rsidRDefault="00DD093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C74" w14:textId="77777777" w:rsidR="00DD0936" w:rsidRDefault="00DD093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4E2" w14:textId="77777777" w:rsidR="00DD0936" w:rsidRDefault="00DD093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EC14" w14:textId="77777777" w:rsidR="004B1DEE" w:rsidRDefault="004B1DEE">
      <w:r>
        <w:separator/>
      </w:r>
    </w:p>
  </w:footnote>
  <w:footnote w:type="continuationSeparator" w:id="0">
    <w:p w14:paraId="07A79D2D" w14:textId="77777777" w:rsidR="004B1DEE" w:rsidRDefault="004B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3B82" w14:textId="77777777" w:rsidR="00DD0936" w:rsidRDefault="00DD093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85E0" w14:textId="03965AD4" w:rsidR="00DD0936" w:rsidRDefault="007A17AF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6</w:t>
    </w:r>
    <w:r>
      <w:rPr>
        <w:sz w:val="22"/>
        <w:szCs w:val="22"/>
        <w:lang w:eastAsia="lt-LT"/>
      </w:rPr>
      <w:fldChar w:fldCharType="end"/>
    </w:r>
  </w:p>
  <w:p w14:paraId="75F3CD39" w14:textId="77777777" w:rsidR="00DD0936" w:rsidRDefault="00DD093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584" w14:textId="77777777" w:rsidR="00DD0936" w:rsidRDefault="00DD093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90"/>
    <w:rsid w:val="002B3E90"/>
    <w:rsid w:val="004B1DEE"/>
    <w:rsid w:val="007A17AF"/>
    <w:rsid w:val="00A518C8"/>
    <w:rsid w:val="00D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0D74D"/>
  <w15:docId w15:val="{5EAEF857-FA56-464E-BD96-EBD6A978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A1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6028-D87A-4E62-9F3A-3C69D776E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71FA6-D160-4558-A054-9D82E34DF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66D03-5ACE-45CD-8BAA-89B8701CD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5DCF6-10DB-4BB4-BF84-76F88FB1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6382</Words>
  <Characters>3639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56adbb9c-90d5-4067-9625-7851884acb3c</vt:lpstr>
      <vt:lpstr>56adbb9c-90d5-4067-9625-7851884acb3c</vt:lpstr>
    </vt:vector>
  </TitlesOfParts>
  <Company/>
  <LinksUpToDate>false</LinksUpToDate>
  <CharactersWithSpaces>10001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56adbb9c-90d5-4067-9625-7851884acb3c</dc:title>
  <dc:creator>ugne.cibulskaite@smm.lt</dc:creator>
  <cp:lastModifiedBy>Lina Pocienė</cp:lastModifiedBy>
  <cp:revision>2</cp:revision>
  <cp:lastPrinted>2021-10-27T05:26:00Z</cp:lastPrinted>
  <dcterms:created xsi:type="dcterms:W3CDTF">2023-10-04T11:04:00Z</dcterms:created>
  <dcterms:modified xsi:type="dcterms:W3CDTF">2023-10-04T11:04:00Z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